
<file path=[Content_Types].xml><?xml version="1.0" encoding="utf-8"?>
<Types xmlns="http://schemas.openxmlformats.org/package/2006/content-types">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drawings/drawing1.xml" ContentType="application/vnd.openxmlformats-officedocument.drawingml.chartshapes+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charts/chart2.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3.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1.xml" ContentType="application/vnd.openxmlformats-officedocument.themeOverride+xml"/>
  <Override PartName="/word/charts/chart4.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5.xml" ContentType="application/vnd.openxmlformats-officedocument.drawingml.chart+xml"/>
  <Override PartName="/word/charts/style4.xml" ContentType="application/vnd.ms-office.chartstyle+xml"/>
  <Override PartName="/word/charts/colors4.xml" ContentType="application/vnd.ms-office.chartcolorstyle+xml"/>
  <Override PartName="/word/theme/themeOverride2.xml" ContentType="application/vnd.openxmlformats-officedocument.themeOverride+xml"/>
  <Override PartName="/word/charts/chart6.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7.xml" ContentType="application/vnd.openxmlformats-officedocument.drawingml.chart+xml"/>
  <Override PartName="/word/charts/chart8.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9.xml" ContentType="application/vnd.openxmlformats-officedocument.drawingml.chart+xml"/>
  <Override PartName="/word/charts/chart10.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11.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12.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13.xml" ContentType="application/vnd.openxmlformats-officedocument.drawingml.chart+xml"/>
  <Override PartName="/word/charts/style10.xml" ContentType="application/vnd.ms-office.chartstyle+xml"/>
  <Override PartName="/word/charts/colors10.xml" ContentType="application/vnd.ms-office.chartcolorstyle+xml"/>
  <Override PartName="/word/charts/chart14.xml" ContentType="application/vnd.openxmlformats-officedocument.drawingml.chart+xml"/>
  <Override PartName="/word/charts/style11.xml" ContentType="application/vnd.ms-office.chartstyle+xml"/>
  <Override PartName="/word/charts/colors11.xml" ContentType="application/vnd.ms-office.chartcolorstyle+xml"/>
  <Override PartName="/word/charts/chart15.xml" ContentType="application/vnd.openxmlformats-officedocument.drawingml.chart+xml"/>
  <Override PartName="/word/charts/style12.xml" ContentType="application/vnd.ms-office.chartstyle+xml"/>
  <Override PartName="/word/charts/colors12.xml" ContentType="application/vnd.ms-office.chartcolorstyle+xml"/>
  <Override PartName="/word/charts/chart16.xml" ContentType="application/vnd.openxmlformats-officedocument.drawingml.chart+xml"/>
  <Override PartName="/word/charts/style13.xml" ContentType="application/vnd.ms-office.chartstyle+xml"/>
  <Override PartName="/word/charts/colors13.xml" ContentType="application/vnd.ms-office.chartcolorstyle+xml"/>
  <Override PartName="/word/charts/chart17.xml" ContentType="application/vnd.openxmlformats-officedocument.drawingml.chart+xml"/>
  <Override PartName="/word/charts/style14.xml" ContentType="application/vnd.ms-office.chartstyle+xml"/>
  <Override PartName="/word/charts/colors14.xml" ContentType="application/vnd.ms-office.chartcolorstyle+xml"/>
  <Override PartName="/word/charts/chart18.xml" ContentType="application/vnd.openxmlformats-officedocument.drawingml.chart+xml"/>
  <Override PartName="/word/charts/style15.xml" ContentType="application/vnd.ms-office.chartstyle+xml"/>
  <Override PartName="/word/charts/colors15.xml" ContentType="application/vnd.ms-office.chartcolorstyle+xml"/>
  <Override PartName="/word/charts/chart19.xml" ContentType="application/vnd.openxmlformats-officedocument.drawingml.chart+xml"/>
  <Override PartName="/word/charts/style16.xml" ContentType="application/vnd.ms-office.chartstyle+xml"/>
  <Override PartName="/word/charts/colors16.xml" ContentType="application/vnd.ms-office.chartcolorstyle+xml"/>
  <Override PartName="/word/charts/chartEx1.xml" ContentType="application/vnd.ms-office.chartex+xml"/>
  <Override PartName="/word/charts/style17.xml" ContentType="application/vnd.ms-office.chartstyle+xml"/>
  <Override PartName="/word/charts/colors17.xml" ContentType="application/vnd.ms-office.chartcolorstyle+xml"/>
  <Override PartName="/word/charts/chart20.xml" ContentType="application/vnd.openxmlformats-officedocument.drawingml.chart+xml"/>
  <Override PartName="/word/charts/style18.xml" ContentType="application/vnd.ms-office.chartstyle+xml"/>
  <Override PartName="/word/charts/colors18.xml" ContentType="application/vnd.ms-office.chartcolorstyle+xml"/>
  <Override PartName="/word/charts/chart21.xml" ContentType="application/vnd.openxmlformats-officedocument.drawingml.chart+xml"/>
  <Override PartName="/word/charts/style19.xml" ContentType="application/vnd.ms-office.chartstyle+xml"/>
  <Override PartName="/word/charts/colors19.xml" ContentType="application/vnd.ms-office.chartcolorstyle+xml"/>
  <Override PartName="/word/charts/chart22.xml" ContentType="application/vnd.openxmlformats-officedocument.drawingml.chart+xml"/>
  <Override PartName="/word/charts/style20.xml" ContentType="application/vnd.ms-office.chartstyle+xml"/>
  <Override PartName="/word/charts/colors20.xml" ContentType="application/vnd.ms-office.chartcolorstyle+xml"/>
  <Override PartName="/word/charts/chart23.xml" ContentType="application/vnd.openxmlformats-officedocument.drawingml.chart+xml"/>
  <Override PartName="/word/charts/style21.xml" ContentType="application/vnd.ms-office.chartstyle+xml"/>
  <Override PartName="/word/charts/colors21.xml" ContentType="application/vnd.ms-office.chartcolorstyle+xml"/>
  <Override PartName="/word/theme/themeOverride3.xml" ContentType="application/vnd.openxmlformats-officedocument.themeOverride+xml"/>
  <Override PartName="/word/charts/chart24.xml" ContentType="application/vnd.openxmlformats-officedocument.drawingml.chart+xml"/>
  <Override PartName="/word/charts/style22.xml" ContentType="application/vnd.ms-office.chartstyle+xml"/>
  <Override PartName="/word/charts/colors22.xml" ContentType="application/vnd.ms-office.chartcolorstyle+xml"/>
  <Override PartName="/word/charts/chart25.xml" ContentType="application/vnd.openxmlformats-officedocument.drawingml.chart+xml"/>
  <Override PartName="/word/charts/style23.xml" ContentType="application/vnd.ms-office.chartstyle+xml"/>
  <Override PartName="/word/charts/colors23.xml" ContentType="application/vnd.ms-office.chartcolorstyle+xml"/>
  <Override PartName="/word/charts/chart26.xml" ContentType="application/vnd.openxmlformats-officedocument.drawingml.chart+xml"/>
  <Override PartName="/word/charts/style24.xml" ContentType="application/vnd.ms-office.chartstyle+xml"/>
  <Override PartName="/word/charts/colors24.xml" ContentType="application/vnd.ms-office.chartcolorstyle+xml"/>
  <Override PartName="/word/charts/chart27.xml" ContentType="application/vnd.openxmlformats-officedocument.drawingml.chart+xml"/>
  <Override PartName="/word/charts/style25.xml" ContentType="application/vnd.ms-office.chartstyle+xml"/>
  <Override PartName="/word/charts/colors25.xml" ContentType="application/vnd.ms-office.chartcolorstyle+xml"/>
  <Override PartName="/word/header3.xml" ContentType="application/vnd.openxmlformats-officedocument.wordprocessingml.header+xml"/>
  <Override PartName="/word/charts/chart28.xml" ContentType="application/vnd.openxmlformats-officedocument.drawingml.chart+xml"/>
  <Override PartName="/word/charts/style26.xml" ContentType="application/vnd.ms-office.chartstyle+xml"/>
  <Override PartName="/word/charts/colors26.xml" ContentType="application/vnd.ms-office.chartcolorstyle+xml"/>
  <Override PartName="/word/charts/chart29.xml" ContentType="application/vnd.openxmlformats-officedocument.drawingml.chart+xml"/>
  <Override PartName="/word/charts/style27.xml" ContentType="application/vnd.ms-office.chartstyle+xml"/>
  <Override PartName="/word/charts/colors27.xml" ContentType="application/vnd.ms-office.chartcolorstyle+xml"/>
  <Override PartName="/word/charts/chart30.xml" ContentType="application/vnd.openxmlformats-officedocument.drawingml.chart+xml"/>
  <Override PartName="/word/charts/style28.xml" ContentType="application/vnd.ms-office.chartstyle+xml"/>
  <Override PartName="/word/charts/colors28.xml" ContentType="application/vnd.ms-office.chartcolorstyle+xml"/>
  <Override PartName="/word/charts/chart31.xml" ContentType="application/vnd.openxmlformats-officedocument.drawingml.chart+xml"/>
  <Override PartName="/word/charts/style29.xml" ContentType="application/vnd.ms-office.chartstyle+xml"/>
  <Override PartName="/word/charts/colors29.xml" ContentType="application/vnd.ms-office.chartcolorstyle+xml"/>
  <Override PartName="/word/theme/themeOverride4.xml" ContentType="application/vnd.openxmlformats-officedocument.themeOverride+xml"/>
  <Override PartName="/word/charts/chart32.xml" ContentType="application/vnd.openxmlformats-officedocument.drawingml.chart+xml"/>
  <Override PartName="/word/charts/style30.xml" ContentType="application/vnd.ms-office.chartstyle+xml"/>
  <Override PartName="/word/charts/colors30.xml" ContentType="application/vnd.ms-office.chartcolorstyle+xml"/>
  <Override PartName="/word/charts/chart33.xml" ContentType="application/vnd.openxmlformats-officedocument.drawingml.chart+xml"/>
  <Override PartName="/word/charts/style31.xml" ContentType="application/vnd.ms-office.chartstyle+xml"/>
  <Override PartName="/word/charts/colors31.xml" ContentType="application/vnd.ms-office.chartcolorstyle+xml"/>
  <Override PartName="/word/charts/chart34.xml" ContentType="application/vnd.openxmlformats-officedocument.drawingml.chart+xml"/>
  <Override PartName="/word/charts/style32.xml" ContentType="application/vnd.ms-office.chartstyle+xml"/>
  <Override PartName="/word/charts/colors32.xml" ContentType="application/vnd.ms-office.chartcolorstyle+xml"/>
  <Override PartName="/word/charts/chart35.xml" ContentType="application/vnd.openxmlformats-officedocument.drawingml.chart+xml"/>
  <Override PartName="/word/charts/style33.xml" ContentType="application/vnd.ms-office.chartstyle+xml"/>
  <Override PartName="/word/charts/colors33.xml" ContentType="application/vnd.ms-office.chartcolorstyle+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92E36E3" w14:textId="087B73F0" w:rsidR="000F1193" w:rsidRDefault="000F1193" w:rsidP="006D7D5A">
      <w:pPr>
        <w:pStyle w:val="HSvodnstrnka"/>
      </w:pPr>
      <w:bookmarkStart w:id="0" w:name="_Toc168326638"/>
      <w:bookmarkStart w:id="1" w:name="_Toc167346014"/>
      <w:bookmarkStart w:id="2" w:name="_Toc167268210"/>
      <w:bookmarkStart w:id="3" w:name="_Toc167264312"/>
      <w:bookmarkStart w:id="4" w:name="_Toc167264008"/>
      <w:bookmarkStart w:id="5" w:name="_Toc167263139"/>
      <w:bookmarkStart w:id="6" w:name="_Toc165457252"/>
      <w:r w:rsidRPr="000F1193">
        <w:t>HOSPODÁŘSKÁ</w:t>
      </w:r>
      <w:r w:rsidR="00F21E6D">
        <w:t> </w:t>
      </w:r>
      <w:r w:rsidRPr="000F1193">
        <w:t>STRATEGIE</w:t>
      </w:r>
      <w:r w:rsidR="00F21E6D">
        <w:t xml:space="preserve"> </w:t>
      </w:r>
      <w:r w:rsidRPr="000F1193">
        <w:t>ČESKÉ</w:t>
      </w:r>
      <w:r w:rsidR="00F21E6D">
        <w:t> </w:t>
      </w:r>
      <w:r w:rsidRPr="000F1193">
        <w:t>REPUBLIKY</w:t>
      </w:r>
    </w:p>
    <w:p w14:paraId="25434F24" w14:textId="3B085AD4" w:rsidR="006C544F" w:rsidRDefault="00C86025" w:rsidP="006D7D5A">
      <w:pPr>
        <w:pStyle w:val="HSvodnstrnkarok"/>
        <w:sectPr w:rsidR="006C544F" w:rsidSect="006C544F">
          <w:headerReference w:type="default" r:id="rId8"/>
          <w:footerReference w:type="default" r:id="rId9"/>
          <w:pgSz w:w="11906" w:h="16838"/>
          <w:pgMar w:top="1134" w:right="992" w:bottom="1134" w:left="992" w:header="709" w:footer="709" w:gutter="0"/>
          <w:pgNumType w:start="1"/>
          <w:cols w:space="284"/>
          <w:docGrid w:linePitch="360"/>
        </w:sectPr>
      </w:pPr>
      <w:r>
        <w:t>202</w:t>
      </w:r>
      <w:r w:rsidR="006C544F">
        <w:t>4</w:t>
      </w:r>
    </w:p>
    <w:bookmarkEnd w:id="6" w:displacedByCustomXml="next"/>
    <w:bookmarkEnd w:id="5" w:displacedByCustomXml="next"/>
    <w:bookmarkEnd w:id="4" w:displacedByCustomXml="next"/>
    <w:bookmarkEnd w:id="3" w:displacedByCustomXml="next"/>
    <w:bookmarkEnd w:id="2" w:displacedByCustomXml="next"/>
    <w:bookmarkEnd w:id="1" w:displacedByCustomXml="next"/>
    <w:bookmarkEnd w:id="0" w:displacedByCustomXml="next"/>
    <w:sdt>
      <w:sdtPr>
        <w:rPr>
          <w:rFonts w:eastAsiaTheme="minorHAnsi" w:cstheme="minorBidi"/>
          <w:b w:val="0"/>
          <w:color w:val="000000" w:themeColor="text1"/>
          <w:sz w:val="22"/>
          <w:szCs w:val="22"/>
        </w:rPr>
        <w:id w:val="199755504"/>
        <w:docPartObj>
          <w:docPartGallery w:val="Table of Contents"/>
          <w:docPartUnique/>
        </w:docPartObj>
      </w:sdtPr>
      <w:sdtEndPr>
        <w:rPr>
          <w:bCs/>
          <w:sz w:val="20"/>
          <w:szCs w:val="20"/>
        </w:rPr>
      </w:sdtEndPr>
      <w:sdtContent>
        <w:p w14:paraId="09153DCE" w14:textId="0943B7F0" w:rsidR="00EA7EE7" w:rsidRDefault="00EA7EE7">
          <w:pPr>
            <w:pStyle w:val="Nadpisobsahu"/>
          </w:pPr>
          <w:r>
            <w:t>Obsah</w:t>
          </w:r>
        </w:p>
        <w:p w14:paraId="4887962A" w14:textId="0ED8E396" w:rsidR="00EA7EE7" w:rsidRPr="00EA7EE7" w:rsidRDefault="00EA7EE7" w:rsidP="00EA7EE7">
          <w:pPr>
            <w:pStyle w:val="Obsah1"/>
            <w:spacing w:line="276" w:lineRule="auto"/>
            <w:rPr>
              <w:rFonts w:eastAsiaTheme="minorEastAsia"/>
              <w:noProof/>
              <w:color w:val="auto"/>
              <w:lang w:eastAsia="cs-CZ"/>
            </w:rPr>
          </w:pPr>
          <w:r w:rsidRPr="00EA7EE7">
            <w:rPr>
              <w:sz w:val="20"/>
              <w:szCs w:val="20"/>
            </w:rPr>
            <w:fldChar w:fldCharType="begin"/>
          </w:r>
          <w:r w:rsidRPr="00EA7EE7">
            <w:rPr>
              <w:sz w:val="20"/>
              <w:szCs w:val="20"/>
            </w:rPr>
            <w:instrText xml:space="preserve"> TOC \o "1-3" \h \z \u </w:instrText>
          </w:r>
          <w:r w:rsidRPr="00EA7EE7">
            <w:rPr>
              <w:sz w:val="20"/>
              <w:szCs w:val="20"/>
            </w:rPr>
            <w:fldChar w:fldCharType="separate"/>
          </w:r>
          <w:hyperlink w:anchor="_Toc174703060" w:history="1">
            <w:r w:rsidRPr="00EA7EE7">
              <w:rPr>
                <w:rStyle w:val="Hypertextovodkaz"/>
                <w:noProof/>
              </w:rPr>
              <w:t>MANAŽERSKÉ SHRNUTÍ</w:t>
            </w:r>
            <w:r w:rsidRPr="00EA7EE7">
              <w:rPr>
                <w:noProof/>
                <w:webHidden/>
              </w:rPr>
              <w:tab/>
            </w:r>
            <w:r w:rsidRPr="00EA7EE7">
              <w:rPr>
                <w:noProof/>
                <w:webHidden/>
              </w:rPr>
              <w:fldChar w:fldCharType="begin"/>
            </w:r>
            <w:r w:rsidRPr="00EA7EE7">
              <w:rPr>
                <w:noProof/>
                <w:webHidden/>
              </w:rPr>
              <w:instrText xml:space="preserve"> PAGEREF _Toc174703060 \h </w:instrText>
            </w:r>
            <w:r w:rsidRPr="00EA7EE7">
              <w:rPr>
                <w:noProof/>
                <w:webHidden/>
              </w:rPr>
            </w:r>
            <w:r w:rsidRPr="00EA7EE7">
              <w:rPr>
                <w:noProof/>
                <w:webHidden/>
              </w:rPr>
              <w:fldChar w:fldCharType="separate"/>
            </w:r>
            <w:r w:rsidR="00591896">
              <w:rPr>
                <w:noProof/>
                <w:webHidden/>
              </w:rPr>
              <w:t>2</w:t>
            </w:r>
            <w:r w:rsidRPr="00EA7EE7">
              <w:rPr>
                <w:noProof/>
                <w:webHidden/>
              </w:rPr>
              <w:fldChar w:fldCharType="end"/>
            </w:r>
          </w:hyperlink>
        </w:p>
        <w:p w14:paraId="14989444" w14:textId="55C7A169" w:rsidR="00EA7EE7" w:rsidRPr="00EA7EE7" w:rsidRDefault="00B87B81" w:rsidP="00EA7EE7">
          <w:pPr>
            <w:pStyle w:val="Obsah1"/>
            <w:spacing w:line="276" w:lineRule="auto"/>
            <w:rPr>
              <w:rFonts w:eastAsiaTheme="minorEastAsia"/>
              <w:noProof/>
              <w:color w:val="auto"/>
              <w:lang w:eastAsia="cs-CZ"/>
            </w:rPr>
          </w:pPr>
          <w:hyperlink w:anchor="_Toc174703061" w:history="1">
            <w:r w:rsidR="00EA7EE7" w:rsidRPr="00EA7EE7">
              <w:rPr>
                <w:rStyle w:val="Hypertextovodkaz"/>
                <w:noProof/>
              </w:rPr>
              <w:t>ÚVOD</w:t>
            </w:r>
            <w:r w:rsidR="00EA7EE7" w:rsidRPr="00EA7EE7">
              <w:rPr>
                <w:noProof/>
                <w:webHidden/>
              </w:rPr>
              <w:tab/>
            </w:r>
            <w:r w:rsidR="00EA7EE7" w:rsidRPr="00EA7EE7">
              <w:rPr>
                <w:noProof/>
                <w:webHidden/>
              </w:rPr>
              <w:fldChar w:fldCharType="begin"/>
            </w:r>
            <w:r w:rsidR="00EA7EE7" w:rsidRPr="00EA7EE7">
              <w:rPr>
                <w:noProof/>
                <w:webHidden/>
              </w:rPr>
              <w:instrText xml:space="preserve"> PAGEREF _Toc174703061 \h </w:instrText>
            </w:r>
            <w:r w:rsidR="00EA7EE7" w:rsidRPr="00EA7EE7">
              <w:rPr>
                <w:noProof/>
                <w:webHidden/>
              </w:rPr>
            </w:r>
            <w:r w:rsidR="00EA7EE7" w:rsidRPr="00EA7EE7">
              <w:rPr>
                <w:noProof/>
                <w:webHidden/>
              </w:rPr>
              <w:fldChar w:fldCharType="separate"/>
            </w:r>
            <w:r w:rsidR="00591896">
              <w:rPr>
                <w:noProof/>
                <w:webHidden/>
              </w:rPr>
              <w:t>3</w:t>
            </w:r>
            <w:r w:rsidR="00EA7EE7" w:rsidRPr="00EA7EE7">
              <w:rPr>
                <w:noProof/>
                <w:webHidden/>
              </w:rPr>
              <w:fldChar w:fldCharType="end"/>
            </w:r>
          </w:hyperlink>
        </w:p>
        <w:p w14:paraId="3C7CA15C" w14:textId="0DABFAF4" w:rsidR="00EA7EE7" w:rsidRPr="00EA7EE7" w:rsidRDefault="00B87B81" w:rsidP="00EA7EE7">
          <w:pPr>
            <w:pStyle w:val="Obsah1"/>
            <w:spacing w:line="276" w:lineRule="auto"/>
            <w:rPr>
              <w:rFonts w:eastAsiaTheme="minorEastAsia"/>
              <w:noProof/>
              <w:color w:val="auto"/>
              <w:lang w:eastAsia="cs-CZ"/>
            </w:rPr>
          </w:pPr>
          <w:hyperlink w:anchor="_Toc174703062" w:history="1">
            <w:r w:rsidR="00EA7EE7" w:rsidRPr="00EA7EE7">
              <w:rPr>
                <w:rStyle w:val="Hypertextovodkaz"/>
                <w:noProof/>
              </w:rPr>
              <w:t>I.</w:t>
            </w:r>
            <w:r w:rsidR="00EA7EE7" w:rsidRPr="00EA7EE7">
              <w:rPr>
                <w:rFonts w:eastAsiaTheme="minorEastAsia"/>
                <w:noProof/>
                <w:color w:val="auto"/>
                <w:lang w:eastAsia="cs-CZ"/>
              </w:rPr>
              <w:tab/>
            </w:r>
            <w:r w:rsidR="00EA7EE7" w:rsidRPr="00EA7EE7">
              <w:rPr>
                <w:rStyle w:val="Hypertextovodkaz"/>
                <w:noProof/>
              </w:rPr>
              <w:t>ANALÝZA STAVU A VÝVOJE EKONOMIKY ČESKÉ REPUBLIKY</w:t>
            </w:r>
            <w:r w:rsidR="00EA7EE7" w:rsidRPr="00EA7EE7">
              <w:rPr>
                <w:noProof/>
                <w:webHidden/>
              </w:rPr>
              <w:tab/>
            </w:r>
            <w:r w:rsidR="00EA7EE7" w:rsidRPr="00EA7EE7">
              <w:rPr>
                <w:noProof/>
                <w:webHidden/>
              </w:rPr>
              <w:fldChar w:fldCharType="begin"/>
            </w:r>
            <w:r w:rsidR="00EA7EE7" w:rsidRPr="00EA7EE7">
              <w:rPr>
                <w:noProof/>
                <w:webHidden/>
              </w:rPr>
              <w:instrText xml:space="preserve"> PAGEREF _Toc174703062 \h </w:instrText>
            </w:r>
            <w:r w:rsidR="00EA7EE7" w:rsidRPr="00EA7EE7">
              <w:rPr>
                <w:noProof/>
                <w:webHidden/>
              </w:rPr>
            </w:r>
            <w:r w:rsidR="00EA7EE7" w:rsidRPr="00EA7EE7">
              <w:rPr>
                <w:noProof/>
                <w:webHidden/>
              </w:rPr>
              <w:fldChar w:fldCharType="separate"/>
            </w:r>
            <w:r w:rsidR="00591896">
              <w:rPr>
                <w:noProof/>
                <w:webHidden/>
              </w:rPr>
              <w:t>4</w:t>
            </w:r>
            <w:r w:rsidR="00EA7EE7" w:rsidRPr="00EA7EE7">
              <w:rPr>
                <w:noProof/>
                <w:webHidden/>
              </w:rPr>
              <w:fldChar w:fldCharType="end"/>
            </w:r>
          </w:hyperlink>
        </w:p>
        <w:p w14:paraId="14472A28" w14:textId="0834D138" w:rsidR="00EA7EE7" w:rsidRPr="00EA7EE7" w:rsidRDefault="00B87B81" w:rsidP="00EA7EE7">
          <w:pPr>
            <w:pStyle w:val="Obsah3"/>
            <w:spacing w:after="0" w:line="276" w:lineRule="auto"/>
            <w:rPr>
              <w:rFonts w:eastAsiaTheme="minorEastAsia"/>
              <w:noProof/>
              <w:color w:val="auto"/>
              <w:lang w:eastAsia="cs-CZ"/>
            </w:rPr>
          </w:pPr>
          <w:hyperlink w:anchor="_Toc174703063" w:history="1">
            <w:r w:rsidR="00EA7EE7" w:rsidRPr="00EA7EE7">
              <w:rPr>
                <w:rStyle w:val="Hypertextovodkaz"/>
                <w:noProof/>
              </w:rPr>
              <w:t>Vývoj a struktura hospodářství</w:t>
            </w:r>
            <w:r w:rsidR="00EA7EE7" w:rsidRPr="00EA7EE7">
              <w:rPr>
                <w:noProof/>
                <w:webHidden/>
              </w:rPr>
              <w:tab/>
            </w:r>
            <w:r w:rsidR="00EA7EE7" w:rsidRPr="00EA7EE7">
              <w:rPr>
                <w:noProof/>
                <w:webHidden/>
              </w:rPr>
              <w:fldChar w:fldCharType="begin"/>
            </w:r>
            <w:r w:rsidR="00EA7EE7" w:rsidRPr="00EA7EE7">
              <w:rPr>
                <w:noProof/>
                <w:webHidden/>
              </w:rPr>
              <w:instrText xml:space="preserve"> PAGEREF _Toc174703063 \h </w:instrText>
            </w:r>
            <w:r w:rsidR="00EA7EE7" w:rsidRPr="00EA7EE7">
              <w:rPr>
                <w:noProof/>
                <w:webHidden/>
              </w:rPr>
            </w:r>
            <w:r w:rsidR="00EA7EE7" w:rsidRPr="00EA7EE7">
              <w:rPr>
                <w:noProof/>
                <w:webHidden/>
              </w:rPr>
              <w:fldChar w:fldCharType="separate"/>
            </w:r>
            <w:r w:rsidR="00591896">
              <w:rPr>
                <w:noProof/>
                <w:webHidden/>
              </w:rPr>
              <w:t>5</w:t>
            </w:r>
            <w:r w:rsidR="00EA7EE7" w:rsidRPr="00EA7EE7">
              <w:rPr>
                <w:noProof/>
                <w:webHidden/>
              </w:rPr>
              <w:fldChar w:fldCharType="end"/>
            </w:r>
          </w:hyperlink>
        </w:p>
        <w:p w14:paraId="0928EAF2" w14:textId="6FBD3836" w:rsidR="00EA7EE7" w:rsidRPr="00EA7EE7" w:rsidRDefault="00B87B81" w:rsidP="00EA7EE7">
          <w:pPr>
            <w:pStyle w:val="Obsah3"/>
            <w:spacing w:after="0" w:line="276" w:lineRule="auto"/>
            <w:rPr>
              <w:rFonts w:eastAsiaTheme="minorEastAsia"/>
              <w:noProof/>
              <w:color w:val="auto"/>
              <w:lang w:eastAsia="cs-CZ"/>
            </w:rPr>
          </w:pPr>
          <w:hyperlink w:anchor="_Toc174703064" w:history="1">
            <w:r w:rsidR="00EA7EE7" w:rsidRPr="00EA7EE7">
              <w:rPr>
                <w:rStyle w:val="Hypertextovodkaz"/>
                <w:noProof/>
              </w:rPr>
              <w:t>Klíčové trendy a jejich dopady na Českou republiku</w:t>
            </w:r>
            <w:r w:rsidR="00EA7EE7" w:rsidRPr="00EA7EE7">
              <w:rPr>
                <w:noProof/>
                <w:webHidden/>
              </w:rPr>
              <w:tab/>
            </w:r>
            <w:r w:rsidR="00EA7EE7" w:rsidRPr="00EA7EE7">
              <w:rPr>
                <w:noProof/>
                <w:webHidden/>
              </w:rPr>
              <w:fldChar w:fldCharType="begin"/>
            </w:r>
            <w:r w:rsidR="00EA7EE7" w:rsidRPr="00EA7EE7">
              <w:rPr>
                <w:noProof/>
                <w:webHidden/>
              </w:rPr>
              <w:instrText xml:space="preserve"> PAGEREF _Toc174703064 \h </w:instrText>
            </w:r>
            <w:r w:rsidR="00EA7EE7" w:rsidRPr="00EA7EE7">
              <w:rPr>
                <w:noProof/>
                <w:webHidden/>
              </w:rPr>
            </w:r>
            <w:r w:rsidR="00EA7EE7" w:rsidRPr="00EA7EE7">
              <w:rPr>
                <w:noProof/>
                <w:webHidden/>
              </w:rPr>
              <w:fldChar w:fldCharType="separate"/>
            </w:r>
            <w:r w:rsidR="00591896">
              <w:rPr>
                <w:noProof/>
                <w:webHidden/>
              </w:rPr>
              <w:t>7</w:t>
            </w:r>
            <w:r w:rsidR="00EA7EE7" w:rsidRPr="00EA7EE7">
              <w:rPr>
                <w:noProof/>
                <w:webHidden/>
              </w:rPr>
              <w:fldChar w:fldCharType="end"/>
            </w:r>
          </w:hyperlink>
        </w:p>
        <w:p w14:paraId="01C9F20D" w14:textId="47FDAA7C" w:rsidR="00EA7EE7" w:rsidRPr="00EA7EE7" w:rsidRDefault="00B87B81" w:rsidP="00EA7EE7">
          <w:pPr>
            <w:pStyle w:val="Obsah3"/>
            <w:spacing w:after="0" w:line="276" w:lineRule="auto"/>
            <w:rPr>
              <w:rFonts w:eastAsiaTheme="minorEastAsia"/>
              <w:noProof/>
              <w:color w:val="auto"/>
              <w:lang w:eastAsia="cs-CZ"/>
            </w:rPr>
          </w:pPr>
          <w:hyperlink w:anchor="_Toc174703065" w:history="1">
            <w:r w:rsidR="00EA7EE7" w:rsidRPr="00EA7EE7">
              <w:rPr>
                <w:rStyle w:val="Hypertextovodkaz"/>
                <w:noProof/>
              </w:rPr>
              <w:t>Souhrnná analýza vnitřního a vnějšího potenciálu (SWOT analýza) ekonomiky České republiky</w:t>
            </w:r>
            <w:r w:rsidR="00EA7EE7" w:rsidRPr="00EA7EE7">
              <w:rPr>
                <w:noProof/>
                <w:webHidden/>
              </w:rPr>
              <w:tab/>
            </w:r>
            <w:r w:rsidR="00EA7EE7" w:rsidRPr="00EA7EE7">
              <w:rPr>
                <w:noProof/>
                <w:webHidden/>
              </w:rPr>
              <w:fldChar w:fldCharType="begin"/>
            </w:r>
            <w:r w:rsidR="00EA7EE7" w:rsidRPr="00EA7EE7">
              <w:rPr>
                <w:noProof/>
                <w:webHidden/>
              </w:rPr>
              <w:instrText xml:space="preserve"> PAGEREF _Toc174703065 \h </w:instrText>
            </w:r>
            <w:r w:rsidR="00EA7EE7" w:rsidRPr="00EA7EE7">
              <w:rPr>
                <w:noProof/>
                <w:webHidden/>
              </w:rPr>
            </w:r>
            <w:r w:rsidR="00EA7EE7" w:rsidRPr="00EA7EE7">
              <w:rPr>
                <w:noProof/>
                <w:webHidden/>
              </w:rPr>
              <w:fldChar w:fldCharType="separate"/>
            </w:r>
            <w:r w:rsidR="00591896">
              <w:rPr>
                <w:noProof/>
                <w:webHidden/>
              </w:rPr>
              <w:t>9</w:t>
            </w:r>
            <w:r w:rsidR="00EA7EE7" w:rsidRPr="00EA7EE7">
              <w:rPr>
                <w:noProof/>
                <w:webHidden/>
              </w:rPr>
              <w:fldChar w:fldCharType="end"/>
            </w:r>
          </w:hyperlink>
        </w:p>
        <w:p w14:paraId="3B578FAD" w14:textId="44914F81" w:rsidR="00EA7EE7" w:rsidRPr="00EA7EE7" w:rsidRDefault="00B87B81" w:rsidP="00EA7EE7">
          <w:pPr>
            <w:pStyle w:val="Obsah3"/>
            <w:spacing w:after="0" w:line="276" w:lineRule="auto"/>
            <w:rPr>
              <w:rFonts w:eastAsiaTheme="minorEastAsia"/>
              <w:noProof/>
              <w:color w:val="auto"/>
              <w:lang w:eastAsia="cs-CZ"/>
            </w:rPr>
          </w:pPr>
          <w:hyperlink w:anchor="_Toc174703066" w:history="1">
            <w:r w:rsidR="00EA7EE7" w:rsidRPr="00EA7EE7">
              <w:rPr>
                <w:rStyle w:val="Hypertextovodkaz"/>
                <w:noProof/>
              </w:rPr>
              <w:t>Další významné analytické vstupy</w:t>
            </w:r>
            <w:r w:rsidR="00EA7EE7" w:rsidRPr="00EA7EE7">
              <w:rPr>
                <w:noProof/>
                <w:webHidden/>
              </w:rPr>
              <w:tab/>
            </w:r>
            <w:r w:rsidR="00EA7EE7" w:rsidRPr="00EA7EE7">
              <w:rPr>
                <w:noProof/>
                <w:webHidden/>
              </w:rPr>
              <w:fldChar w:fldCharType="begin"/>
            </w:r>
            <w:r w:rsidR="00EA7EE7" w:rsidRPr="00EA7EE7">
              <w:rPr>
                <w:noProof/>
                <w:webHidden/>
              </w:rPr>
              <w:instrText xml:space="preserve"> PAGEREF _Toc174703066 \h </w:instrText>
            </w:r>
            <w:r w:rsidR="00EA7EE7" w:rsidRPr="00EA7EE7">
              <w:rPr>
                <w:noProof/>
                <w:webHidden/>
              </w:rPr>
            </w:r>
            <w:r w:rsidR="00EA7EE7" w:rsidRPr="00EA7EE7">
              <w:rPr>
                <w:noProof/>
                <w:webHidden/>
              </w:rPr>
              <w:fldChar w:fldCharType="separate"/>
            </w:r>
            <w:r w:rsidR="00591896">
              <w:rPr>
                <w:noProof/>
                <w:webHidden/>
              </w:rPr>
              <w:t>10</w:t>
            </w:r>
            <w:r w:rsidR="00EA7EE7" w:rsidRPr="00EA7EE7">
              <w:rPr>
                <w:noProof/>
                <w:webHidden/>
              </w:rPr>
              <w:fldChar w:fldCharType="end"/>
            </w:r>
          </w:hyperlink>
        </w:p>
        <w:p w14:paraId="292FA71C" w14:textId="4C2D5B84" w:rsidR="00EA7EE7" w:rsidRPr="00EA7EE7" w:rsidRDefault="00B87B81" w:rsidP="00EA7EE7">
          <w:pPr>
            <w:pStyle w:val="Obsah3"/>
            <w:spacing w:after="0" w:line="276" w:lineRule="auto"/>
            <w:rPr>
              <w:rFonts w:eastAsiaTheme="minorEastAsia"/>
              <w:noProof/>
              <w:color w:val="auto"/>
              <w:lang w:eastAsia="cs-CZ"/>
            </w:rPr>
          </w:pPr>
          <w:hyperlink w:anchor="_Toc174703067" w:history="1">
            <w:r w:rsidR="00EA7EE7" w:rsidRPr="00EA7EE7">
              <w:rPr>
                <w:rStyle w:val="Hypertextovodkaz"/>
                <w:noProof/>
              </w:rPr>
              <w:t>Závěry analytické části</w:t>
            </w:r>
            <w:r w:rsidR="00EA7EE7" w:rsidRPr="00EA7EE7">
              <w:rPr>
                <w:noProof/>
                <w:webHidden/>
              </w:rPr>
              <w:tab/>
            </w:r>
            <w:r w:rsidR="00EA7EE7" w:rsidRPr="00EA7EE7">
              <w:rPr>
                <w:noProof/>
                <w:webHidden/>
              </w:rPr>
              <w:fldChar w:fldCharType="begin"/>
            </w:r>
            <w:r w:rsidR="00EA7EE7" w:rsidRPr="00EA7EE7">
              <w:rPr>
                <w:noProof/>
                <w:webHidden/>
              </w:rPr>
              <w:instrText xml:space="preserve"> PAGEREF _Toc174703067 \h </w:instrText>
            </w:r>
            <w:r w:rsidR="00EA7EE7" w:rsidRPr="00EA7EE7">
              <w:rPr>
                <w:noProof/>
                <w:webHidden/>
              </w:rPr>
            </w:r>
            <w:r w:rsidR="00EA7EE7" w:rsidRPr="00EA7EE7">
              <w:rPr>
                <w:noProof/>
                <w:webHidden/>
              </w:rPr>
              <w:fldChar w:fldCharType="separate"/>
            </w:r>
            <w:r w:rsidR="00591896">
              <w:rPr>
                <w:noProof/>
                <w:webHidden/>
              </w:rPr>
              <w:t>10</w:t>
            </w:r>
            <w:r w:rsidR="00EA7EE7" w:rsidRPr="00EA7EE7">
              <w:rPr>
                <w:noProof/>
                <w:webHidden/>
              </w:rPr>
              <w:fldChar w:fldCharType="end"/>
            </w:r>
          </w:hyperlink>
        </w:p>
        <w:p w14:paraId="242A9DB0" w14:textId="01FBA7CA" w:rsidR="00EA7EE7" w:rsidRPr="00EA7EE7" w:rsidRDefault="00B87B81" w:rsidP="00EA7EE7">
          <w:pPr>
            <w:pStyle w:val="Obsah3"/>
            <w:spacing w:after="0" w:line="276" w:lineRule="auto"/>
            <w:rPr>
              <w:rFonts w:eastAsiaTheme="minorEastAsia"/>
              <w:noProof/>
              <w:color w:val="auto"/>
              <w:lang w:eastAsia="cs-CZ"/>
            </w:rPr>
          </w:pPr>
          <w:hyperlink w:anchor="_Toc174703068" w:history="1">
            <w:r w:rsidR="00EA7EE7" w:rsidRPr="00EA7EE7">
              <w:rPr>
                <w:rStyle w:val="Hypertextovodkaz"/>
                <w:noProof/>
              </w:rPr>
              <w:t>Grafický přehled</w:t>
            </w:r>
            <w:r w:rsidR="00EA7EE7" w:rsidRPr="00EA7EE7">
              <w:rPr>
                <w:noProof/>
                <w:webHidden/>
              </w:rPr>
              <w:tab/>
            </w:r>
            <w:r w:rsidR="00EA7EE7" w:rsidRPr="00EA7EE7">
              <w:rPr>
                <w:noProof/>
                <w:webHidden/>
              </w:rPr>
              <w:fldChar w:fldCharType="begin"/>
            </w:r>
            <w:r w:rsidR="00EA7EE7" w:rsidRPr="00EA7EE7">
              <w:rPr>
                <w:noProof/>
                <w:webHidden/>
              </w:rPr>
              <w:instrText xml:space="preserve"> PAGEREF _Toc174703068 \h </w:instrText>
            </w:r>
            <w:r w:rsidR="00EA7EE7" w:rsidRPr="00EA7EE7">
              <w:rPr>
                <w:noProof/>
                <w:webHidden/>
              </w:rPr>
            </w:r>
            <w:r w:rsidR="00EA7EE7" w:rsidRPr="00EA7EE7">
              <w:rPr>
                <w:noProof/>
                <w:webHidden/>
              </w:rPr>
              <w:fldChar w:fldCharType="separate"/>
            </w:r>
            <w:r w:rsidR="00591896">
              <w:rPr>
                <w:noProof/>
                <w:webHidden/>
              </w:rPr>
              <w:t>11</w:t>
            </w:r>
            <w:r w:rsidR="00EA7EE7" w:rsidRPr="00EA7EE7">
              <w:rPr>
                <w:noProof/>
                <w:webHidden/>
              </w:rPr>
              <w:fldChar w:fldCharType="end"/>
            </w:r>
          </w:hyperlink>
        </w:p>
        <w:p w14:paraId="11F02B7A" w14:textId="4AEB8991" w:rsidR="00EA7EE7" w:rsidRPr="00EA7EE7" w:rsidRDefault="00B87B81" w:rsidP="00EA7EE7">
          <w:pPr>
            <w:pStyle w:val="Obsah3"/>
            <w:spacing w:after="0" w:line="276" w:lineRule="auto"/>
            <w:rPr>
              <w:rFonts w:eastAsiaTheme="minorEastAsia"/>
              <w:noProof/>
              <w:color w:val="auto"/>
              <w:lang w:eastAsia="cs-CZ"/>
            </w:rPr>
          </w:pPr>
          <w:hyperlink w:anchor="_Toc174703069" w:history="1">
            <w:r w:rsidR="00EA7EE7" w:rsidRPr="00EA7EE7">
              <w:rPr>
                <w:rStyle w:val="Hypertextovodkaz"/>
                <w:noProof/>
              </w:rPr>
              <w:t>Mezinárodní vnímání České republiky</w:t>
            </w:r>
            <w:r w:rsidR="00EA7EE7" w:rsidRPr="00EA7EE7">
              <w:rPr>
                <w:noProof/>
                <w:webHidden/>
              </w:rPr>
              <w:tab/>
            </w:r>
            <w:r w:rsidR="00EA7EE7" w:rsidRPr="00EA7EE7">
              <w:rPr>
                <w:noProof/>
                <w:webHidden/>
              </w:rPr>
              <w:fldChar w:fldCharType="begin"/>
            </w:r>
            <w:r w:rsidR="00EA7EE7" w:rsidRPr="00EA7EE7">
              <w:rPr>
                <w:noProof/>
                <w:webHidden/>
              </w:rPr>
              <w:instrText xml:space="preserve"> PAGEREF _Toc174703069 \h </w:instrText>
            </w:r>
            <w:r w:rsidR="00EA7EE7" w:rsidRPr="00EA7EE7">
              <w:rPr>
                <w:noProof/>
                <w:webHidden/>
              </w:rPr>
            </w:r>
            <w:r w:rsidR="00EA7EE7" w:rsidRPr="00EA7EE7">
              <w:rPr>
                <w:noProof/>
                <w:webHidden/>
              </w:rPr>
              <w:fldChar w:fldCharType="separate"/>
            </w:r>
            <w:r w:rsidR="00591896">
              <w:rPr>
                <w:noProof/>
                <w:webHidden/>
              </w:rPr>
              <w:t>18</w:t>
            </w:r>
            <w:r w:rsidR="00EA7EE7" w:rsidRPr="00EA7EE7">
              <w:rPr>
                <w:noProof/>
                <w:webHidden/>
              </w:rPr>
              <w:fldChar w:fldCharType="end"/>
            </w:r>
          </w:hyperlink>
        </w:p>
        <w:p w14:paraId="45C0A62F" w14:textId="0984CE8E" w:rsidR="00EA7EE7" w:rsidRPr="00EA7EE7" w:rsidRDefault="00B87B81" w:rsidP="00EA7EE7">
          <w:pPr>
            <w:pStyle w:val="Obsah1"/>
            <w:spacing w:line="276" w:lineRule="auto"/>
            <w:rPr>
              <w:rFonts w:eastAsiaTheme="minorEastAsia"/>
              <w:noProof/>
              <w:color w:val="auto"/>
              <w:lang w:eastAsia="cs-CZ"/>
            </w:rPr>
          </w:pPr>
          <w:hyperlink w:anchor="_Toc174703070" w:history="1">
            <w:r w:rsidR="00EA7EE7" w:rsidRPr="00EA7EE7">
              <w:rPr>
                <w:rStyle w:val="Hypertextovodkaz"/>
                <w:noProof/>
              </w:rPr>
              <w:t>II.</w:t>
            </w:r>
            <w:r w:rsidR="00EA7EE7" w:rsidRPr="00EA7EE7">
              <w:rPr>
                <w:rFonts w:eastAsiaTheme="minorEastAsia"/>
                <w:noProof/>
                <w:color w:val="auto"/>
                <w:lang w:eastAsia="cs-CZ"/>
              </w:rPr>
              <w:tab/>
            </w:r>
            <w:r w:rsidR="00EA7EE7" w:rsidRPr="00EA7EE7">
              <w:rPr>
                <w:rStyle w:val="Hypertextovodkaz"/>
                <w:noProof/>
              </w:rPr>
              <w:t>STRATEGIE A JEJÍ OBLASTI</w:t>
            </w:r>
            <w:r w:rsidR="00EA7EE7" w:rsidRPr="00EA7EE7">
              <w:rPr>
                <w:noProof/>
                <w:webHidden/>
              </w:rPr>
              <w:tab/>
            </w:r>
            <w:r w:rsidR="00EA7EE7" w:rsidRPr="00EA7EE7">
              <w:rPr>
                <w:noProof/>
                <w:webHidden/>
              </w:rPr>
              <w:fldChar w:fldCharType="begin"/>
            </w:r>
            <w:r w:rsidR="00EA7EE7" w:rsidRPr="00EA7EE7">
              <w:rPr>
                <w:noProof/>
                <w:webHidden/>
              </w:rPr>
              <w:instrText xml:space="preserve"> PAGEREF _Toc174703070 \h </w:instrText>
            </w:r>
            <w:r w:rsidR="00EA7EE7" w:rsidRPr="00EA7EE7">
              <w:rPr>
                <w:noProof/>
                <w:webHidden/>
              </w:rPr>
            </w:r>
            <w:r w:rsidR="00EA7EE7" w:rsidRPr="00EA7EE7">
              <w:rPr>
                <w:noProof/>
                <w:webHidden/>
              </w:rPr>
              <w:fldChar w:fldCharType="separate"/>
            </w:r>
            <w:r w:rsidR="00591896">
              <w:rPr>
                <w:noProof/>
                <w:webHidden/>
              </w:rPr>
              <w:t>21</w:t>
            </w:r>
            <w:r w:rsidR="00EA7EE7" w:rsidRPr="00EA7EE7">
              <w:rPr>
                <w:noProof/>
                <w:webHidden/>
              </w:rPr>
              <w:fldChar w:fldCharType="end"/>
            </w:r>
          </w:hyperlink>
        </w:p>
        <w:p w14:paraId="0AB44221" w14:textId="3B04CD77" w:rsidR="00EA7EE7" w:rsidRPr="00EA7EE7" w:rsidRDefault="00B87B81" w:rsidP="00EA7EE7">
          <w:pPr>
            <w:pStyle w:val="Obsah2"/>
            <w:spacing w:after="0" w:line="276" w:lineRule="auto"/>
            <w:rPr>
              <w:rFonts w:eastAsiaTheme="minorEastAsia"/>
              <w:noProof/>
              <w:color w:val="auto"/>
              <w:lang w:eastAsia="cs-CZ"/>
            </w:rPr>
          </w:pPr>
          <w:hyperlink w:anchor="_Toc174703071" w:history="1">
            <w:r w:rsidR="00EA7EE7" w:rsidRPr="00EA7EE7">
              <w:rPr>
                <w:rStyle w:val="Hypertextovodkaz"/>
                <w:noProof/>
              </w:rPr>
              <w:t>1.</w:t>
            </w:r>
            <w:r w:rsidR="00EA7EE7" w:rsidRPr="00EA7EE7">
              <w:rPr>
                <w:rFonts w:eastAsiaTheme="minorEastAsia"/>
                <w:noProof/>
                <w:color w:val="auto"/>
                <w:lang w:eastAsia="cs-CZ"/>
              </w:rPr>
              <w:tab/>
            </w:r>
            <w:r w:rsidR="00EA7EE7" w:rsidRPr="00EA7EE7">
              <w:rPr>
                <w:rStyle w:val="Hypertextovodkaz"/>
                <w:noProof/>
              </w:rPr>
              <w:t>Lidský kapitál, produktivita a přidaná hodnota</w:t>
            </w:r>
            <w:r w:rsidR="00EA7EE7" w:rsidRPr="00EA7EE7">
              <w:rPr>
                <w:noProof/>
                <w:webHidden/>
              </w:rPr>
              <w:tab/>
            </w:r>
            <w:r w:rsidR="00EA7EE7" w:rsidRPr="00EA7EE7">
              <w:rPr>
                <w:noProof/>
                <w:webHidden/>
              </w:rPr>
              <w:fldChar w:fldCharType="begin"/>
            </w:r>
            <w:r w:rsidR="00EA7EE7" w:rsidRPr="00EA7EE7">
              <w:rPr>
                <w:noProof/>
                <w:webHidden/>
              </w:rPr>
              <w:instrText xml:space="preserve"> PAGEREF _Toc174703071 \h </w:instrText>
            </w:r>
            <w:r w:rsidR="00EA7EE7" w:rsidRPr="00EA7EE7">
              <w:rPr>
                <w:noProof/>
                <w:webHidden/>
              </w:rPr>
            </w:r>
            <w:r w:rsidR="00EA7EE7" w:rsidRPr="00EA7EE7">
              <w:rPr>
                <w:noProof/>
                <w:webHidden/>
              </w:rPr>
              <w:fldChar w:fldCharType="separate"/>
            </w:r>
            <w:r w:rsidR="00591896">
              <w:rPr>
                <w:noProof/>
                <w:webHidden/>
              </w:rPr>
              <w:t>22</w:t>
            </w:r>
            <w:r w:rsidR="00EA7EE7" w:rsidRPr="00EA7EE7">
              <w:rPr>
                <w:noProof/>
                <w:webHidden/>
              </w:rPr>
              <w:fldChar w:fldCharType="end"/>
            </w:r>
          </w:hyperlink>
        </w:p>
        <w:p w14:paraId="4059926D" w14:textId="57899501" w:rsidR="00EA7EE7" w:rsidRPr="00EA7EE7" w:rsidRDefault="00B87B81" w:rsidP="00EA7EE7">
          <w:pPr>
            <w:pStyle w:val="Obsah3"/>
            <w:spacing w:after="0" w:line="276" w:lineRule="auto"/>
            <w:rPr>
              <w:rFonts w:eastAsiaTheme="minorEastAsia"/>
              <w:noProof/>
              <w:color w:val="auto"/>
              <w:lang w:eastAsia="cs-CZ"/>
            </w:rPr>
          </w:pPr>
          <w:hyperlink w:anchor="_Toc174703072" w:history="1">
            <w:r w:rsidR="00EA7EE7" w:rsidRPr="00EA7EE7">
              <w:rPr>
                <w:rStyle w:val="Hypertextovodkaz"/>
                <w:noProof/>
              </w:rPr>
              <w:t>1.1</w:t>
            </w:r>
            <w:r w:rsidR="00EA7EE7" w:rsidRPr="00EA7EE7">
              <w:rPr>
                <w:rFonts w:eastAsiaTheme="minorEastAsia"/>
                <w:noProof/>
                <w:color w:val="auto"/>
                <w:lang w:eastAsia="cs-CZ"/>
              </w:rPr>
              <w:tab/>
            </w:r>
            <w:r w:rsidR="00EA7EE7" w:rsidRPr="00EA7EE7">
              <w:rPr>
                <w:rStyle w:val="Hypertextovodkaz"/>
                <w:noProof/>
              </w:rPr>
              <w:t>Lidský kapitál (vzdělávání, trh práce, zdraví)</w:t>
            </w:r>
            <w:r w:rsidR="00EA7EE7" w:rsidRPr="00EA7EE7">
              <w:rPr>
                <w:noProof/>
                <w:webHidden/>
              </w:rPr>
              <w:tab/>
            </w:r>
            <w:r w:rsidR="00EA7EE7" w:rsidRPr="00EA7EE7">
              <w:rPr>
                <w:noProof/>
                <w:webHidden/>
              </w:rPr>
              <w:fldChar w:fldCharType="begin"/>
            </w:r>
            <w:r w:rsidR="00EA7EE7" w:rsidRPr="00EA7EE7">
              <w:rPr>
                <w:noProof/>
                <w:webHidden/>
              </w:rPr>
              <w:instrText xml:space="preserve"> PAGEREF _Toc174703072 \h </w:instrText>
            </w:r>
            <w:r w:rsidR="00EA7EE7" w:rsidRPr="00EA7EE7">
              <w:rPr>
                <w:noProof/>
                <w:webHidden/>
              </w:rPr>
            </w:r>
            <w:r w:rsidR="00EA7EE7" w:rsidRPr="00EA7EE7">
              <w:rPr>
                <w:noProof/>
                <w:webHidden/>
              </w:rPr>
              <w:fldChar w:fldCharType="separate"/>
            </w:r>
            <w:r w:rsidR="00591896">
              <w:rPr>
                <w:noProof/>
                <w:webHidden/>
              </w:rPr>
              <w:t>23</w:t>
            </w:r>
            <w:r w:rsidR="00EA7EE7" w:rsidRPr="00EA7EE7">
              <w:rPr>
                <w:noProof/>
                <w:webHidden/>
              </w:rPr>
              <w:fldChar w:fldCharType="end"/>
            </w:r>
          </w:hyperlink>
        </w:p>
        <w:p w14:paraId="47534068" w14:textId="5783C62A" w:rsidR="00EA7EE7" w:rsidRPr="00EA7EE7" w:rsidRDefault="00B87B81" w:rsidP="00EA7EE7">
          <w:pPr>
            <w:pStyle w:val="Obsah3"/>
            <w:spacing w:after="0" w:line="276" w:lineRule="auto"/>
            <w:rPr>
              <w:rFonts w:eastAsiaTheme="minorEastAsia"/>
              <w:noProof/>
              <w:color w:val="auto"/>
              <w:lang w:eastAsia="cs-CZ"/>
            </w:rPr>
          </w:pPr>
          <w:hyperlink w:anchor="_Toc174703073" w:history="1">
            <w:r w:rsidR="00EA7EE7" w:rsidRPr="00EA7EE7">
              <w:rPr>
                <w:rStyle w:val="Hypertextovodkaz"/>
                <w:noProof/>
              </w:rPr>
              <w:t>1.2</w:t>
            </w:r>
            <w:r w:rsidR="00EA7EE7" w:rsidRPr="00EA7EE7">
              <w:rPr>
                <w:rFonts w:eastAsiaTheme="minorEastAsia"/>
                <w:noProof/>
                <w:color w:val="auto"/>
                <w:lang w:eastAsia="cs-CZ"/>
              </w:rPr>
              <w:tab/>
            </w:r>
            <w:r w:rsidR="00EA7EE7" w:rsidRPr="00EA7EE7">
              <w:rPr>
                <w:rStyle w:val="Hypertextovodkaz"/>
                <w:noProof/>
              </w:rPr>
              <w:t>Výzkum, vývoj a inovace</w:t>
            </w:r>
            <w:r w:rsidR="00EA7EE7" w:rsidRPr="00EA7EE7">
              <w:rPr>
                <w:noProof/>
                <w:webHidden/>
              </w:rPr>
              <w:tab/>
            </w:r>
            <w:r w:rsidR="00EA7EE7" w:rsidRPr="00EA7EE7">
              <w:rPr>
                <w:noProof/>
                <w:webHidden/>
              </w:rPr>
              <w:fldChar w:fldCharType="begin"/>
            </w:r>
            <w:r w:rsidR="00EA7EE7" w:rsidRPr="00EA7EE7">
              <w:rPr>
                <w:noProof/>
                <w:webHidden/>
              </w:rPr>
              <w:instrText xml:space="preserve"> PAGEREF _Toc174703073 \h </w:instrText>
            </w:r>
            <w:r w:rsidR="00EA7EE7" w:rsidRPr="00EA7EE7">
              <w:rPr>
                <w:noProof/>
                <w:webHidden/>
              </w:rPr>
            </w:r>
            <w:r w:rsidR="00EA7EE7" w:rsidRPr="00EA7EE7">
              <w:rPr>
                <w:noProof/>
                <w:webHidden/>
              </w:rPr>
              <w:fldChar w:fldCharType="separate"/>
            </w:r>
            <w:r w:rsidR="00591896">
              <w:rPr>
                <w:noProof/>
                <w:webHidden/>
              </w:rPr>
              <w:t>27</w:t>
            </w:r>
            <w:r w:rsidR="00EA7EE7" w:rsidRPr="00EA7EE7">
              <w:rPr>
                <w:noProof/>
                <w:webHidden/>
              </w:rPr>
              <w:fldChar w:fldCharType="end"/>
            </w:r>
          </w:hyperlink>
        </w:p>
        <w:p w14:paraId="5FDAA355" w14:textId="016F8009" w:rsidR="00EA7EE7" w:rsidRPr="00EA7EE7" w:rsidRDefault="00B87B81" w:rsidP="00EA7EE7">
          <w:pPr>
            <w:pStyle w:val="Obsah3"/>
            <w:spacing w:after="0" w:line="276" w:lineRule="auto"/>
            <w:rPr>
              <w:rFonts w:eastAsiaTheme="minorEastAsia"/>
              <w:noProof/>
              <w:color w:val="auto"/>
              <w:lang w:eastAsia="cs-CZ"/>
            </w:rPr>
          </w:pPr>
          <w:hyperlink w:anchor="_Toc174703074" w:history="1">
            <w:r w:rsidR="00EA7EE7" w:rsidRPr="00EA7EE7">
              <w:rPr>
                <w:rStyle w:val="Hypertextovodkaz"/>
                <w:noProof/>
              </w:rPr>
              <w:t>1.3</w:t>
            </w:r>
            <w:r w:rsidR="00EA7EE7" w:rsidRPr="00EA7EE7">
              <w:rPr>
                <w:rFonts w:eastAsiaTheme="minorEastAsia"/>
                <w:noProof/>
                <w:color w:val="auto"/>
                <w:lang w:eastAsia="cs-CZ"/>
              </w:rPr>
              <w:tab/>
            </w:r>
            <w:r w:rsidR="00EA7EE7" w:rsidRPr="00EA7EE7">
              <w:rPr>
                <w:rStyle w:val="Hypertextovodkaz"/>
                <w:noProof/>
              </w:rPr>
              <w:t>Digitalizace a informační koncepce (</w:t>
            </w:r>
            <w:r w:rsidR="00EA7EE7" w:rsidRPr="00EA7EE7">
              <w:rPr>
                <w:rStyle w:val="Hypertextovodkaz"/>
                <w:noProof/>
                <w:lang w:val="en-GB"/>
              </w:rPr>
              <w:t>e-Government</w:t>
            </w:r>
            <w:r w:rsidR="00EA7EE7" w:rsidRPr="00EA7EE7">
              <w:rPr>
                <w:rStyle w:val="Hypertextovodkaz"/>
                <w:noProof/>
              </w:rPr>
              <w:t>)</w:t>
            </w:r>
            <w:r w:rsidR="00EA7EE7" w:rsidRPr="00EA7EE7">
              <w:rPr>
                <w:noProof/>
                <w:webHidden/>
              </w:rPr>
              <w:tab/>
            </w:r>
            <w:r w:rsidR="00EA7EE7" w:rsidRPr="00EA7EE7">
              <w:rPr>
                <w:noProof/>
                <w:webHidden/>
              </w:rPr>
              <w:fldChar w:fldCharType="begin"/>
            </w:r>
            <w:r w:rsidR="00EA7EE7" w:rsidRPr="00EA7EE7">
              <w:rPr>
                <w:noProof/>
                <w:webHidden/>
              </w:rPr>
              <w:instrText xml:space="preserve"> PAGEREF _Toc174703074 \h </w:instrText>
            </w:r>
            <w:r w:rsidR="00EA7EE7" w:rsidRPr="00EA7EE7">
              <w:rPr>
                <w:noProof/>
                <w:webHidden/>
              </w:rPr>
            </w:r>
            <w:r w:rsidR="00EA7EE7" w:rsidRPr="00EA7EE7">
              <w:rPr>
                <w:noProof/>
                <w:webHidden/>
              </w:rPr>
              <w:fldChar w:fldCharType="separate"/>
            </w:r>
            <w:r w:rsidR="00591896">
              <w:rPr>
                <w:noProof/>
                <w:webHidden/>
              </w:rPr>
              <w:t>29</w:t>
            </w:r>
            <w:r w:rsidR="00EA7EE7" w:rsidRPr="00EA7EE7">
              <w:rPr>
                <w:noProof/>
                <w:webHidden/>
              </w:rPr>
              <w:fldChar w:fldCharType="end"/>
            </w:r>
          </w:hyperlink>
        </w:p>
        <w:p w14:paraId="61B8CDA4" w14:textId="7653D5DA" w:rsidR="00EA7EE7" w:rsidRPr="00EA7EE7" w:rsidRDefault="00B87B81" w:rsidP="00EA7EE7">
          <w:pPr>
            <w:pStyle w:val="Obsah3"/>
            <w:spacing w:after="0" w:line="276" w:lineRule="auto"/>
            <w:rPr>
              <w:rFonts w:eastAsiaTheme="minorEastAsia"/>
              <w:noProof/>
              <w:color w:val="auto"/>
              <w:lang w:eastAsia="cs-CZ"/>
            </w:rPr>
          </w:pPr>
          <w:hyperlink w:anchor="_Toc174703075" w:history="1">
            <w:r w:rsidR="00EA7EE7" w:rsidRPr="00EA7EE7">
              <w:rPr>
                <w:rStyle w:val="Hypertextovodkaz"/>
                <w:noProof/>
              </w:rPr>
              <w:t>1.4</w:t>
            </w:r>
            <w:r w:rsidR="00EA7EE7" w:rsidRPr="00EA7EE7">
              <w:rPr>
                <w:rFonts w:eastAsiaTheme="minorEastAsia"/>
                <w:noProof/>
                <w:color w:val="auto"/>
                <w:lang w:eastAsia="cs-CZ"/>
              </w:rPr>
              <w:tab/>
            </w:r>
            <w:r w:rsidR="00EA7EE7" w:rsidRPr="00EA7EE7">
              <w:rPr>
                <w:rStyle w:val="Hypertextovodkaz"/>
                <w:noProof/>
              </w:rPr>
              <w:t>Fungující a efektivní regulace, podnikatelské prostředí</w:t>
            </w:r>
            <w:r w:rsidR="00EA7EE7" w:rsidRPr="00EA7EE7">
              <w:rPr>
                <w:noProof/>
                <w:webHidden/>
              </w:rPr>
              <w:tab/>
            </w:r>
            <w:r w:rsidR="00EA7EE7" w:rsidRPr="00EA7EE7">
              <w:rPr>
                <w:noProof/>
                <w:webHidden/>
              </w:rPr>
              <w:fldChar w:fldCharType="begin"/>
            </w:r>
            <w:r w:rsidR="00EA7EE7" w:rsidRPr="00EA7EE7">
              <w:rPr>
                <w:noProof/>
                <w:webHidden/>
              </w:rPr>
              <w:instrText xml:space="preserve"> PAGEREF _Toc174703075 \h </w:instrText>
            </w:r>
            <w:r w:rsidR="00EA7EE7" w:rsidRPr="00EA7EE7">
              <w:rPr>
                <w:noProof/>
                <w:webHidden/>
              </w:rPr>
            </w:r>
            <w:r w:rsidR="00EA7EE7" w:rsidRPr="00EA7EE7">
              <w:rPr>
                <w:noProof/>
                <w:webHidden/>
              </w:rPr>
              <w:fldChar w:fldCharType="separate"/>
            </w:r>
            <w:r w:rsidR="00591896">
              <w:rPr>
                <w:noProof/>
                <w:webHidden/>
              </w:rPr>
              <w:t>31</w:t>
            </w:r>
            <w:r w:rsidR="00EA7EE7" w:rsidRPr="00EA7EE7">
              <w:rPr>
                <w:noProof/>
                <w:webHidden/>
              </w:rPr>
              <w:fldChar w:fldCharType="end"/>
            </w:r>
          </w:hyperlink>
        </w:p>
        <w:p w14:paraId="09B5FDA6" w14:textId="76D121CD" w:rsidR="00EA7EE7" w:rsidRPr="00EA7EE7" w:rsidRDefault="00B87B81" w:rsidP="00EA7EE7">
          <w:pPr>
            <w:pStyle w:val="Obsah3"/>
            <w:spacing w:after="0" w:line="276" w:lineRule="auto"/>
            <w:rPr>
              <w:rFonts w:eastAsiaTheme="minorEastAsia"/>
              <w:noProof/>
              <w:color w:val="auto"/>
              <w:lang w:eastAsia="cs-CZ"/>
            </w:rPr>
          </w:pPr>
          <w:hyperlink w:anchor="_Toc174703076" w:history="1">
            <w:r w:rsidR="00EA7EE7" w:rsidRPr="00EA7EE7">
              <w:rPr>
                <w:rStyle w:val="Hypertextovodkaz"/>
                <w:noProof/>
              </w:rPr>
              <w:t>1.5</w:t>
            </w:r>
            <w:r w:rsidR="00EA7EE7" w:rsidRPr="00EA7EE7">
              <w:rPr>
                <w:rFonts w:eastAsiaTheme="minorEastAsia"/>
                <w:noProof/>
                <w:color w:val="auto"/>
                <w:lang w:eastAsia="cs-CZ"/>
              </w:rPr>
              <w:tab/>
            </w:r>
            <w:r w:rsidR="00EA7EE7" w:rsidRPr="00EA7EE7">
              <w:rPr>
                <w:rStyle w:val="Hypertextovodkaz"/>
                <w:noProof/>
              </w:rPr>
              <w:t>Kvalita veřejných institucí</w:t>
            </w:r>
            <w:r w:rsidR="00EA7EE7" w:rsidRPr="00EA7EE7">
              <w:rPr>
                <w:noProof/>
                <w:webHidden/>
              </w:rPr>
              <w:tab/>
            </w:r>
            <w:r w:rsidR="00EA7EE7" w:rsidRPr="00EA7EE7">
              <w:rPr>
                <w:noProof/>
                <w:webHidden/>
              </w:rPr>
              <w:fldChar w:fldCharType="begin"/>
            </w:r>
            <w:r w:rsidR="00EA7EE7" w:rsidRPr="00EA7EE7">
              <w:rPr>
                <w:noProof/>
                <w:webHidden/>
              </w:rPr>
              <w:instrText xml:space="preserve"> PAGEREF _Toc174703076 \h </w:instrText>
            </w:r>
            <w:r w:rsidR="00EA7EE7" w:rsidRPr="00EA7EE7">
              <w:rPr>
                <w:noProof/>
                <w:webHidden/>
              </w:rPr>
            </w:r>
            <w:r w:rsidR="00EA7EE7" w:rsidRPr="00EA7EE7">
              <w:rPr>
                <w:noProof/>
                <w:webHidden/>
              </w:rPr>
              <w:fldChar w:fldCharType="separate"/>
            </w:r>
            <w:r w:rsidR="00591896">
              <w:rPr>
                <w:noProof/>
                <w:webHidden/>
              </w:rPr>
              <w:t>34</w:t>
            </w:r>
            <w:r w:rsidR="00EA7EE7" w:rsidRPr="00EA7EE7">
              <w:rPr>
                <w:noProof/>
                <w:webHidden/>
              </w:rPr>
              <w:fldChar w:fldCharType="end"/>
            </w:r>
          </w:hyperlink>
        </w:p>
        <w:p w14:paraId="25D08074" w14:textId="43F17627" w:rsidR="00EA7EE7" w:rsidRPr="00EA7EE7" w:rsidRDefault="00B87B81" w:rsidP="00EA7EE7">
          <w:pPr>
            <w:pStyle w:val="Obsah2"/>
            <w:spacing w:after="0" w:line="276" w:lineRule="auto"/>
            <w:rPr>
              <w:rFonts w:eastAsiaTheme="minorEastAsia"/>
              <w:noProof/>
              <w:color w:val="auto"/>
              <w:lang w:eastAsia="cs-CZ"/>
            </w:rPr>
          </w:pPr>
          <w:hyperlink w:anchor="_Toc174703077" w:history="1">
            <w:r w:rsidR="00EA7EE7" w:rsidRPr="00EA7EE7">
              <w:rPr>
                <w:rStyle w:val="Hypertextovodkaz"/>
                <w:noProof/>
              </w:rPr>
              <w:t>2.</w:t>
            </w:r>
            <w:r w:rsidR="00EA7EE7" w:rsidRPr="00EA7EE7">
              <w:rPr>
                <w:rFonts w:eastAsiaTheme="minorEastAsia"/>
                <w:noProof/>
                <w:color w:val="auto"/>
                <w:lang w:eastAsia="cs-CZ"/>
              </w:rPr>
              <w:tab/>
            </w:r>
            <w:r w:rsidR="00EA7EE7" w:rsidRPr="00EA7EE7">
              <w:rPr>
                <w:rStyle w:val="Hypertextovodkaz"/>
                <w:noProof/>
              </w:rPr>
              <w:t>Strategická infrastruktura</w:t>
            </w:r>
            <w:r w:rsidR="00EA7EE7" w:rsidRPr="00EA7EE7">
              <w:rPr>
                <w:noProof/>
                <w:webHidden/>
              </w:rPr>
              <w:tab/>
            </w:r>
            <w:r w:rsidR="00EA7EE7" w:rsidRPr="00EA7EE7">
              <w:rPr>
                <w:noProof/>
                <w:webHidden/>
              </w:rPr>
              <w:fldChar w:fldCharType="begin"/>
            </w:r>
            <w:r w:rsidR="00EA7EE7" w:rsidRPr="00EA7EE7">
              <w:rPr>
                <w:noProof/>
                <w:webHidden/>
              </w:rPr>
              <w:instrText xml:space="preserve"> PAGEREF _Toc174703077 \h </w:instrText>
            </w:r>
            <w:r w:rsidR="00EA7EE7" w:rsidRPr="00EA7EE7">
              <w:rPr>
                <w:noProof/>
                <w:webHidden/>
              </w:rPr>
            </w:r>
            <w:r w:rsidR="00EA7EE7" w:rsidRPr="00EA7EE7">
              <w:rPr>
                <w:noProof/>
                <w:webHidden/>
              </w:rPr>
              <w:fldChar w:fldCharType="separate"/>
            </w:r>
            <w:r w:rsidR="00591896">
              <w:rPr>
                <w:noProof/>
                <w:webHidden/>
              </w:rPr>
              <w:t>36</w:t>
            </w:r>
            <w:r w:rsidR="00EA7EE7" w:rsidRPr="00EA7EE7">
              <w:rPr>
                <w:noProof/>
                <w:webHidden/>
              </w:rPr>
              <w:fldChar w:fldCharType="end"/>
            </w:r>
          </w:hyperlink>
        </w:p>
        <w:p w14:paraId="4ADCAFFE" w14:textId="5CBE1C7E" w:rsidR="00EA7EE7" w:rsidRPr="00EA7EE7" w:rsidRDefault="00B87B81" w:rsidP="00EA7EE7">
          <w:pPr>
            <w:pStyle w:val="Obsah3"/>
            <w:spacing w:after="0" w:line="276" w:lineRule="auto"/>
            <w:rPr>
              <w:rFonts w:eastAsiaTheme="minorEastAsia"/>
              <w:noProof/>
              <w:color w:val="auto"/>
              <w:lang w:eastAsia="cs-CZ"/>
            </w:rPr>
          </w:pPr>
          <w:hyperlink w:anchor="_Toc174703078" w:history="1">
            <w:r w:rsidR="00EA7EE7" w:rsidRPr="00EA7EE7">
              <w:rPr>
                <w:rStyle w:val="Hypertextovodkaz"/>
                <w:noProof/>
              </w:rPr>
              <w:t>2.1.</w:t>
            </w:r>
            <w:r w:rsidR="00EA7EE7" w:rsidRPr="00EA7EE7">
              <w:rPr>
                <w:rFonts w:eastAsiaTheme="minorEastAsia"/>
                <w:noProof/>
                <w:color w:val="auto"/>
                <w:lang w:eastAsia="cs-CZ"/>
              </w:rPr>
              <w:tab/>
            </w:r>
            <w:r w:rsidR="00EA7EE7" w:rsidRPr="00EA7EE7">
              <w:rPr>
                <w:rStyle w:val="Hypertextovodkaz"/>
                <w:noProof/>
              </w:rPr>
              <w:t>Energetická infrastruktura a dekarbonizace</w:t>
            </w:r>
            <w:r w:rsidR="00EA7EE7" w:rsidRPr="00EA7EE7">
              <w:rPr>
                <w:noProof/>
                <w:webHidden/>
              </w:rPr>
              <w:tab/>
            </w:r>
            <w:r w:rsidR="00EA7EE7" w:rsidRPr="00EA7EE7">
              <w:rPr>
                <w:noProof/>
                <w:webHidden/>
              </w:rPr>
              <w:fldChar w:fldCharType="begin"/>
            </w:r>
            <w:r w:rsidR="00EA7EE7" w:rsidRPr="00EA7EE7">
              <w:rPr>
                <w:noProof/>
                <w:webHidden/>
              </w:rPr>
              <w:instrText xml:space="preserve"> PAGEREF _Toc174703078 \h </w:instrText>
            </w:r>
            <w:r w:rsidR="00EA7EE7" w:rsidRPr="00EA7EE7">
              <w:rPr>
                <w:noProof/>
                <w:webHidden/>
              </w:rPr>
            </w:r>
            <w:r w:rsidR="00EA7EE7" w:rsidRPr="00EA7EE7">
              <w:rPr>
                <w:noProof/>
                <w:webHidden/>
              </w:rPr>
              <w:fldChar w:fldCharType="separate"/>
            </w:r>
            <w:r w:rsidR="00591896">
              <w:rPr>
                <w:noProof/>
                <w:webHidden/>
              </w:rPr>
              <w:t>37</w:t>
            </w:r>
            <w:r w:rsidR="00EA7EE7" w:rsidRPr="00EA7EE7">
              <w:rPr>
                <w:noProof/>
                <w:webHidden/>
              </w:rPr>
              <w:fldChar w:fldCharType="end"/>
            </w:r>
          </w:hyperlink>
        </w:p>
        <w:p w14:paraId="0F58728D" w14:textId="3F5F758A" w:rsidR="00EA7EE7" w:rsidRPr="00EA7EE7" w:rsidRDefault="00B87B81" w:rsidP="00EA7EE7">
          <w:pPr>
            <w:pStyle w:val="Obsah3"/>
            <w:spacing w:after="0" w:line="276" w:lineRule="auto"/>
            <w:rPr>
              <w:rFonts w:eastAsiaTheme="minorEastAsia"/>
              <w:noProof/>
              <w:color w:val="auto"/>
              <w:lang w:eastAsia="cs-CZ"/>
            </w:rPr>
          </w:pPr>
          <w:hyperlink w:anchor="_Toc174703079" w:history="1">
            <w:r w:rsidR="00EA7EE7" w:rsidRPr="00EA7EE7">
              <w:rPr>
                <w:rStyle w:val="Hypertextovodkaz"/>
                <w:noProof/>
              </w:rPr>
              <w:t>2.2.</w:t>
            </w:r>
            <w:r w:rsidR="00EA7EE7" w:rsidRPr="00EA7EE7">
              <w:rPr>
                <w:rFonts w:eastAsiaTheme="minorEastAsia"/>
                <w:noProof/>
                <w:color w:val="auto"/>
                <w:lang w:eastAsia="cs-CZ"/>
              </w:rPr>
              <w:tab/>
            </w:r>
            <w:r w:rsidR="00EA7EE7" w:rsidRPr="00EA7EE7">
              <w:rPr>
                <w:rStyle w:val="Hypertextovodkaz"/>
                <w:noProof/>
              </w:rPr>
              <w:t>Dopravní infrastruktura</w:t>
            </w:r>
            <w:r w:rsidR="00EA7EE7" w:rsidRPr="00EA7EE7">
              <w:rPr>
                <w:noProof/>
                <w:webHidden/>
              </w:rPr>
              <w:tab/>
            </w:r>
            <w:r w:rsidR="00EA7EE7" w:rsidRPr="00EA7EE7">
              <w:rPr>
                <w:noProof/>
                <w:webHidden/>
              </w:rPr>
              <w:fldChar w:fldCharType="begin"/>
            </w:r>
            <w:r w:rsidR="00EA7EE7" w:rsidRPr="00EA7EE7">
              <w:rPr>
                <w:noProof/>
                <w:webHidden/>
              </w:rPr>
              <w:instrText xml:space="preserve"> PAGEREF _Toc174703079 \h </w:instrText>
            </w:r>
            <w:r w:rsidR="00EA7EE7" w:rsidRPr="00EA7EE7">
              <w:rPr>
                <w:noProof/>
                <w:webHidden/>
              </w:rPr>
            </w:r>
            <w:r w:rsidR="00EA7EE7" w:rsidRPr="00EA7EE7">
              <w:rPr>
                <w:noProof/>
                <w:webHidden/>
              </w:rPr>
              <w:fldChar w:fldCharType="separate"/>
            </w:r>
            <w:r w:rsidR="00591896">
              <w:rPr>
                <w:noProof/>
                <w:webHidden/>
              </w:rPr>
              <w:t>41</w:t>
            </w:r>
            <w:r w:rsidR="00EA7EE7" w:rsidRPr="00EA7EE7">
              <w:rPr>
                <w:noProof/>
                <w:webHidden/>
              </w:rPr>
              <w:fldChar w:fldCharType="end"/>
            </w:r>
          </w:hyperlink>
        </w:p>
        <w:p w14:paraId="4F2F4571" w14:textId="74AA420D" w:rsidR="00EA7EE7" w:rsidRPr="00EA7EE7" w:rsidRDefault="00B87B81" w:rsidP="00EA7EE7">
          <w:pPr>
            <w:pStyle w:val="Obsah3"/>
            <w:spacing w:after="0" w:line="276" w:lineRule="auto"/>
            <w:rPr>
              <w:rFonts w:eastAsiaTheme="minorEastAsia"/>
              <w:noProof/>
              <w:color w:val="auto"/>
              <w:lang w:eastAsia="cs-CZ"/>
            </w:rPr>
          </w:pPr>
          <w:hyperlink w:anchor="_Toc174703080" w:history="1">
            <w:r w:rsidR="00EA7EE7" w:rsidRPr="00EA7EE7">
              <w:rPr>
                <w:rStyle w:val="Hypertextovodkaz"/>
                <w:noProof/>
              </w:rPr>
              <w:t>2.3.</w:t>
            </w:r>
            <w:r w:rsidR="00EA7EE7" w:rsidRPr="00EA7EE7">
              <w:rPr>
                <w:rFonts w:eastAsiaTheme="minorEastAsia"/>
                <w:noProof/>
                <w:color w:val="auto"/>
                <w:lang w:eastAsia="cs-CZ"/>
              </w:rPr>
              <w:tab/>
            </w:r>
            <w:r w:rsidR="00EA7EE7" w:rsidRPr="00EA7EE7">
              <w:rPr>
                <w:rStyle w:val="Hypertextovodkaz"/>
                <w:noProof/>
              </w:rPr>
              <w:t>Digitální infrastruktura, ekonomika a společnost</w:t>
            </w:r>
            <w:r w:rsidR="00EA7EE7" w:rsidRPr="00EA7EE7">
              <w:rPr>
                <w:noProof/>
                <w:webHidden/>
              </w:rPr>
              <w:tab/>
            </w:r>
            <w:r w:rsidR="00EA7EE7" w:rsidRPr="00EA7EE7">
              <w:rPr>
                <w:noProof/>
                <w:webHidden/>
              </w:rPr>
              <w:fldChar w:fldCharType="begin"/>
            </w:r>
            <w:r w:rsidR="00EA7EE7" w:rsidRPr="00EA7EE7">
              <w:rPr>
                <w:noProof/>
                <w:webHidden/>
              </w:rPr>
              <w:instrText xml:space="preserve"> PAGEREF _Toc174703080 \h </w:instrText>
            </w:r>
            <w:r w:rsidR="00EA7EE7" w:rsidRPr="00EA7EE7">
              <w:rPr>
                <w:noProof/>
                <w:webHidden/>
              </w:rPr>
            </w:r>
            <w:r w:rsidR="00EA7EE7" w:rsidRPr="00EA7EE7">
              <w:rPr>
                <w:noProof/>
                <w:webHidden/>
              </w:rPr>
              <w:fldChar w:fldCharType="separate"/>
            </w:r>
            <w:r w:rsidR="00591896">
              <w:rPr>
                <w:noProof/>
                <w:webHidden/>
              </w:rPr>
              <w:t>44</w:t>
            </w:r>
            <w:r w:rsidR="00EA7EE7" w:rsidRPr="00EA7EE7">
              <w:rPr>
                <w:noProof/>
                <w:webHidden/>
              </w:rPr>
              <w:fldChar w:fldCharType="end"/>
            </w:r>
          </w:hyperlink>
        </w:p>
        <w:p w14:paraId="6387DF0F" w14:textId="3125FAF4" w:rsidR="00EA7EE7" w:rsidRPr="00EA7EE7" w:rsidRDefault="00B87B81" w:rsidP="00EA7EE7">
          <w:pPr>
            <w:pStyle w:val="Obsah3"/>
            <w:spacing w:after="0" w:line="276" w:lineRule="auto"/>
            <w:rPr>
              <w:rFonts w:eastAsiaTheme="minorEastAsia"/>
              <w:noProof/>
              <w:color w:val="auto"/>
              <w:lang w:eastAsia="cs-CZ"/>
            </w:rPr>
          </w:pPr>
          <w:hyperlink w:anchor="_Toc174703081" w:history="1">
            <w:r w:rsidR="00EA7EE7" w:rsidRPr="00EA7EE7">
              <w:rPr>
                <w:rStyle w:val="Hypertextovodkaz"/>
                <w:noProof/>
              </w:rPr>
              <w:t>2.4.</w:t>
            </w:r>
            <w:r w:rsidR="00EA7EE7" w:rsidRPr="00EA7EE7">
              <w:rPr>
                <w:rFonts w:eastAsiaTheme="minorEastAsia"/>
                <w:noProof/>
                <w:color w:val="auto"/>
                <w:lang w:eastAsia="cs-CZ"/>
              </w:rPr>
              <w:tab/>
            </w:r>
            <w:r w:rsidR="00EA7EE7" w:rsidRPr="00EA7EE7">
              <w:rPr>
                <w:rStyle w:val="Hypertextovodkaz"/>
                <w:noProof/>
              </w:rPr>
              <w:t>Ekonomická bezpečnost a obchodní strategie</w:t>
            </w:r>
            <w:r w:rsidR="00EA7EE7" w:rsidRPr="00EA7EE7">
              <w:rPr>
                <w:noProof/>
                <w:webHidden/>
              </w:rPr>
              <w:tab/>
            </w:r>
            <w:r w:rsidR="00EA7EE7" w:rsidRPr="00EA7EE7">
              <w:rPr>
                <w:noProof/>
                <w:webHidden/>
              </w:rPr>
              <w:fldChar w:fldCharType="begin"/>
            </w:r>
            <w:r w:rsidR="00EA7EE7" w:rsidRPr="00EA7EE7">
              <w:rPr>
                <w:noProof/>
                <w:webHidden/>
              </w:rPr>
              <w:instrText xml:space="preserve"> PAGEREF _Toc174703081 \h </w:instrText>
            </w:r>
            <w:r w:rsidR="00EA7EE7" w:rsidRPr="00EA7EE7">
              <w:rPr>
                <w:noProof/>
                <w:webHidden/>
              </w:rPr>
            </w:r>
            <w:r w:rsidR="00EA7EE7" w:rsidRPr="00EA7EE7">
              <w:rPr>
                <w:noProof/>
                <w:webHidden/>
              </w:rPr>
              <w:fldChar w:fldCharType="separate"/>
            </w:r>
            <w:r w:rsidR="00591896">
              <w:rPr>
                <w:noProof/>
                <w:webHidden/>
              </w:rPr>
              <w:t>47</w:t>
            </w:r>
            <w:r w:rsidR="00EA7EE7" w:rsidRPr="00EA7EE7">
              <w:rPr>
                <w:noProof/>
                <w:webHidden/>
              </w:rPr>
              <w:fldChar w:fldCharType="end"/>
            </w:r>
          </w:hyperlink>
        </w:p>
        <w:p w14:paraId="6E852893" w14:textId="75FBC5D4" w:rsidR="00EA7EE7" w:rsidRPr="00EA7EE7" w:rsidRDefault="00B87B81" w:rsidP="00EA7EE7">
          <w:pPr>
            <w:pStyle w:val="Obsah3"/>
            <w:spacing w:after="0" w:line="276" w:lineRule="auto"/>
            <w:rPr>
              <w:rFonts w:eastAsiaTheme="minorEastAsia"/>
              <w:noProof/>
              <w:color w:val="auto"/>
              <w:lang w:eastAsia="cs-CZ"/>
            </w:rPr>
          </w:pPr>
          <w:hyperlink w:anchor="_Toc174703082" w:history="1">
            <w:r w:rsidR="00EA7EE7" w:rsidRPr="00EA7EE7">
              <w:rPr>
                <w:rStyle w:val="Hypertextovodkaz"/>
                <w:noProof/>
              </w:rPr>
              <w:t>2.5.</w:t>
            </w:r>
            <w:r w:rsidR="00EA7EE7" w:rsidRPr="00EA7EE7">
              <w:rPr>
                <w:rFonts w:eastAsiaTheme="minorEastAsia"/>
                <w:noProof/>
                <w:color w:val="auto"/>
                <w:lang w:eastAsia="cs-CZ"/>
              </w:rPr>
              <w:tab/>
            </w:r>
            <w:r w:rsidR="00EA7EE7" w:rsidRPr="00EA7EE7">
              <w:rPr>
                <w:rStyle w:val="Hypertextovodkaz"/>
                <w:noProof/>
              </w:rPr>
              <w:t>Surovinová bezpečnost</w:t>
            </w:r>
            <w:r w:rsidR="00EA7EE7" w:rsidRPr="00EA7EE7">
              <w:rPr>
                <w:noProof/>
                <w:webHidden/>
              </w:rPr>
              <w:tab/>
            </w:r>
            <w:r w:rsidR="00EA7EE7" w:rsidRPr="00EA7EE7">
              <w:rPr>
                <w:noProof/>
                <w:webHidden/>
              </w:rPr>
              <w:fldChar w:fldCharType="begin"/>
            </w:r>
            <w:r w:rsidR="00EA7EE7" w:rsidRPr="00EA7EE7">
              <w:rPr>
                <w:noProof/>
                <w:webHidden/>
              </w:rPr>
              <w:instrText xml:space="preserve"> PAGEREF _Toc174703082 \h </w:instrText>
            </w:r>
            <w:r w:rsidR="00EA7EE7" w:rsidRPr="00EA7EE7">
              <w:rPr>
                <w:noProof/>
                <w:webHidden/>
              </w:rPr>
            </w:r>
            <w:r w:rsidR="00EA7EE7" w:rsidRPr="00EA7EE7">
              <w:rPr>
                <w:noProof/>
                <w:webHidden/>
              </w:rPr>
              <w:fldChar w:fldCharType="separate"/>
            </w:r>
            <w:r w:rsidR="00591896">
              <w:rPr>
                <w:noProof/>
                <w:webHidden/>
              </w:rPr>
              <w:t>50</w:t>
            </w:r>
            <w:r w:rsidR="00EA7EE7" w:rsidRPr="00EA7EE7">
              <w:rPr>
                <w:noProof/>
                <w:webHidden/>
              </w:rPr>
              <w:fldChar w:fldCharType="end"/>
            </w:r>
          </w:hyperlink>
        </w:p>
        <w:p w14:paraId="05727F59" w14:textId="1E92CA0F" w:rsidR="00EA7EE7" w:rsidRPr="00EA7EE7" w:rsidRDefault="00B87B81" w:rsidP="00EA7EE7">
          <w:pPr>
            <w:pStyle w:val="Obsah2"/>
            <w:spacing w:after="0" w:line="276" w:lineRule="auto"/>
            <w:rPr>
              <w:rFonts w:eastAsiaTheme="minorEastAsia"/>
              <w:noProof/>
              <w:color w:val="auto"/>
              <w:lang w:eastAsia="cs-CZ"/>
            </w:rPr>
          </w:pPr>
          <w:hyperlink w:anchor="_Toc174703083" w:history="1">
            <w:r w:rsidR="00EA7EE7" w:rsidRPr="00EA7EE7">
              <w:rPr>
                <w:rStyle w:val="Hypertextovodkaz"/>
                <w:noProof/>
              </w:rPr>
              <w:t>3.</w:t>
            </w:r>
            <w:r w:rsidR="00EA7EE7" w:rsidRPr="00EA7EE7">
              <w:rPr>
                <w:rFonts w:eastAsiaTheme="minorEastAsia"/>
                <w:noProof/>
                <w:color w:val="auto"/>
                <w:lang w:eastAsia="cs-CZ"/>
              </w:rPr>
              <w:tab/>
            </w:r>
            <w:r w:rsidR="00EA7EE7" w:rsidRPr="00EA7EE7">
              <w:rPr>
                <w:rStyle w:val="Hypertextovodkaz"/>
                <w:noProof/>
              </w:rPr>
              <w:t>Industrializace s přidanou hodnotou</w:t>
            </w:r>
            <w:r w:rsidR="00EA7EE7" w:rsidRPr="00EA7EE7">
              <w:rPr>
                <w:noProof/>
                <w:webHidden/>
              </w:rPr>
              <w:tab/>
            </w:r>
            <w:r w:rsidR="00EA7EE7" w:rsidRPr="00EA7EE7">
              <w:rPr>
                <w:noProof/>
                <w:webHidden/>
              </w:rPr>
              <w:fldChar w:fldCharType="begin"/>
            </w:r>
            <w:r w:rsidR="00EA7EE7" w:rsidRPr="00EA7EE7">
              <w:rPr>
                <w:noProof/>
                <w:webHidden/>
              </w:rPr>
              <w:instrText xml:space="preserve"> PAGEREF _Toc174703083 \h </w:instrText>
            </w:r>
            <w:r w:rsidR="00EA7EE7" w:rsidRPr="00EA7EE7">
              <w:rPr>
                <w:noProof/>
                <w:webHidden/>
              </w:rPr>
            </w:r>
            <w:r w:rsidR="00EA7EE7" w:rsidRPr="00EA7EE7">
              <w:rPr>
                <w:noProof/>
                <w:webHidden/>
              </w:rPr>
              <w:fldChar w:fldCharType="separate"/>
            </w:r>
            <w:r w:rsidR="00591896">
              <w:rPr>
                <w:noProof/>
                <w:webHidden/>
              </w:rPr>
              <w:t>53</w:t>
            </w:r>
            <w:r w:rsidR="00EA7EE7" w:rsidRPr="00EA7EE7">
              <w:rPr>
                <w:noProof/>
                <w:webHidden/>
              </w:rPr>
              <w:fldChar w:fldCharType="end"/>
            </w:r>
          </w:hyperlink>
        </w:p>
        <w:p w14:paraId="148C3B32" w14:textId="420BCA4F" w:rsidR="00EA7EE7" w:rsidRPr="00EA7EE7" w:rsidRDefault="00B87B81" w:rsidP="00EA7EE7">
          <w:pPr>
            <w:pStyle w:val="Obsah3"/>
            <w:spacing w:after="0" w:line="276" w:lineRule="auto"/>
            <w:rPr>
              <w:rFonts w:eastAsiaTheme="minorEastAsia"/>
              <w:noProof/>
              <w:color w:val="auto"/>
              <w:lang w:eastAsia="cs-CZ"/>
            </w:rPr>
          </w:pPr>
          <w:hyperlink w:anchor="_Toc174703084" w:history="1">
            <w:r w:rsidR="00EA7EE7" w:rsidRPr="00EA7EE7">
              <w:rPr>
                <w:rStyle w:val="Hypertextovodkaz"/>
                <w:noProof/>
              </w:rPr>
              <w:t>3.1.</w:t>
            </w:r>
            <w:r w:rsidR="00EA7EE7" w:rsidRPr="00EA7EE7">
              <w:rPr>
                <w:rFonts w:eastAsiaTheme="minorEastAsia"/>
                <w:noProof/>
                <w:color w:val="auto"/>
                <w:lang w:eastAsia="cs-CZ"/>
              </w:rPr>
              <w:tab/>
            </w:r>
            <w:r w:rsidR="00EA7EE7" w:rsidRPr="00EA7EE7">
              <w:rPr>
                <w:rStyle w:val="Hypertextovodkaz"/>
                <w:noProof/>
              </w:rPr>
              <w:t>Kultura úspěchu a podnikavost</w:t>
            </w:r>
            <w:r w:rsidR="00EA7EE7" w:rsidRPr="00EA7EE7">
              <w:rPr>
                <w:noProof/>
                <w:webHidden/>
              </w:rPr>
              <w:tab/>
            </w:r>
            <w:r w:rsidR="00EA7EE7" w:rsidRPr="00EA7EE7">
              <w:rPr>
                <w:noProof/>
                <w:webHidden/>
              </w:rPr>
              <w:fldChar w:fldCharType="begin"/>
            </w:r>
            <w:r w:rsidR="00EA7EE7" w:rsidRPr="00EA7EE7">
              <w:rPr>
                <w:noProof/>
                <w:webHidden/>
              </w:rPr>
              <w:instrText xml:space="preserve"> PAGEREF _Toc174703084 \h </w:instrText>
            </w:r>
            <w:r w:rsidR="00EA7EE7" w:rsidRPr="00EA7EE7">
              <w:rPr>
                <w:noProof/>
                <w:webHidden/>
              </w:rPr>
            </w:r>
            <w:r w:rsidR="00EA7EE7" w:rsidRPr="00EA7EE7">
              <w:rPr>
                <w:noProof/>
                <w:webHidden/>
              </w:rPr>
              <w:fldChar w:fldCharType="separate"/>
            </w:r>
            <w:r w:rsidR="00591896">
              <w:rPr>
                <w:noProof/>
                <w:webHidden/>
              </w:rPr>
              <w:t>53</w:t>
            </w:r>
            <w:r w:rsidR="00EA7EE7" w:rsidRPr="00EA7EE7">
              <w:rPr>
                <w:noProof/>
                <w:webHidden/>
              </w:rPr>
              <w:fldChar w:fldCharType="end"/>
            </w:r>
          </w:hyperlink>
        </w:p>
        <w:p w14:paraId="62C7BA0A" w14:textId="601C1507" w:rsidR="00EA7EE7" w:rsidRPr="00EA7EE7" w:rsidRDefault="00B87B81" w:rsidP="00EA7EE7">
          <w:pPr>
            <w:pStyle w:val="Obsah3"/>
            <w:spacing w:after="0" w:line="276" w:lineRule="auto"/>
            <w:rPr>
              <w:rFonts w:eastAsiaTheme="minorEastAsia"/>
              <w:noProof/>
              <w:color w:val="auto"/>
              <w:lang w:eastAsia="cs-CZ"/>
            </w:rPr>
          </w:pPr>
          <w:hyperlink w:anchor="_Toc174703085" w:history="1">
            <w:r w:rsidR="00EA7EE7" w:rsidRPr="00EA7EE7">
              <w:rPr>
                <w:rStyle w:val="Hypertextovodkaz"/>
                <w:noProof/>
              </w:rPr>
              <w:t>3.2.</w:t>
            </w:r>
            <w:r w:rsidR="00EA7EE7" w:rsidRPr="00EA7EE7">
              <w:rPr>
                <w:rFonts w:eastAsiaTheme="minorEastAsia"/>
                <w:noProof/>
                <w:color w:val="auto"/>
                <w:lang w:eastAsia="cs-CZ"/>
              </w:rPr>
              <w:tab/>
            </w:r>
            <w:r w:rsidR="00EA7EE7" w:rsidRPr="00EA7EE7">
              <w:rPr>
                <w:rStyle w:val="Hypertextovodkaz"/>
                <w:noProof/>
              </w:rPr>
              <w:t>Pokročilé technologie</w:t>
            </w:r>
            <w:r w:rsidR="00EA7EE7" w:rsidRPr="00EA7EE7">
              <w:rPr>
                <w:noProof/>
                <w:webHidden/>
              </w:rPr>
              <w:tab/>
            </w:r>
            <w:r w:rsidR="00EA7EE7" w:rsidRPr="00EA7EE7">
              <w:rPr>
                <w:noProof/>
                <w:webHidden/>
              </w:rPr>
              <w:fldChar w:fldCharType="begin"/>
            </w:r>
            <w:r w:rsidR="00EA7EE7" w:rsidRPr="00EA7EE7">
              <w:rPr>
                <w:noProof/>
                <w:webHidden/>
              </w:rPr>
              <w:instrText xml:space="preserve"> PAGEREF _Toc174703085 \h </w:instrText>
            </w:r>
            <w:r w:rsidR="00EA7EE7" w:rsidRPr="00EA7EE7">
              <w:rPr>
                <w:noProof/>
                <w:webHidden/>
              </w:rPr>
            </w:r>
            <w:r w:rsidR="00EA7EE7" w:rsidRPr="00EA7EE7">
              <w:rPr>
                <w:noProof/>
                <w:webHidden/>
              </w:rPr>
              <w:fldChar w:fldCharType="separate"/>
            </w:r>
            <w:r w:rsidR="00591896">
              <w:rPr>
                <w:noProof/>
                <w:webHidden/>
              </w:rPr>
              <w:t>54</w:t>
            </w:r>
            <w:r w:rsidR="00EA7EE7" w:rsidRPr="00EA7EE7">
              <w:rPr>
                <w:noProof/>
                <w:webHidden/>
              </w:rPr>
              <w:fldChar w:fldCharType="end"/>
            </w:r>
          </w:hyperlink>
        </w:p>
        <w:p w14:paraId="2338F969" w14:textId="608DF616" w:rsidR="00EA7EE7" w:rsidRPr="00EA7EE7" w:rsidRDefault="00B87B81" w:rsidP="00EA7EE7">
          <w:pPr>
            <w:pStyle w:val="Obsah3"/>
            <w:spacing w:after="0" w:line="276" w:lineRule="auto"/>
            <w:rPr>
              <w:rFonts w:eastAsiaTheme="minorEastAsia"/>
              <w:noProof/>
              <w:color w:val="auto"/>
              <w:lang w:eastAsia="cs-CZ"/>
            </w:rPr>
          </w:pPr>
          <w:hyperlink w:anchor="_Toc174703086" w:history="1">
            <w:r w:rsidR="00EA7EE7" w:rsidRPr="00EA7EE7">
              <w:rPr>
                <w:rStyle w:val="Hypertextovodkaz"/>
                <w:noProof/>
              </w:rPr>
              <w:t>3.3.</w:t>
            </w:r>
            <w:r w:rsidR="00EA7EE7" w:rsidRPr="00EA7EE7">
              <w:rPr>
                <w:rFonts w:eastAsiaTheme="minorEastAsia"/>
                <w:noProof/>
                <w:color w:val="auto"/>
                <w:lang w:eastAsia="cs-CZ"/>
              </w:rPr>
              <w:tab/>
            </w:r>
            <w:r w:rsidR="00EA7EE7" w:rsidRPr="00EA7EE7">
              <w:rPr>
                <w:rStyle w:val="Hypertextovodkaz"/>
                <w:noProof/>
              </w:rPr>
              <w:t>Strategická odvětví</w:t>
            </w:r>
            <w:r w:rsidR="00EA7EE7" w:rsidRPr="00EA7EE7">
              <w:rPr>
                <w:noProof/>
                <w:webHidden/>
              </w:rPr>
              <w:tab/>
            </w:r>
            <w:r w:rsidR="00EA7EE7" w:rsidRPr="00EA7EE7">
              <w:rPr>
                <w:noProof/>
                <w:webHidden/>
              </w:rPr>
              <w:fldChar w:fldCharType="begin"/>
            </w:r>
            <w:r w:rsidR="00EA7EE7" w:rsidRPr="00EA7EE7">
              <w:rPr>
                <w:noProof/>
                <w:webHidden/>
              </w:rPr>
              <w:instrText xml:space="preserve"> PAGEREF _Toc174703086 \h </w:instrText>
            </w:r>
            <w:r w:rsidR="00EA7EE7" w:rsidRPr="00EA7EE7">
              <w:rPr>
                <w:noProof/>
                <w:webHidden/>
              </w:rPr>
            </w:r>
            <w:r w:rsidR="00EA7EE7" w:rsidRPr="00EA7EE7">
              <w:rPr>
                <w:noProof/>
                <w:webHidden/>
              </w:rPr>
              <w:fldChar w:fldCharType="separate"/>
            </w:r>
            <w:r w:rsidR="00591896">
              <w:rPr>
                <w:noProof/>
                <w:webHidden/>
              </w:rPr>
              <w:t>55</w:t>
            </w:r>
            <w:r w:rsidR="00EA7EE7" w:rsidRPr="00EA7EE7">
              <w:rPr>
                <w:noProof/>
                <w:webHidden/>
              </w:rPr>
              <w:fldChar w:fldCharType="end"/>
            </w:r>
          </w:hyperlink>
        </w:p>
        <w:p w14:paraId="5BC4FA93" w14:textId="7D7CB578" w:rsidR="00EA7EE7" w:rsidRPr="00EA7EE7" w:rsidRDefault="00B87B81" w:rsidP="00EA7EE7">
          <w:pPr>
            <w:pStyle w:val="Obsah3"/>
            <w:spacing w:after="0" w:line="276" w:lineRule="auto"/>
            <w:rPr>
              <w:rFonts w:eastAsiaTheme="minorEastAsia"/>
              <w:noProof/>
              <w:color w:val="auto"/>
              <w:lang w:eastAsia="cs-CZ"/>
            </w:rPr>
          </w:pPr>
          <w:hyperlink w:anchor="_Toc174703087" w:history="1">
            <w:r w:rsidR="00EA7EE7" w:rsidRPr="00EA7EE7">
              <w:rPr>
                <w:rStyle w:val="Hypertextovodkaz"/>
                <w:noProof/>
              </w:rPr>
              <w:t>3.4.</w:t>
            </w:r>
            <w:r w:rsidR="00EA7EE7" w:rsidRPr="00EA7EE7">
              <w:rPr>
                <w:rFonts w:eastAsiaTheme="minorEastAsia"/>
                <w:noProof/>
                <w:color w:val="auto"/>
                <w:lang w:eastAsia="cs-CZ"/>
              </w:rPr>
              <w:tab/>
            </w:r>
            <w:r w:rsidR="00EA7EE7" w:rsidRPr="00EA7EE7">
              <w:rPr>
                <w:rStyle w:val="Hypertextovodkaz"/>
                <w:noProof/>
              </w:rPr>
              <w:t>Industrializace v kontextu politik Evropské unie</w:t>
            </w:r>
            <w:r w:rsidR="00EA7EE7" w:rsidRPr="00EA7EE7">
              <w:rPr>
                <w:noProof/>
                <w:webHidden/>
              </w:rPr>
              <w:tab/>
            </w:r>
            <w:r w:rsidR="00EA7EE7" w:rsidRPr="00EA7EE7">
              <w:rPr>
                <w:noProof/>
                <w:webHidden/>
              </w:rPr>
              <w:fldChar w:fldCharType="begin"/>
            </w:r>
            <w:r w:rsidR="00EA7EE7" w:rsidRPr="00EA7EE7">
              <w:rPr>
                <w:noProof/>
                <w:webHidden/>
              </w:rPr>
              <w:instrText xml:space="preserve"> PAGEREF _Toc174703087 \h </w:instrText>
            </w:r>
            <w:r w:rsidR="00EA7EE7" w:rsidRPr="00EA7EE7">
              <w:rPr>
                <w:noProof/>
                <w:webHidden/>
              </w:rPr>
            </w:r>
            <w:r w:rsidR="00EA7EE7" w:rsidRPr="00EA7EE7">
              <w:rPr>
                <w:noProof/>
                <w:webHidden/>
              </w:rPr>
              <w:fldChar w:fldCharType="separate"/>
            </w:r>
            <w:r w:rsidR="00591896">
              <w:rPr>
                <w:noProof/>
                <w:webHidden/>
              </w:rPr>
              <w:t>56</w:t>
            </w:r>
            <w:r w:rsidR="00EA7EE7" w:rsidRPr="00EA7EE7">
              <w:rPr>
                <w:noProof/>
                <w:webHidden/>
              </w:rPr>
              <w:fldChar w:fldCharType="end"/>
            </w:r>
          </w:hyperlink>
        </w:p>
        <w:p w14:paraId="2ECDB38B" w14:textId="3333C4AE" w:rsidR="00EA7EE7" w:rsidRPr="00EA7EE7" w:rsidRDefault="00B87B81" w:rsidP="00EA7EE7">
          <w:pPr>
            <w:pStyle w:val="Obsah2"/>
            <w:spacing w:after="0" w:line="276" w:lineRule="auto"/>
            <w:rPr>
              <w:rFonts w:eastAsiaTheme="minorEastAsia"/>
              <w:noProof/>
              <w:color w:val="auto"/>
              <w:lang w:eastAsia="cs-CZ"/>
            </w:rPr>
          </w:pPr>
          <w:hyperlink w:anchor="_Toc174703088" w:history="1">
            <w:r w:rsidR="00EA7EE7" w:rsidRPr="00EA7EE7">
              <w:rPr>
                <w:rStyle w:val="Hypertextovodkaz"/>
                <w:noProof/>
              </w:rPr>
              <w:t>4.</w:t>
            </w:r>
            <w:r w:rsidR="00EA7EE7" w:rsidRPr="00EA7EE7">
              <w:rPr>
                <w:rFonts w:eastAsiaTheme="minorEastAsia"/>
                <w:noProof/>
                <w:color w:val="auto"/>
                <w:lang w:eastAsia="cs-CZ"/>
              </w:rPr>
              <w:tab/>
            </w:r>
            <w:r w:rsidR="00EA7EE7" w:rsidRPr="00EA7EE7">
              <w:rPr>
                <w:rStyle w:val="Hypertextovodkaz"/>
                <w:noProof/>
              </w:rPr>
              <w:t>Financování</w:t>
            </w:r>
            <w:r w:rsidR="00EA7EE7" w:rsidRPr="00EA7EE7">
              <w:rPr>
                <w:noProof/>
                <w:webHidden/>
              </w:rPr>
              <w:tab/>
            </w:r>
            <w:r w:rsidR="00EA7EE7" w:rsidRPr="00EA7EE7">
              <w:rPr>
                <w:noProof/>
                <w:webHidden/>
              </w:rPr>
              <w:fldChar w:fldCharType="begin"/>
            </w:r>
            <w:r w:rsidR="00EA7EE7" w:rsidRPr="00EA7EE7">
              <w:rPr>
                <w:noProof/>
                <w:webHidden/>
              </w:rPr>
              <w:instrText xml:space="preserve"> PAGEREF _Toc174703088 \h </w:instrText>
            </w:r>
            <w:r w:rsidR="00EA7EE7" w:rsidRPr="00EA7EE7">
              <w:rPr>
                <w:noProof/>
                <w:webHidden/>
              </w:rPr>
            </w:r>
            <w:r w:rsidR="00EA7EE7" w:rsidRPr="00EA7EE7">
              <w:rPr>
                <w:noProof/>
                <w:webHidden/>
              </w:rPr>
              <w:fldChar w:fldCharType="separate"/>
            </w:r>
            <w:r w:rsidR="00591896">
              <w:rPr>
                <w:noProof/>
                <w:webHidden/>
              </w:rPr>
              <w:t>59</w:t>
            </w:r>
            <w:r w:rsidR="00EA7EE7" w:rsidRPr="00EA7EE7">
              <w:rPr>
                <w:noProof/>
                <w:webHidden/>
              </w:rPr>
              <w:fldChar w:fldCharType="end"/>
            </w:r>
          </w:hyperlink>
        </w:p>
        <w:p w14:paraId="246DA2AE" w14:textId="66C26101" w:rsidR="00EA7EE7" w:rsidRPr="00EA7EE7" w:rsidRDefault="00B87B81" w:rsidP="00EA7EE7">
          <w:pPr>
            <w:pStyle w:val="Obsah3"/>
            <w:spacing w:after="0" w:line="276" w:lineRule="auto"/>
            <w:rPr>
              <w:rFonts w:eastAsiaTheme="minorEastAsia"/>
              <w:noProof/>
              <w:color w:val="auto"/>
              <w:lang w:eastAsia="cs-CZ"/>
            </w:rPr>
          </w:pPr>
          <w:hyperlink w:anchor="_Toc174703089" w:history="1">
            <w:r w:rsidR="00EA7EE7" w:rsidRPr="00EA7EE7">
              <w:rPr>
                <w:rStyle w:val="Hypertextovodkaz"/>
                <w:noProof/>
              </w:rPr>
              <w:t>4.1.</w:t>
            </w:r>
            <w:r w:rsidR="00EA7EE7" w:rsidRPr="00EA7EE7">
              <w:rPr>
                <w:rFonts w:eastAsiaTheme="minorEastAsia"/>
                <w:noProof/>
                <w:color w:val="auto"/>
                <w:lang w:eastAsia="cs-CZ"/>
              </w:rPr>
              <w:tab/>
            </w:r>
            <w:r w:rsidR="00EA7EE7" w:rsidRPr="00EA7EE7">
              <w:rPr>
                <w:rStyle w:val="Hypertextovodkaz"/>
                <w:noProof/>
              </w:rPr>
              <w:t>Vybudování finanční infrastruktury dostupného kapitálu</w:t>
            </w:r>
            <w:r w:rsidR="00EA7EE7" w:rsidRPr="00EA7EE7">
              <w:rPr>
                <w:noProof/>
                <w:webHidden/>
              </w:rPr>
              <w:tab/>
            </w:r>
            <w:r w:rsidR="00EA7EE7" w:rsidRPr="00EA7EE7">
              <w:rPr>
                <w:noProof/>
                <w:webHidden/>
              </w:rPr>
              <w:fldChar w:fldCharType="begin"/>
            </w:r>
            <w:r w:rsidR="00EA7EE7" w:rsidRPr="00EA7EE7">
              <w:rPr>
                <w:noProof/>
                <w:webHidden/>
              </w:rPr>
              <w:instrText xml:space="preserve"> PAGEREF _Toc174703089 \h </w:instrText>
            </w:r>
            <w:r w:rsidR="00EA7EE7" w:rsidRPr="00EA7EE7">
              <w:rPr>
                <w:noProof/>
                <w:webHidden/>
              </w:rPr>
            </w:r>
            <w:r w:rsidR="00EA7EE7" w:rsidRPr="00EA7EE7">
              <w:rPr>
                <w:noProof/>
                <w:webHidden/>
              </w:rPr>
              <w:fldChar w:fldCharType="separate"/>
            </w:r>
            <w:r w:rsidR="00591896">
              <w:rPr>
                <w:noProof/>
                <w:webHidden/>
              </w:rPr>
              <w:t>59</w:t>
            </w:r>
            <w:r w:rsidR="00EA7EE7" w:rsidRPr="00EA7EE7">
              <w:rPr>
                <w:noProof/>
                <w:webHidden/>
              </w:rPr>
              <w:fldChar w:fldCharType="end"/>
            </w:r>
          </w:hyperlink>
        </w:p>
        <w:p w14:paraId="1D06B61E" w14:textId="6FDCF976" w:rsidR="00EA7EE7" w:rsidRPr="00EA7EE7" w:rsidRDefault="00B87B81" w:rsidP="00EA7EE7">
          <w:pPr>
            <w:pStyle w:val="Obsah3"/>
            <w:spacing w:after="0" w:line="276" w:lineRule="auto"/>
            <w:rPr>
              <w:rFonts w:eastAsiaTheme="minorEastAsia"/>
              <w:noProof/>
              <w:color w:val="auto"/>
              <w:lang w:eastAsia="cs-CZ"/>
            </w:rPr>
          </w:pPr>
          <w:hyperlink w:anchor="_Toc174703090" w:history="1">
            <w:r w:rsidR="00EA7EE7" w:rsidRPr="00EA7EE7">
              <w:rPr>
                <w:rStyle w:val="Hypertextovodkaz"/>
                <w:noProof/>
              </w:rPr>
              <w:t>4.2.</w:t>
            </w:r>
            <w:r w:rsidR="00EA7EE7" w:rsidRPr="00EA7EE7">
              <w:rPr>
                <w:rFonts w:eastAsiaTheme="minorEastAsia"/>
                <w:noProof/>
                <w:color w:val="auto"/>
                <w:lang w:eastAsia="cs-CZ"/>
              </w:rPr>
              <w:tab/>
            </w:r>
            <w:r w:rsidR="00EA7EE7" w:rsidRPr="00EA7EE7">
              <w:rPr>
                <w:rStyle w:val="Hypertextovodkaz"/>
                <w:noProof/>
              </w:rPr>
              <w:t>Nástroje pro financování a přípravu strategických investic</w:t>
            </w:r>
            <w:r w:rsidR="00EA7EE7" w:rsidRPr="00EA7EE7">
              <w:rPr>
                <w:noProof/>
                <w:webHidden/>
              </w:rPr>
              <w:tab/>
            </w:r>
            <w:r w:rsidR="00EA7EE7" w:rsidRPr="00EA7EE7">
              <w:rPr>
                <w:noProof/>
                <w:webHidden/>
              </w:rPr>
              <w:fldChar w:fldCharType="begin"/>
            </w:r>
            <w:r w:rsidR="00EA7EE7" w:rsidRPr="00EA7EE7">
              <w:rPr>
                <w:noProof/>
                <w:webHidden/>
              </w:rPr>
              <w:instrText xml:space="preserve"> PAGEREF _Toc174703090 \h </w:instrText>
            </w:r>
            <w:r w:rsidR="00EA7EE7" w:rsidRPr="00EA7EE7">
              <w:rPr>
                <w:noProof/>
                <w:webHidden/>
              </w:rPr>
            </w:r>
            <w:r w:rsidR="00EA7EE7" w:rsidRPr="00EA7EE7">
              <w:rPr>
                <w:noProof/>
                <w:webHidden/>
              </w:rPr>
              <w:fldChar w:fldCharType="separate"/>
            </w:r>
            <w:r w:rsidR="00591896">
              <w:rPr>
                <w:noProof/>
                <w:webHidden/>
              </w:rPr>
              <w:t>59</w:t>
            </w:r>
            <w:r w:rsidR="00EA7EE7" w:rsidRPr="00EA7EE7">
              <w:rPr>
                <w:noProof/>
                <w:webHidden/>
              </w:rPr>
              <w:fldChar w:fldCharType="end"/>
            </w:r>
          </w:hyperlink>
        </w:p>
        <w:p w14:paraId="25856CA0" w14:textId="3ED1E2E9" w:rsidR="00EA7EE7" w:rsidRPr="00EA7EE7" w:rsidRDefault="00B87B81" w:rsidP="00EA7EE7">
          <w:pPr>
            <w:pStyle w:val="Obsah3"/>
            <w:spacing w:after="0" w:line="276" w:lineRule="auto"/>
            <w:rPr>
              <w:rFonts w:eastAsiaTheme="minorEastAsia"/>
              <w:noProof/>
              <w:color w:val="auto"/>
              <w:lang w:eastAsia="cs-CZ"/>
            </w:rPr>
          </w:pPr>
          <w:hyperlink w:anchor="_Toc174703091" w:history="1">
            <w:r w:rsidR="00EA7EE7" w:rsidRPr="00EA7EE7">
              <w:rPr>
                <w:rStyle w:val="Hypertextovodkaz"/>
                <w:noProof/>
              </w:rPr>
              <w:t>Evropské fondy</w:t>
            </w:r>
            <w:r w:rsidR="00EA7EE7" w:rsidRPr="00EA7EE7">
              <w:rPr>
                <w:noProof/>
                <w:webHidden/>
              </w:rPr>
              <w:tab/>
            </w:r>
            <w:r w:rsidR="00EA7EE7" w:rsidRPr="00EA7EE7">
              <w:rPr>
                <w:noProof/>
                <w:webHidden/>
              </w:rPr>
              <w:fldChar w:fldCharType="begin"/>
            </w:r>
            <w:r w:rsidR="00EA7EE7" w:rsidRPr="00EA7EE7">
              <w:rPr>
                <w:noProof/>
                <w:webHidden/>
              </w:rPr>
              <w:instrText xml:space="preserve"> PAGEREF _Toc174703091 \h </w:instrText>
            </w:r>
            <w:r w:rsidR="00EA7EE7" w:rsidRPr="00EA7EE7">
              <w:rPr>
                <w:noProof/>
                <w:webHidden/>
              </w:rPr>
            </w:r>
            <w:r w:rsidR="00EA7EE7" w:rsidRPr="00EA7EE7">
              <w:rPr>
                <w:noProof/>
                <w:webHidden/>
              </w:rPr>
              <w:fldChar w:fldCharType="separate"/>
            </w:r>
            <w:r w:rsidR="00591896">
              <w:rPr>
                <w:noProof/>
                <w:webHidden/>
              </w:rPr>
              <w:t>60</w:t>
            </w:r>
            <w:r w:rsidR="00EA7EE7" w:rsidRPr="00EA7EE7">
              <w:rPr>
                <w:noProof/>
                <w:webHidden/>
              </w:rPr>
              <w:fldChar w:fldCharType="end"/>
            </w:r>
          </w:hyperlink>
        </w:p>
        <w:p w14:paraId="0AA4F3CB" w14:textId="7572C105" w:rsidR="00EA7EE7" w:rsidRPr="00EA7EE7" w:rsidRDefault="00B87B81" w:rsidP="00EA7EE7">
          <w:pPr>
            <w:pStyle w:val="Obsah3"/>
            <w:spacing w:after="0" w:line="276" w:lineRule="auto"/>
            <w:rPr>
              <w:rFonts w:eastAsiaTheme="minorEastAsia"/>
              <w:noProof/>
              <w:color w:val="auto"/>
              <w:lang w:eastAsia="cs-CZ"/>
            </w:rPr>
          </w:pPr>
          <w:hyperlink w:anchor="_Toc174703092" w:history="1">
            <w:r w:rsidR="00EA7EE7" w:rsidRPr="00EA7EE7">
              <w:rPr>
                <w:rStyle w:val="Hypertextovodkaz"/>
                <w:noProof/>
              </w:rPr>
              <w:t>Státní rozpočet a státní fondy</w:t>
            </w:r>
            <w:r w:rsidR="00EA7EE7" w:rsidRPr="00EA7EE7">
              <w:rPr>
                <w:noProof/>
                <w:webHidden/>
              </w:rPr>
              <w:tab/>
            </w:r>
            <w:r w:rsidR="00EA7EE7" w:rsidRPr="00EA7EE7">
              <w:rPr>
                <w:noProof/>
                <w:webHidden/>
              </w:rPr>
              <w:fldChar w:fldCharType="begin"/>
            </w:r>
            <w:r w:rsidR="00EA7EE7" w:rsidRPr="00EA7EE7">
              <w:rPr>
                <w:noProof/>
                <w:webHidden/>
              </w:rPr>
              <w:instrText xml:space="preserve"> PAGEREF _Toc174703092 \h </w:instrText>
            </w:r>
            <w:r w:rsidR="00EA7EE7" w:rsidRPr="00EA7EE7">
              <w:rPr>
                <w:noProof/>
                <w:webHidden/>
              </w:rPr>
            </w:r>
            <w:r w:rsidR="00EA7EE7" w:rsidRPr="00EA7EE7">
              <w:rPr>
                <w:noProof/>
                <w:webHidden/>
              </w:rPr>
              <w:fldChar w:fldCharType="separate"/>
            </w:r>
            <w:r w:rsidR="00591896">
              <w:rPr>
                <w:noProof/>
                <w:webHidden/>
              </w:rPr>
              <w:t>61</w:t>
            </w:r>
            <w:r w:rsidR="00EA7EE7" w:rsidRPr="00EA7EE7">
              <w:rPr>
                <w:noProof/>
                <w:webHidden/>
              </w:rPr>
              <w:fldChar w:fldCharType="end"/>
            </w:r>
          </w:hyperlink>
        </w:p>
        <w:p w14:paraId="75297907" w14:textId="674B4430" w:rsidR="00EA7EE7" w:rsidRPr="00EA7EE7" w:rsidRDefault="00B87B81" w:rsidP="00EA7EE7">
          <w:pPr>
            <w:pStyle w:val="Obsah3"/>
            <w:spacing w:after="0" w:line="276" w:lineRule="auto"/>
            <w:rPr>
              <w:rFonts w:eastAsiaTheme="minorEastAsia"/>
              <w:noProof/>
              <w:color w:val="auto"/>
              <w:lang w:eastAsia="cs-CZ"/>
            </w:rPr>
          </w:pPr>
          <w:hyperlink w:anchor="_Toc174703093" w:history="1">
            <w:r w:rsidR="00EA7EE7" w:rsidRPr="00EA7EE7">
              <w:rPr>
                <w:rStyle w:val="Hypertextovodkaz"/>
                <w:noProof/>
              </w:rPr>
              <w:t>Rozpočty obcí a krajů</w:t>
            </w:r>
            <w:r w:rsidR="00EA7EE7" w:rsidRPr="00EA7EE7">
              <w:rPr>
                <w:noProof/>
                <w:webHidden/>
              </w:rPr>
              <w:tab/>
            </w:r>
            <w:r w:rsidR="00EA7EE7" w:rsidRPr="00EA7EE7">
              <w:rPr>
                <w:noProof/>
                <w:webHidden/>
              </w:rPr>
              <w:fldChar w:fldCharType="begin"/>
            </w:r>
            <w:r w:rsidR="00EA7EE7" w:rsidRPr="00EA7EE7">
              <w:rPr>
                <w:noProof/>
                <w:webHidden/>
              </w:rPr>
              <w:instrText xml:space="preserve"> PAGEREF _Toc174703093 \h </w:instrText>
            </w:r>
            <w:r w:rsidR="00EA7EE7" w:rsidRPr="00EA7EE7">
              <w:rPr>
                <w:noProof/>
                <w:webHidden/>
              </w:rPr>
            </w:r>
            <w:r w:rsidR="00EA7EE7" w:rsidRPr="00EA7EE7">
              <w:rPr>
                <w:noProof/>
                <w:webHidden/>
              </w:rPr>
              <w:fldChar w:fldCharType="separate"/>
            </w:r>
            <w:r w:rsidR="00591896">
              <w:rPr>
                <w:noProof/>
                <w:webHidden/>
              </w:rPr>
              <w:t>62</w:t>
            </w:r>
            <w:r w:rsidR="00EA7EE7" w:rsidRPr="00EA7EE7">
              <w:rPr>
                <w:noProof/>
                <w:webHidden/>
              </w:rPr>
              <w:fldChar w:fldCharType="end"/>
            </w:r>
          </w:hyperlink>
        </w:p>
        <w:p w14:paraId="5314E9EB" w14:textId="528FF57D" w:rsidR="00EA7EE7" w:rsidRPr="00EA7EE7" w:rsidRDefault="00B87B81" w:rsidP="00EA7EE7">
          <w:pPr>
            <w:pStyle w:val="Obsah3"/>
            <w:spacing w:after="0" w:line="276" w:lineRule="auto"/>
            <w:rPr>
              <w:rFonts w:eastAsiaTheme="minorEastAsia"/>
              <w:noProof/>
              <w:color w:val="auto"/>
              <w:lang w:eastAsia="cs-CZ"/>
            </w:rPr>
          </w:pPr>
          <w:hyperlink w:anchor="_Toc174703094" w:history="1">
            <w:r w:rsidR="00EA7EE7" w:rsidRPr="00EA7EE7">
              <w:rPr>
                <w:rStyle w:val="Hypertextovodkaz"/>
                <w:noProof/>
              </w:rPr>
              <w:t>Partnerství veřejného a soukromého sektoru</w:t>
            </w:r>
            <w:r w:rsidR="00EA7EE7" w:rsidRPr="00EA7EE7">
              <w:rPr>
                <w:noProof/>
                <w:webHidden/>
              </w:rPr>
              <w:tab/>
            </w:r>
            <w:r w:rsidR="00EA7EE7" w:rsidRPr="00EA7EE7">
              <w:rPr>
                <w:noProof/>
                <w:webHidden/>
              </w:rPr>
              <w:fldChar w:fldCharType="begin"/>
            </w:r>
            <w:r w:rsidR="00EA7EE7" w:rsidRPr="00EA7EE7">
              <w:rPr>
                <w:noProof/>
                <w:webHidden/>
              </w:rPr>
              <w:instrText xml:space="preserve"> PAGEREF _Toc174703094 \h </w:instrText>
            </w:r>
            <w:r w:rsidR="00EA7EE7" w:rsidRPr="00EA7EE7">
              <w:rPr>
                <w:noProof/>
                <w:webHidden/>
              </w:rPr>
            </w:r>
            <w:r w:rsidR="00EA7EE7" w:rsidRPr="00EA7EE7">
              <w:rPr>
                <w:noProof/>
                <w:webHidden/>
              </w:rPr>
              <w:fldChar w:fldCharType="separate"/>
            </w:r>
            <w:r w:rsidR="00591896">
              <w:rPr>
                <w:noProof/>
                <w:webHidden/>
              </w:rPr>
              <w:t>62</w:t>
            </w:r>
            <w:r w:rsidR="00EA7EE7" w:rsidRPr="00EA7EE7">
              <w:rPr>
                <w:noProof/>
                <w:webHidden/>
              </w:rPr>
              <w:fldChar w:fldCharType="end"/>
            </w:r>
          </w:hyperlink>
        </w:p>
        <w:p w14:paraId="645EB742" w14:textId="0E8FA4A7" w:rsidR="00EA7EE7" w:rsidRPr="00EA7EE7" w:rsidRDefault="00B87B81" w:rsidP="00EA7EE7">
          <w:pPr>
            <w:pStyle w:val="Obsah3"/>
            <w:spacing w:after="0" w:line="276" w:lineRule="auto"/>
            <w:rPr>
              <w:rFonts w:eastAsiaTheme="minorEastAsia"/>
              <w:noProof/>
              <w:color w:val="auto"/>
              <w:lang w:eastAsia="cs-CZ"/>
            </w:rPr>
          </w:pPr>
          <w:hyperlink w:anchor="_Toc174703095" w:history="1">
            <w:r w:rsidR="00EA7EE7" w:rsidRPr="00EA7EE7">
              <w:rPr>
                <w:rStyle w:val="Hypertextovodkaz"/>
                <w:noProof/>
              </w:rPr>
              <w:t>Národní rozvojová banka</w:t>
            </w:r>
            <w:r w:rsidR="00EA7EE7" w:rsidRPr="00EA7EE7">
              <w:rPr>
                <w:noProof/>
                <w:webHidden/>
              </w:rPr>
              <w:tab/>
            </w:r>
            <w:r w:rsidR="00EA7EE7" w:rsidRPr="00EA7EE7">
              <w:rPr>
                <w:noProof/>
                <w:webHidden/>
              </w:rPr>
              <w:fldChar w:fldCharType="begin"/>
            </w:r>
            <w:r w:rsidR="00EA7EE7" w:rsidRPr="00EA7EE7">
              <w:rPr>
                <w:noProof/>
                <w:webHidden/>
              </w:rPr>
              <w:instrText xml:space="preserve"> PAGEREF _Toc174703095 \h </w:instrText>
            </w:r>
            <w:r w:rsidR="00EA7EE7" w:rsidRPr="00EA7EE7">
              <w:rPr>
                <w:noProof/>
                <w:webHidden/>
              </w:rPr>
            </w:r>
            <w:r w:rsidR="00EA7EE7" w:rsidRPr="00EA7EE7">
              <w:rPr>
                <w:noProof/>
                <w:webHidden/>
              </w:rPr>
              <w:fldChar w:fldCharType="separate"/>
            </w:r>
            <w:r w:rsidR="00591896">
              <w:rPr>
                <w:noProof/>
                <w:webHidden/>
              </w:rPr>
              <w:t>63</w:t>
            </w:r>
            <w:r w:rsidR="00EA7EE7" w:rsidRPr="00EA7EE7">
              <w:rPr>
                <w:noProof/>
                <w:webHidden/>
              </w:rPr>
              <w:fldChar w:fldCharType="end"/>
            </w:r>
          </w:hyperlink>
        </w:p>
        <w:p w14:paraId="20A9457B" w14:textId="6B411074" w:rsidR="00EA7EE7" w:rsidRPr="00EA7EE7" w:rsidRDefault="00B87B81" w:rsidP="00EA7EE7">
          <w:pPr>
            <w:pStyle w:val="Obsah3"/>
            <w:spacing w:after="0" w:line="276" w:lineRule="auto"/>
            <w:rPr>
              <w:rFonts w:eastAsiaTheme="minorEastAsia"/>
              <w:noProof/>
              <w:color w:val="auto"/>
              <w:lang w:eastAsia="cs-CZ"/>
            </w:rPr>
          </w:pPr>
          <w:hyperlink w:anchor="_Toc174703096" w:history="1">
            <w:r w:rsidR="00EA7EE7" w:rsidRPr="00EA7EE7">
              <w:rPr>
                <w:rStyle w:val="Hypertextovodkaz"/>
                <w:noProof/>
              </w:rPr>
              <w:t>Státní investiční a rozvojová společnost</w:t>
            </w:r>
            <w:r w:rsidR="00EA7EE7" w:rsidRPr="00EA7EE7">
              <w:rPr>
                <w:noProof/>
                <w:webHidden/>
              </w:rPr>
              <w:tab/>
            </w:r>
            <w:r w:rsidR="00EA7EE7" w:rsidRPr="00EA7EE7">
              <w:rPr>
                <w:noProof/>
                <w:webHidden/>
              </w:rPr>
              <w:fldChar w:fldCharType="begin"/>
            </w:r>
            <w:r w:rsidR="00EA7EE7" w:rsidRPr="00EA7EE7">
              <w:rPr>
                <w:noProof/>
                <w:webHidden/>
              </w:rPr>
              <w:instrText xml:space="preserve"> PAGEREF _Toc174703096 \h </w:instrText>
            </w:r>
            <w:r w:rsidR="00EA7EE7" w:rsidRPr="00EA7EE7">
              <w:rPr>
                <w:noProof/>
                <w:webHidden/>
              </w:rPr>
            </w:r>
            <w:r w:rsidR="00EA7EE7" w:rsidRPr="00EA7EE7">
              <w:rPr>
                <w:noProof/>
                <w:webHidden/>
              </w:rPr>
              <w:fldChar w:fldCharType="separate"/>
            </w:r>
            <w:r w:rsidR="00591896">
              <w:rPr>
                <w:noProof/>
                <w:webHidden/>
              </w:rPr>
              <w:t>63</w:t>
            </w:r>
            <w:r w:rsidR="00EA7EE7" w:rsidRPr="00EA7EE7">
              <w:rPr>
                <w:noProof/>
                <w:webHidden/>
              </w:rPr>
              <w:fldChar w:fldCharType="end"/>
            </w:r>
          </w:hyperlink>
        </w:p>
        <w:p w14:paraId="18DB45BF" w14:textId="21FAA0BE" w:rsidR="00EA7EE7" w:rsidRPr="00EA7EE7" w:rsidRDefault="00B87B81" w:rsidP="00EA7EE7">
          <w:pPr>
            <w:pStyle w:val="Obsah3"/>
            <w:spacing w:after="0" w:line="276" w:lineRule="auto"/>
            <w:rPr>
              <w:rFonts w:eastAsiaTheme="minorEastAsia"/>
              <w:noProof/>
              <w:color w:val="auto"/>
              <w:lang w:eastAsia="cs-CZ"/>
            </w:rPr>
          </w:pPr>
          <w:hyperlink w:anchor="_Toc174703097" w:history="1">
            <w:r w:rsidR="00EA7EE7" w:rsidRPr="00EA7EE7">
              <w:rPr>
                <w:rStyle w:val="Hypertextovodkaz"/>
                <w:noProof/>
              </w:rPr>
              <w:t>Finanční sektor a soukromý kapitál</w:t>
            </w:r>
            <w:r w:rsidR="00EA7EE7" w:rsidRPr="00EA7EE7">
              <w:rPr>
                <w:noProof/>
                <w:webHidden/>
              </w:rPr>
              <w:tab/>
            </w:r>
            <w:r w:rsidR="00EA7EE7" w:rsidRPr="00EA7EE7">
              <w:rPr>
                <w:noProof/>
                <w:webHidden/>
              </w:rPr>
              <w:fldChar w:fldCharType="begin"/>
            </w:r>
            <w:r w:rsidR="00EA7EE7" w:rsidRPr="00EA7EE7">
              <w:rPr>
                <w:noProof/>
                <w:webHidden/>
              </w:rPr>
              <w:instrText xml:space="preserve"> PAGEREF _Toc174703097 \h </w:instrText>
            </w:r>
            <w:r w:rsidR="00EA7EE7" w:rsidRPr="00EA7EE7">
              <w:rPr>
                <w:noProof/>
                <w:webHidden/>
              </w:rPr>
            </w:r>
            <w:r w:rsidR="00EA7EE7" w:rsidRPr="00EA7EE7">
              <w:rPr>
                <w:noProof/>
                <w:webHidden/>
              </w:rPr>
              <w:fldChar w:fldCharType="separate"/>
            </w:r>
            <w:r w:rsidR="00591896">
              <w:rPr>
                <w:noProof/>
                <w:webHidden/>
              </w:rPr>
              <w:t>63</w:t>
            </w:r>
            <w:r w:rsidR="00EA7EE7" w:rsidRPr="00EA7EE7">
              <w:rPr>
                <w:noProof/>
                <w:webHidden/>
              </w:rPr>
              <w:fldChar w:fldCharType="end"/>
            </w:r>
          </w:hyperlink>
        </w:p>
        <w:p w14:paraId="2F0F5D7F" w14:textId="2CBDEE14" w:rsidR="00EA7EE7" w:rsidRPr="00EA7EE7" w:rsidRDefault="00B87B81" w:rsidP="00EA7EE7">
          <w:pPr>
            <w:pStyle w:val="Obsah3"/>
            <w:spacing w:after="0" w:line="276" w:lineRule="auto"/>
            <w:rPr>
              <w:rFonts w:eastAsiaTheme="minorEastAsia"/>
              <w:noProof/>
              <w:color w:val="auto"/>
              <w:lang w:eastAsia="cs-CZ"/>
            </w:rPr>
          </w:pPr>
          <w:hyperlink w:anchor="_Toc174703098" w:history="1">
            <w:r w:rsidR="00EA7EE7" w:rsidRPr="00EA7EE7">
              <w:rPr>
                <w:rStyle w:val="Hypertextovodkaz"/>
                <w:noProof/>
              </w:rPr>
              <w:t>4.3.</w:t>
            </w:r>
            <w:r w:rsidR="00EA7EE7" w:rsidRPr="00EA7EE7">
              <w:rPr>
                <w:rFonts w:eastAsiaTheme="minorEastAsia"/>
                <w:noProof/>
                <w:color w:val="auto"/>
                <w:lang w:eastAsia="cs-CZ"/>
              </w:rPr>
              <w:tab/>
            </w:r>
            <w:r w:rsidR="00EA7EE7" w:rsidRPr="00EA7EE7">
              <w:rPr>
                <w:rStyle w:val="Hypertextovodkaz"/>
                <w:noProof/>
              </w:rPr>
              <w:t>Financování udržitelnosti</w:t>
            </w:r>
            <w:r w:rsidR="00EA7EE7" w:rsidRPr="00EA7EE7">
              <w:rPr>
                <w:noProof/>
                <w:webHidden/>
              </w:rPr>
              <w:tab/>
            </w:r>
            <w:r w:rsidR="00EA7EE7" w:rsidRPr="00EA7EE7">
              <w:rPr>
                <w:noProof/>
                <w:webHidden/>
              </w:rPr>
              <w:fldChar w:fldCharType="begin"/>
            </w:r>
            <w:r w:rsidR="00EA7EE7" w:rsidRPr="00EA7EE7">
              <w:rPr>
                <w:noProof/>
                <w:webHidden/>
              </w:rPr>
              <w:instrText xml:space="preserve"> PAGEREF _Toc174703098 \h </w:instrText>
            </w:r>
            <w:r w:rsidR="00EA7EE7" w:rsidRPr="00EA7EE7">
              <w:rPr>
                <w:noProof/>
                <w:webHidden/>
              </w:rPr>
            </w:r>
            <w:r w:rsidR="00EA7EE7" w:rsidRPr="00EA7EE7">
              <w:rPr>
                <w:noProof/>
                <w:webHidden/>
              </w:rPr>
              <w:fldChar w:fldCharType="separate"/>
            </w:r>
            <w:r w:rsidR="00591896">
              <w:rPr>
                <w:noProof/>
                <w:webHidden/>
              </w:rPr>
              <w:t>64</w:t>
            </w:r>
            <w:r w:rsidR="00EA7EE7" w:rsidRPr="00EA7EE7">
              <w:rPr>
                <w:noProof/>
                <w:webHidden/>
              </w:rPr>
              <w:fldChar w:fldCharType="end"/>
            </w:r>
          </w:hyperlink>
        </w:p>
        <w:p w14:paraId="7B8291F2" w14:textId="31B9E034" w:rsidR="00EA7EE7" w:rsidRPr="00EA7EE7" w:rsidRDefault="00B87B81" w:rsidP="00EA7EE7">
          <w:pPr>
            <w:pStyle w:val="Obsah3"/>
            <w:spacing w:after="0" w:line="276" w:lineRule="auto"/>
            <w:rPr>
              <w:rFonts w:eastAsiaTheme="minorEastAsia"/>
              <w:noProof/>
              <w:color w:val="auto"/>
              <w:lang w:eastAsia="cs-CZ"/>
            </w:rPr>
          </w:pPr>
          <w:hyperlink w:anchor="_Toc174703099" w:history="1">
            <w:r w:rsidR="00EA7EE7" w:rsidRPr="00EA7EE7">
              <w:rPr>
                <w:rStyle w:val="Hypertextovodkaz"/>
                <w:noProof/>
              </w:rPr>
              <w:t>4.4.</w:t>
            </w:r>
            <w:r w:rsidR="00EA7EE7" w:rsidRPr="00EA7EE7">
              <w:rPr>
                <w:rFonts w:eastAsiaTheme="minorEastAsia"/>
                <w:noProof/>
                <w:color w:val="auto"/>
                <w:lang w:eastAsia="cs-CZ"/>
              </w:rPr>
              <w:tab/>
            </w:r>
            <w:r w:rsidR="00EA7EE7" w:rsidRPr="00EA7EE7">
              <w:rPr>
                <w:rStyle w:val="Hypertextovodkaz"/>
                <w:noProof/>
              </w:rPr>
              <w:t>Dlouhodobá udržitelnost veřejných financí</w:t>
            </w:r>
            <w:r w:rsidR="00EA7EE7" w:rsidRPr="00EA7EE7">
              <w:rPr>
                <w:noProof/>
                <w:webHidden/>
              </w:rPr>
              <w:tab/>
            </w:r>
            <w:r w:rsidR="00EA7EE7" w:rsidRPr="00EA7EE7">
              <w:rPr>
                <w:noProof/>
                <w:webHidden/>
              </w:rPr>
              <w:fldChar w:fldCharType="begin"/>
            </w:r>
            <w:r w:rsidR="00EA7EE7" w:rsidRPr="00EA7EE7">
              <w:rPr>
                <w:noProof/>
                <w:webHidden/>
              </w:rPr>
              <w:instrText xml:space="preserve"> PAGEREF _Toc174703099 \h </w:instrText>
            </w:r>
            <w:r w:rsidR="00EA7EE7" w:rsidRPr="00EA7EE7">
              <w:rPr>
                <w:noProof/>
                <w:webHidden/>
              </w:rPr>
            </w:r>
            <w:r w:rsidR="00EA7EE7" w:rsidRPr="00EA7EE7">
              <w:rPr>
                <w:noProof/>
                <w:webHidden/>
              </w:rPr>
              <w:fldChar w:fldCharType="separate"/>
            </w:r>
            <w:r w:rsidR="00591896">
              <w:rPr>
                <w:noProof/>
                <w:webHidden/>
              </w:rPr>
              <w:t>66</w:t>
            </w:r>
            <w:r w:rsidR="00EA7EE7" w:rsidRPr="00EA7EE7">
              <w:rPr>
                <w:noProof/>
                <w:webHidden/>
              </w:rPr>
              <w:fldChar w:fldCharType="end"/>
            </w:r>
          </w:hyperlink>
        </w:p>
        <w:p w14:paraId="5B25F5B0" w14:textId="652C444E" w:rsidR="00EA7EE7" w:rsidRPr="00EA7EE7" w:rsidRDefault="00B87B81" w:rsidP="00EA7EE7">
          <w:pPr>
            <w:pStyle w:val="Obsah1"/>
            <w:spacing w:line="276" w:lineRule="auto"/>
            <w:rPr>
              <w:rFonts w:eastAsiaTheme="minorEastAsia"/>
              <w:noProof/>
              <w:color w:val="auto"/>
              <w:lang w:eastAsia="cs-CZ"/>
            </w:rPr>
          </w:pPr>
          <w:hyperlink w:anchor="_Toc174703100" w:history="1">
            <w:r w:rsidR="00EA7EE7" w:rsidRPr="00EA7EE7">
              <w:rPr>
                <w:rStyle w:val="Hypertextovodkaz"/>
                <w:noProof/>
              </w:rPr>
              <w:t>III.</w:t>
            </w:r>
            <w:r w:rsidR="00EA7EE7" w:rsidRPr="00EA7EE7">
              <w:rPr>
                <w:rFonts w:eastAsiaTheme="minorEastAsia"/>
                <w:noProof/>
                <w:color w:val="auto"/>
                <w:lang w:eastAsia="cs-CZ"/>
              </w:rPr>
              <w:tab/>
            </w:r>
            <w:r w:rsidR="00EA7EE7" w:rsidRPr="00EA7EE7">
              <w:rPr>
                <w:rStyle w:val="Hypertextovodkaz"/>
                <w:noProof/>
              </w:rPr>
              <w:t>PROVÁDĚNÍ STRATEGIE</w:t>
            </w:r>
            <w:r w:rsidR="00EA7EE7" w:rsidRPr="00EA7EE7">
              <w:rPr>
                <w:noProof/>
                <w:webHidden/>
              </w:rPr>
              <w:tab/>
            </w:r>
            <w:r w:rsidR="00EA7EE7" w:rsidRPr="00EA7EE7">
              <w:rPr>
                <w:noProof/>
                <w:webHidden/>
              </w:rPr>
              <w:fldChar w:fldCharType="begin"/>
            </w:r>
            <w:r w:rsidR="00EA7EE7" w:rsidRPr="00EA7EE7">
              <w:rPr>
                <w:noProof/>
                <w:webHidden/>
              </w:rPr>
              <w:instrText xml:space="preserve"> PAGEREF _Toc174703100 \h </w:instrText>
            </w:r>
            <w:r w:rsidR="00EA7EE7" w:rsidRPr="00EA7EE7">
              <w:rPr>
                <w:noProof/>
                <w:webHidden/>
              </w:rPr>
            </w:r>
            <w:r w:rsidR="00EA7EE7" w:rsidRPr="00EA7EE7">
              <w:rPr>
                <w:noProof/>
                <w:webHidden/>
              </w:rPr>
              <w:fldChar w:fldCharType="separate"/>
            </w:r>
            <w:r w:rsidR="00591896">
              <w:rPr>
                <w:noProof/>
                <w:webHidden/>
              </w:rPr>
              <w:t>70</w:t>
            </w:r>
            <w:r w:rsidR="00EA7EE7" w:rsidRPr="00EA7EE7">
              <w:rPr>
                <w:noProof/>
                <w:webHidden/>
              </w:rPr>
              <w:fldChar w:fldCharType="end"/>
            </w:r>
          </w:hyperlink>
        </w:p>
        <w:p w14:paraId="5A4F35AE" w14:textId="74579485" w:rsidR="00EA7EE7" w:rsidRPr="00EA7EE7" w:rsidRDefault="00B87B81" w:rsidP="00EA7EE7">
          <w:pPr>
            <w:pStyle w:val="Obsah1"/>
            <w:spacing w:line="276" w:lineRule="auto"/>
            <w:rPr>
              <w:rFonts w:eastAsiaTheme="minorEastAsia"/>
              <w:noProof/>
              <w:color w:val="auto"/>
              <w:sz w:val="20"/>
              <w:szCs w:val="20"/>
              <w:lang w:eastAsia="cs-CZ"/>
            </w:rPr>
          </w:pPr>
          <w:hyperlink w:anchor="_Toc174703101" w:history="1">
            <w:r w:rsidR="00EA7EE7" w:rsidRPr="00EA7EE7">
              <w:rPr>
                <w:rStyle w:val="Hypertextovodkaz"/>
                <w:noProof/>
              </w:rPr>
              <w:t>Poznámky pod čarou</w:t>
            </w:r>
            <w:r w:rsidR="00EA7EE7" w:rsidRPr="00EA7EE7">
              <w:rPr>
                <w:noProof/>
                <w:webHidden/>
              </w:rPr>
              <w:tab/>
            </w:r>
            <w:r w:rsidR="00EA7EE7" w:rsidRPr="00EA7EE7">
              <w:rPr>
                <w:noProof/>
                <w:webHidden/>
              </w:rPr>
              <w:fldChar w:fldCharType="begin"/>
            </w:r>
            <w:r w:rsidR="00EA7EE7" w:rsidRPr="00EA7EE7">
              <w:rPr>
                <w:noProof/>
                <w:webHidden/>
              </w:rPr>
              <w:instrText xml:space="preserve"> PAGEREF _Toc174703101 \h </w:instrText>
            </w:r>
            <w:r w:rsidR="00EA7EE7" w:rsidRPr="00EA7EE7">
              <w:rPr>
                <w:noProof/>
                <w:webHidden/>
              </w:rPr>
            </w:r>
            <w:r w:rsidR="00EA7EE7" w:rsidRPr="00EA7EE7">
              <w:rPr>
                <w:noProof/>
                <w:webHidden/>
              </w:rPr>
              <w:fldChar w:fldCharType="separate"/>
            </w:r>
            <w:r w:rsidR="00591896">
              <w:rPr>
                <w:noProof/>
                <w:webHidden/>
              </w:rPr>
              <w:t>75</w:t>
            </w:r>
            <w:r w:rsidR="00EA7EE7" w:rsidRPr="00EA7EE7">
              <w:rPr>
                <w:noProof/>
                <w:webHidden/>
              </w:rPr>
              <w:fldChar w:fldCharType="end"/>
            </w:r>
          </w:hyperlink>
        </w:p>
        <w:p w14:paraId="0EF0AA62" w14:textId="2BBCE902" w:rsidR="00EA7EE7" w:rsidRPr="00EA7EE7" w:rsidRDefault="00EA7EE7" w:rsidP="00EA7EE7">
          <w:pPr>
            <w:spacing w:after="0"/>
            <w:rPr>
              <w:sz w:val="20"/>
              <w:szCs w:val="20"/>
            </w:rPr>
          </w:pPr>
          <w:r w:rsidRPr="00EA7EE7">
            <w:rPr>
              <w:b/>
              <w:bCs/>
              <w:sz w:val="20"/>
              <w:szCs w:val="20"/>
            </w:rPr>
            <w:fldChar w:fldCharType="end"/>
          </w:r>
        </w:p>
      </w:sdtContent>
    </w:sdt>
    <w:p w14:paraId="6FDB9C88" w14:textId="4E32E1B2" w:rsidR="00EA7EE7" w:rsidRDefault="00EA7EE7">
      <w:pPr>
        <w:spacing w:after="200" w:line="276" w:lineRule="auto"/>
        <w:jc w:val="left"/>
      </w:pPr>
      <w:r>
        <w:br w:type="page"/>
      </w:r>
    </w:p>
    <w:p w14:paraId="11094DEC" w14:textId="77777777" w:rsidR="00EA228F" w:rsidRPr="00BB5751" w:rsidRDefault="00EA228F" w:rsidP="008124B3"/>
    <w:p w14:paraId="057E8350" w14:textId="524789BF" w:rsidR="0023715D" w:rsidRPr="00AC4991" w:rsidRDefault="0023715D" w:rsidP="0023715D">
      <w:pPr>
        <w:pStyle w:val="HSNadpis1bezslovn"/>
      </w:pPr>
      <w:bookmarkStart w:id="7" w:name="_Toc174703060"/>
      <w:r>
        <w:t>MANAŽERSKÉ SHRNUTÍ</w:t>
      </w:r>
      <w:bookmarkEnd w:id="7"/>
    </w:p>
    <w:p w14:paraId="4B00307F" w14:textId="069AA2D1" w:rsidR="00483360" w:rsidRDefault="006D42C7" w:rsidP="00483360">
      <w:r>
        <w:t>Hospodářská strategie České republiky představuje klíčový dokument určující směr hospodářské politiky státu pro následujících 10 až 15 let. Strategie reaguje na výzvy, jako jsou změny geopolitického prostředí, demografický vývoj, klimatická krize či technologická transformace.</w:t>
      </w:r>
      <w:r w:rsidR="00483360" w:rsidRPr="00483360">
        <w:t xml:space="preserve"> </w:t>
      </w:r>
      <w:r w:rsidR="00483360">
        <w:t>Tyto trendy vytvářejí rizika, ale také příležitosti pro českou ekonomiku. Například technologie jako umělá inteligence, Průmysl 4.0 či digitalizace mají potenciál výrazně ovlivnit hospodářský rozvoj.</w:t>
      </w:r>
      <w:r w:rsidR="00483360" w:rsidRPr="00483360">
        <w:t xml:space="preserve"> </w:t>
      </w:r>
      <w:r w:rsidR="00483360">
        <w:t>Demografický vývoj, zejména stárnutí populace a pokles porodnosti, vyžaduje zásadní změny ve veřejných financích, důchodovém systému a zdravotnictví. Strategie proto klade důraz na zvyšování efektivity veřejných výdajů a přizpůsobení trhu práce těmto změnám, včetně podpory migrace kvalifikovaných pracovníků.</w:t>
      </w:r>
    </w:p>
    <w:p w14:paraId="0F18B257" w14:textId="77777777" w:rsidR="006D42C7" w:rsidRDefault="006D42C7" w:rsidP="006D42C7">
      <w:r>
        <w:t>Strategie poskytuje rámec pro rozvoj ekonomiky nejen v kontextu hospodářského růstu, ale také s důrazem na environmentální a sociální odpovědnost. Dokument staví na dřívějších strategických rámcích a přebírá klíčové cíle pro zajištění konkurenceschopnosti a udržitelného ekonomického rozvoje. Důležitou vlastností strategie je její flexibilita, která umožní pravidelné aktualizace na základě měnících se podmínek.</w:t>
      </w:r>
    </w:p>
    <w:p w14:paraId="73C4CB57" w14:textId="7DAE71C2" w:rsidR="006D42C7" w:rsidRDefault="006D42C7" w:rsidP="006D42C7">
      <w:r>
        <w:t>Česká ekonomika se v současné době vyznačuje stabilitou a významnou průmyslovou základnou, přičemž klíčovou roli hrají zahraniční společnosti, které přinášejí know-how a kapitál. Na druhé straně je ekonomika závislá na zahraničním kapitálu a v </w:t>
      </w:r>
      <w:proofErr w:type="spellStart"/>
      <w:r>
        <w:t>subodavatelském</w:t>
      </w:r>
      <w:proofErr w:type="spellEnd"/>
      <w:r>
        <w:t xml:space="preserve"> postavení. Česká republika vykazuje nízkou nezaměstnanost, avšak zároveň čelí výzvám v podobě nedostatku kvalifikované pracovní síly, což ohrožuje budoucí růst.</w:t>
      </w:r>
      <w:r w:rsidR="00C02F1A">
        <w:t xml:space="preserve"> </w:t>
      </w:r>
      <w:r>
        <w:t>Ekonomika také vykazuje vyšší energetickou a materiálovou náročnost, což představuje významnou výzvu v kontextu ekologické transformace.</w:t>
      </w:r>
    </w:p>
    <w:p w14:paraId="3E77DDB0" w14:textId="77777777" w:rsidR="006D42C7" w:rsidRDefault="006D42C7" w:rsidP="006D42C7">
      <w:r>
        <w:t>Hospodářská strategie identifikuje čtyři hlavní strategické oblasti:</w:t>
      </w:r>
    </w:p>
    <w:p w14:paraId="1780748B" w14:textId="77777777" w:rsidR="006D42C7" w:rsidRDefault="006D42C7" w:rsidP="006D42C7">
      <w:r w:rsidRPr="00C60994">
        <w:rPr>
          <w:b/>
          <w:bCs/>
        </w:rPr>
        <w:t>1. Lidský kapitál, produktivita a přidaná hodnota</w:t>
      </w:r>
      <w:r w:rsidRPr="006C0603">
        <w:rPr>
          <w:i/>
          <w:iCs/>
        </w:rPr>
        <w:t xml:space="preserve"> </w:t>
      </w:r>
      <w:r>
        <w:t>– zahrnuje rozvoj vzdělávání, podporu výzkumu a inovací, digitalizaci a zlepšování podnikatelského prostředí. Cílem je zvýšit přidanou hodnotu českých firem a zajistit dlouhodobou udržitelnost veřejných institucí.</w:t>
      </w:r>
    </w:p>
    <w:p w14:paraId="3603B68A" w14:textId="77777777" w:rsidR="006D42C7" w:rsidRDefault="006D42C7" w:rsidP="006D42C7">
      <w:r w:rsidRPr="00C60994">
        <w:rPr>
          <w:b/>
          <w:bCs/>
        </w:rPr>
        <w:t>2. Strategická infrastruktura</w:t>
      </w:r>
      <w:r>
        <w:t xml:space="preserve"> – pokrývá investice do energetiky, dopravy a digitální infrastruktury, přičemž klade důraz na dekarbonizaci a bezpečnost dodávek energií a surovin.</w:t>
      </w:r>
    </w:p>
    <w:p w14:paraId="5D3CBAF6" w14:textId="77777777" w:rsidR="006D42C7" w:rsidRDefault="006D42C7" w:rsidP="006D42C7">
      <w:r w:rsidRPr="00C60994">
        <w:rPr>
          <w:b/>
          <w:bCs/>
        </w:rPr>
        <w:t xml:space="preserve">3. Industrializace s přidanou hodnotou </w:t>
      </w:r>
      <w:r>
        <w:t>– zaměřuje se na rozvoj technologicky vyspělých odvětví a podporu inovací ve stávajících průmyslových sektorech s cílem zvýšit přidanou hodnotu a konkurenceschopnost českých produktů.</w:t>
      </w:r>
    </w:p>
    <w:p w14:paraId="7DDD4C0D" w14:textId="77777777" w:rsidR="006D42C7" w:rsidRDefault="006D42C7" w:rsidP="006D42C7">
      <w:r w:rsidRPr="00C60994">
        <w:rPr>
          <w:b/>
          <w:bCs/>
        </w:rPr>
        <w:t xml:space="preserve">4. Financování </w:t>
      </w:r>
      <w:r>
        <w:t>– zahrnuje zajištění dostupného kapitálu pro strategické investice, využití evropských fondů a národních rozpočtů pro udržitelný rozvoj a stabilizaci veřejných financí.</w:t>
      </w:r>
    </w:p>
    <w:p w14:paraId="0D9DE056" w14:textId="77777777" w:rsidR="006D42C7" w:rsidRPr="006C0603" w:rsidRDefault="006D42C7" w:rsidP="006D42C7">
      <w:r w:rsidRPr="006C0603">
        <w:t xml:space="preserve">Implementace Hospodářské strategie České republiky je klíčovým krokem k dosažení stanovených cílů v oblasti udržitelného ekonomického růstu, konkurenceschopnosti a zvýšení přidané hodnoty české ekonomiky. </w:t>
      </w:r>
    </w:p>
    <w:p w14:paraId="7CB3F956" w14:textId="3EA265F5" w:rsidR="006D42C7" w:rsidRDefault="006D42C7" w:rsidP="006D42C7">
      <w:r w:rsidRPr="000062F9">
        <w:t>Hospodářská strategie České republiky je zastřešující strategií vlády České republiky. Gestorskou a řídicí roli ve vztahu ke strategii má Ministerstvo průmyslu a obchodu v koordinaci s Úřadem vlády a Ministerstvem financí. Hlavní odpovědnost za implementaci strategie mají jednotlivá ministerstva.</w:t>
      </w:r>
      <w:r>
        <w:t xml:space="preserve"> Praktickou koordinaci bude průběžně zajišťovat pracovní skupina zřízená Ministerstvem průmyslu a obchodu. </w:t>
      </w:r>
    </w:p>
    <w:p w14:paraId="5B2F9597" w14:textId="713334C7" w:rsidR="006D42C7" w:rsidRDefault="00483360" w:rsidP="006D42C7">
      <w:r>
        <w:t>P</w:t>
      </w:r>
      <w:r w:rsidR="006D42C7">
        <w:t>ro sledování pokroku v implementaci strategie jsou stanoveny konkrétní indikátory, které umožní pravidelné vyhodnocování dosažených výsledků. O pokroku bude pravidelně informován Vládní výbor pro strategické investice a vláda České republiky.</w:t>
      </w:r>
      <w:r>
        <w:t xml:space="preserve"> </w:t>
      </w:r>
      <w:r w:rsidRPr="00483360">
        <w:t xml:space="preserve">Nástrojem řízení a realizace strategie bude </w:t>
      </w:r>
      <w:r w:rsidR="006D42C7" w:rsidRPr="00483360">
        <w:t>implementační</w:t>
      </w:r>
      <w:r w:rsidR="006D42C7">
        <w:t xml:space="preserve"> plán. Aktualizace budou vycházet z výsledků monitorování.</w:t>
      </w:r>
    </w:p>
    <w:p w14:paraId="20C89EB9" w14:textId="77777777" w:rsidR="006D42C7" w:rsidRDefault="006D42C7" w:rsidP="006D42C7">
      <w:r>
        <w:t>Hospodářská strategie České republiky představuje ucelený plán pro dlouhodobý rozvoj a zajištění konkurenceschopnosti české ekonomiky. Klíčovým aspektem je propojení udržitelnosti s růstem, přičemž důraz je kladen na inovace, vzdělávání a infrastrukturu. Strategie reflektuje globální trendy a výzvy, které ovlivní budoucí vývoj země, a stanovuje konkrétní kroky pro jejich efektivní zvládnutí. Cílem je vytvořit ekonomické prostředí, které bude motivovat k vyšším výkonům a zajistí prosperitu i pro budoucí generace.</w:t>
      </w:r>
    </w:p>
    <w:p w14:paraId="41AB7168" w14:textId="179DE273" w:rsidR="006D42C7" w:rsidRDefault="006D42C7">
      <w:pPr>
        <w:spacing w:after="200" w:line="276" w:lineRule="auto"/>
        <w:jc w:val="left"/>
      </w:pPr>
      <w:r>
        <w:br w:type="page"/>
      </w:r>
    </w:p>
    <w:p w14:paraId="692A83BC" w14:textId="51610F00" w:rsidR="006D42C7" w:rsidRPr="00AC4991" w:rsidRDefault="006D42C7" w:rsidP="006D42C7">
      <w:pPr>
        <w:pStyle w:val="HSNadpis1bezslovn"/>
      </w:pPr>
      <w:bookmarkStart w:id="8" w:name="_Toc174703061"/>
      <w:r w:rsidRPr="00AC4991">
        <w:lastRenderedPageBreak/>
        <w:t>ÚVOD</w:t>
      </w:r>
      <w:bookmarkEnd w:id="8"/>
    </w:p>
    <w:p w14:paraId="1F0CC526" w14:textId="77777777" w:rsidR="006D42C7" w:rsidRDefault="006D42C7" w:rsidP="006D42C7">
      <w:r>
        <w:t xml:space="preserve">Hospodářská strategie představuje jeden ze základních dokumentů hospodářské politiky státu, který definuje rámec pro budoucí rozvoj a stabilitu ekonomiky. </w:t>
      </w:r>
      <w:r w:rsidRPr="0074664B">
        <w:t>Vytvoření zastřešující strategie</w:t>
      </w:r>
      <w:r>
        <w:t xml:space="preserve"> umožní koordinovaný přístup napříč resorty v oblasti hospodářských politik, což v budoucnu zmírní a minimalizuje rizika a nejistoty pro krátkodobý i dlouhodobý vývoj ekonomiky. Vláda České republiky se proto rozhodla připravit strategický dokument, který bude sloužit jako stěžejní nástroj pro formování hospodářské politiky státu na dalších 10 až 15 let.</w:t>
      </w:r>
    </w:p>
    <w:p w14:paraId="47F41454" w14:textId="77777777" w:rsidR="006D42C7" w:rsidRDefault="006D42C7" w:rsidP="006D42C7">
      <w:r>
        <w:t>Hlavním cílem předkládané strategie je poskytnout zastřešující strategický rámec. Tento dokument také slouží jako vodítko hospodářské politiky pro všechny zúčastněné strany, včetně krajů, obcí, zaměstnavatelů, odborů, zahraničních investorů, a rovněž pro ostatní státy a mezinárodní organizace. Strategie klade důraz na rozvoj ekonomiky, a to nejen v kontextu hospodářského růstu, ale i z hlediska</w:t>
      </w:r>
      <w:r w:rsidRPr="00691285">
        <w:t xml:space="preserve"> </w:t>
      </w:r>
      <w:r>
        <w:t>environmentální a sociální odpovědnosti, vč. dlouhodobé udržitelnosti veřejných financí.</w:t>
      </w:r>
    </w:p>
    <w:p w14:paraId="79BCA5F7" w14:textId="77777777" w:rsidR="006D42C7" w:rsidRDefault="006D42C7" w:rsidP="006D42C7">
      <w:r>
        <w:t>Motivace pro vytvoření tohoto strategického dokumentu vychází z potřeby zajistit stabilní a předvídatelné hospodářské prostředí, které podpoří růst a konkurenceschopnost české ekonomiky. Nová strategie má za cíl přinést dlouhodobou vizi, která umožní efektivní plánování a realizaci hospodářských politik, přičemž zohledňuje i současné a budoucí výzvy, kterým Česká republika čelí. Tímto způsobem zajistí, že iniciativy a projekty, které budou v rámci strategie realizovány, přispějí k udržitelnému rozvoji a prosperitě naší země.</w:t>
      </w:r>
    </w:p>
    <w:p w14:paraId="5537F18F" w14:textId="77777777" w:rsidR="006D42C7" w:rsidRDefault="006D42C7" w:rsidP="006D42C7">
      <w:r>
        <w:t>Strategie zahrnuje analýzu vývoje a struktury hospodářství České republiky a mezinárodní srovnání a zohledňuje trendy, které ovlivňují domácí i světovou ekonomiku. Hospodářská strategie vznikala na základě mezirezortní spolupráce a bere do úvahy existující a připravované sektorové strategie a koncepce, které zastřešuje.</w:t>
      </w:r>
      <w:r w:rsidRPr="00602B43">
        <w:t xml:space="preserve"> </w:t>
      </w:r>
      <w:r w:rsidRPr="00D660DB">
        <w:t>Hospodářská strategie také do značné míry čerpá z již vzniklých strategických dokumentů, např. Strategický rámec České republiky 2030 a Inovační strategie České republiky 2019–2030, ze kterých přebírá klíčové dlouhodobé cíle potřebné pro růst konkurenceschopnosti a udržitelného ekonomického rozvoje České republiky.</w:t>
      </w:r>
    </w:p>
    <w:p w14:paraId="5E3AEC77" w14:textId="77777777" w:rsidR="006D42C7" w:rsidRDefault="006D42C7" w:rsidP="006D42C7">
      <w:r>
        <w:t xml:space="preserve">Vzhledem k delšímu horizontu strategie je nezbytné, aby definované směry a vize nebyly rigidní, ale umožnili reagovat na měnící se podmínky a výzvy. Tento dokument proto nebude statickým konceptem, ale bude rozvíjen krátkodobými akčními plány a současně bude ve středním období aktualizován a přizpůsobován aktuálním potřebám a situaci. </w:t>
      </w:r>
    </w:p>
    <w:p w14:paraId="158E7231" w14:textId="77777777" w:rsidR="006D42C7" w:rsidRDefault="006D42C7" w:rsidP="006D42C7">
      <w:r>
        <w:t>Pojmy udržitelnost a konkurenceschopnost strategie chápe jako dva vzájemně propojené koncepty. Hospodářství nemůže být dlouhodobě udržitelné, pokud není konkurenceschopné a naopak. Koncepty udržitelnosti a konkurenceschopnosti staví na odpovědnosti, tedy schopnosti přijímat a nést následky svého jednání; odpovědnosti vůči budoucím generacím; a přiměřených nárocích jednotlivců s ohledem na omezení společných zdrojů. Naplnění tohoto konceptu se zakládá na vzdělané společnosti, funkčním tržním prostředí, efektivním nakládání s energií a materiály, a na odolnosti vůči negativním vlivům.</w:t>
      </w:r>
    </w:p>
    <w:p w14:paraId="14BF76EE" w14:textId="77777777" w:rsidR="006D42C7" w:rsidRDefault="006D42C7" w:rsidP="006D42C7">
      <w:r>
        <w:t>Strategie je rozčleněna do tří hlavních kapitol. Výchozí, analytická, část popisuje ekonomickou situaci a strukturu české ekonomiky s cílem upozornit na silné a slabé stránky. Kapitola se věnuje krizemi postiženému vývoji a stavu ekonomiky České republiky v posledních letech a uvádí její základní charakteristiky. Část kapitoly se věnuje také trhu práce a jeho struktuře, která je z hlediska budoucího ekonomického růstu zásadní. V kapitole je analyzována mj. i regionální konvergence a socioekonomický pohled. Druhá kapitola definuje hlavní vizi a cíl strategie. Jsou v ní rozebrány klíčové oblasti, kterých se strategie týká. Mezi ně patří lidský kapitál, strategické investice, industrializace s přidanou hodnotou a financování. Třetí kapitola představuje způsob provádění strategie včetně indikátorů, které budou sledovány pro vyhodnocování pokroku z hlediska naplnění vrcholového cíle strategie.</w:t>
      </w:r>
    </w:p>
    <w:p w14:paraId="16511AF9" w14:textId="56C32637" w:rsidR="00AC4991" w:rsidRPr="008124B3" w:rsidRDefault="006D42C7" w:rsidP="006D42C7">
      <w:r>
        <w:br w:type="page"/>
      </w:r>
    </w:p>
    <w:p w14:paraId="1C8D52E1" w14:textId="0E26A727" w:rsidR="00A0090B" w:rsidRDefault="000B6CA0" w:rsidP="00D45A73">
      <w:pPr>
        <w:pStyle w:val="Nadpis1"/>
      </w:pPr>
      <w:bookmarkStart w:id="9" w:name="_Toc174703062"/>
      <w:r>
        <w:lastRenderedPageBreak/>
        <w:t>ANALÝZA S</w:t>
      </w:r>
      <w:r w:rsidRPr="000B6CA0">
        <w:t>TAV</w:t>
      </w:r>
      <w:r>
        <w:t>U</w:t>
      </w:r>
      <w:r w:rsidRPr="000B6CA0">
        <w:t xml:space="preserve"> A VÝVOJ</w:t>
      </w:r>
      <w:r>
        <w:t>E</w:t>
      </w:r>
      <w:r w:rsidRPr="000B6CA0">
        <w:t xml:space="preserve"> EKONOMIKY ČESKÉ REPUBLIKY</w:t>
      </w:r>
      <w:bookmarkEnd w:id="9"/>
      <w:r>
        <w:t xml:space="preserve"> </w:t>
      </w:r>
    </w:p>
    <w:p w14:paraId="177F22C3" w14:textId="77777777" w:rsidR="0049755B" w:rsidRDefault="0049755B" w:rsidP="00AC4991">
      <w:pPr>
        <w:rPr>
          <w:shd w:val="clear" w:color="auto" w:fill="FFFFFF"/>
        </w:rPr>
      </w:pPr>
    </w:p>
    <w:p w14:paraId="5F3BE39D" w14:textId="77777777" w:rsidR="0049755B" w:rsidRDefault="0049755B" w:rsidP="00AC4991">
      <w:pPr>
        <w:rPr>
          <w:shd w:val="clear" w:color="auto" w:fill="FFFFFF"/>
        </w:rPr>
      </w:pPr>
    </w:p>
    <w:p w14:paraId="11BD3249" w14:textId="49761AA4" w:rsidR="000F1193" w:rsidRDefault="000F1193" w:rsidP="00AC4991">
      <w:pPr>
        <w:rPr>
          <w:shd w:val="clear" w:color="auto" w:fill="FFFFFF"/>
        </w:rPr>
      </w:pPr>
      <w:r w:rsidRPr="00BF6ADB">
        <w:rPr>
          <w:shd w:val="clear" w:color="auto" w:fill="FFFFFF"/>
        </w:rPr>
        <w:t xml:space="preserve">Analytická část hospodářské strategie se zaměřuje na vývoj </w:t>
      </w:r>
      <w:r>
        <w:rPr>
          <w:shd w:val="clear" w:color="auto" w:fill="FFFFFF"/>
        </w:rPr>
        <w:t xml:space="preserve">a strukturu českého hospodářství. </w:t>
      </w:r>
      <w:r w:rsidRPr="00BF6ADB">
        <w:rPr>
          <w:shd w:val="clear" w:color="auto" w:fill="FFFFFF"/>
        </w:rPr>
        <w:t xml:space="preserve">Tato část je </w:t>
      </w:r>
      <w:r>
        <w:rPr>
          <w:shd w:val="clear" w:color="auto" w:fill="FFFFFF"/>
        </w:rPr>
        <w:t>klíčová pro</w:t>
      </w:r>
      <w:r w:rsidRPr="00BF6ADB">
        <w:rPr>
          <w:shd w:val="clear" w:color="auto" w:fill="FFFFFF"/>
        </w:rPr>
        <w:t xml:space="preserve"> porozumění současné</w:t>
      </w:r>
      <w:r>
        <w:rPr>
          <w:shd w:val="clear" w:color="auto" w:fill="FFFFFF"/>
        </w:rPr>
        <w:t>mu</w:t>
      </w:r>
      <w:r w:rsidRPr="00BF6ADB">
        <w:rPr>
          <w:shd w:val="clear" w:color="auto" w:fill="FFFFFF"/>
        </w:rPr>
        <w:t xml:space="preserve"> stavu ekonomiky a formulaci efektivních opatření pro budoucí rozvoj. Skrze analýzu </w:t>
      </w:r>
      <w:r>
        <w:rPr>
          <w:shd w:val="clear" w:color="auto" w:fill="FFFFFF"/>
        </w:rPr>
        <w:t>struktury a</w:t>
      </w:r>
      <w:r w:rsidRPr="00BF6ADB">
        <w:rPr>
          <w:shd w:val="clear" w:color="auto" w:fill="FFFFFF"/>
        </w:rPr>
        <w:t xml:space="preserve"> trendů se</w:t>
      </w:r>
      <w:r w:rsidR="00241C6F">
        <w:rPr>
          <w:shd w:val="clear" w:color="auto" w:fill="FFFFFF"/>
        </w:rPr>
        <w:t xml:space="preserve"> tato část</w:t>
      </w:r>
      <w:r w:rsidRPr="00BF6ADB">
        <w:rPr>
          <w:shd w:val="clear" w:color="auto" w:fill="FFFFFF"/>
        </w:rPr>
        <w:t xml:space="preserve"> snaží odhalit klíčové faktory, které </w:t>
      </w:r>
      <w:r>
        <w:rPr>
          <w:shd w:val="clear" w:color="auto" w:fill="FFFFFF"/>
        </w:rPr>
        <w:t>ovlivňují</w:t>
      </w:r>
      <w:r w:rsidRPr="00BF6ADB">
        <w:rPr>
          <w:shd w:val="clear" w:color="auto" w:fill="FFFFFF"/>
        </w:rPr>
        <w:t xml:space="preserve"> ekonomickou situaci České republiky. Součástí analýzy je i</w:t>
      </w:r>
      <w:r>
        <w:rPr>
          <w:shd w:val="clear" w:color="auto" w:fill="FFFFFF"/>
        </w:rPr>
        <w:t xml:space="preserve"> stručný</w:t>
      </w:r>
      <w:r w:rsidRPr="00BF6ADB">
        <w:rPr>
          <w:shd w:val="clear" w:color="auto" w:fill="FFFFFF"/>
        </w:rPr>
        <w:t xml:space="preserve"> přehled</w:t>
      </w:r>
      <w:r>
        <w:rPr>
          <w:shd w:val="clear" w:color="auto" w:fill="FFFFFF"/>
        </w:rPr>
        <w:t xml:space="preserve"> hlavních </w:t>
      </w:r>
      <w:r w:rsidR="00257B33">
        <w:rPr>
          <w:shd w:val="clear" w:color="auto" w:fill="FFFFFF"/>
        </w:rPr>
        <w:t>„</w:t>
      </w:r>
      <w:r>
        <w:rPr>
          <w:shd w:val="clear" w:color="auto" w:fill="FFFFFF"/>
        </w:rPr>
        <w:t>megatrendů</w:t>
      </w:r>
      <w:r w:rsidR="00257B33">
        <w:rPr>
          <w:shd w:val="clear" w:color="auto" w:fill="FFFFFF"/>
        </w:rPr>
        <w:t>“, tedy</w:t>
      </w:r>
      <w:r>
        <w:rPr>
          <w:shd w:val="clear" w:color="auto" w:fill="FFFFFF"/>
        </w:rPr>
        <w:t xml:space="preserve"> klíčových směr</w:t>
      </w:r>
      <w:r w:rsidR="00257B33">
        <w:rPr>
          <w:shd w:val="clear" w:color="auto" w:fill="FFFFFF"/>
        </w:rPr>
        <w:t>ů</w:t>
      </w:r>
      <w:r>
        <w:rPr>
          <w:shd w:val="clear" w:color="auto" w:fill="FFFFFF"/>
        </w:rPr>
        <w:t>, které mají celosvětové působení a budou ovlivňovat i českou ekonomiku. P</w:t>
      </w:r>
      <w:r w:rsidRPr="006D1D29">
        <w:rPr>
          <w:shd w:val="clear" w:color="auto" w:fill="FFFFFF"/>
        </w:rPr>
        <w:t xml:space="preserve">atří </w:t>
      </w:r>
      <w:r>
        <w:rPr>
          <w:shd w:val="clear" w:color="auto" w:fill="FFFFFF"/>
        </w:rPr>
        <w:t xml:space="preserve">mezi ně </w:t>
      </w:r>
      <w:r w:rsidRPr="006D1D29">
        <w:rPr>
          <w:shd w:val="clear" w:color="auto" w:fill="FFFFFF"/>
        </w:rPr>
        <w:t xml:space="preserve">změny geopolitického prostředí, nové technologie, demografický vývoj a migrace, </w:t>
      </w:r>
      <w:r>
        <w:rPr>
          <w:shd w:val="clear" w:color="auto" w:fill="FFFFFF"/>
        </w:rPr>
        <w:t>nakládání s přírodními zdroji</w:t>
      </w:r>
      <w:r w:rsidRPr="006D1D29">
        <w:rPr>
          <w:shd w:val="clear" w:color="auto" w:fill="FFFFFF"/>
        </w:rPr>
        <w:t xml:space="preserve">, urbanizace </w:t>
      </w:r>
      <w:r>
        <w:rPr>
          <w:shd w:val="clear" w:color="auto" w:fill="FFFFFF"/>
        </w:rPr>
        <w:t xml:space="preserve">či </w:t>
      </w:r>
      <w:r w:rsidRPr="006D1D29">
        <w:rPr>
          <w:shd w:val="clear" w:color="auto" w:fill="FFFFFF"/>
        </w:rPr>
        <w:t>klimat</w:t>
      </w:r>
      <w:r w:rsidR="00AC7519">
        <w:rPr>
          <w:shd w:val="clear" w:color="auto" w:fill="FFFFFF"/>
        </w:rPr>
        <w:t>ické jevy</w:t>
      </w:r>
      <w:r w:rsidRPr="006D1D29">
        <w:rPr>
          <w:shd w:val="clear" w:color="auto" w:fill="FFFFFF"/>
        </w:rPr>
        <w:t xml:space="preserve">. </w:t>
      </w:r>
      <w:r>
        <w:rPr>
          <w:shd w:val="clear" w:color="auto" w:fill="FFFFFF"/>
        </w:rPr>
        <w:t>Závěrečná část souhrnně hodnotí silné a slabé stránky, příležitosti a hrozby pro ekonomiku České republiky.</w:t>
      </w:r>
    </w:p>
    <w:p w14:paraId="223ECD2C" w14:textId="5417C8B4" w:rsidR="000F1193" w:rsidRDefault="000F1193" w:rsidP="00C56E3B">
      <w:pPr>
        <w:rPr>
          <w:shd w:val="clear" w:color="auto" w:fill="FFFFFF"/>
        </w:rPr>
      </w:pPr>
      <w:r>
        <w:rPr>
          <w:shd w:val="clear" w:color="auto" w:fill="FFFFFF"/>
        </w:rPr>
        <w:t>Analytickou část doprovází obsáhl</w:t>
      </w:r>
      <w:r w:rsidR="00241C6F">
        <w:rPr>
          <w:shd w:val="clear" w:color="auto" w:fill="FFFFFF"/>
        </w:rPr>
        <w:t>ý</w:t>
      </w:r>
      <w:r>
        <w:rPr>
          <w:shd w:val="clear" w:color="auto" w:fill="FFFFFF"/>
        </w:rPr>
        <w:t xml:space="preserve"> grafick</w:t>
      </w:r>
      <w:r w:rsidR="00241C6F">
        <w:rPr>
          <w:shd w:val="clear" w:color="auto" w:fill="FFFFFF"/>
        </w:rPr>
        <w:t>ý</w:t>
      </w:r>
      <w:r>
        <w:rPr>
          <w:shd w:val="clear" w:color="auto" w:fill="FFFFFF"/>
        </w:rPr>
        <w:t xml:space="preserve"> př</w:t>
      </w:r>
      <w:r w:rsidR="00241C6F">
        <w:rPr>
          <w:shd w:val="clear" w:color="auto" w:fill="FFFFFF"/>
        </w:rPr>
        <w:t>ehled</w:t>
      </w:r>
      <w:r>
        <w:rPr>
          <w:shd w:val="clear" w:color="auto" w:fill="FFFFFF"/>
        </w:rPr>
        <w:t>, kter</w:t>
      </w:r>
      <w:r w:rsidR="00241C6F">
        <w:rPr>
          <w:shd w:val="clear" w:color="auto" w:fill="FFFFFF"/>
        </w:rPr>
        <w:t>ý</w:t>
      </w:r>
      <w:r>
        <w:rPr>
          <w:shd w:val="clear" w:color="auto" w:fill="FFFFFF"/>
        </w:rPr>
        <w:t xml:space="preserve"> vystihuje klíčové </w:t>
      </w:r>
      <w:r w:rsidR="00241C6F">
        <w:rPr>
          <w:shd w:val="clear" w:color="auto" w:fill="FFFFFF"/>
        </w:rPr>
        <w:t xml:space="preserve">jevy </w:t>
      </w:r>
      <w:r>
        <w:rPr>
          <w:shd w:val="clear" w:color="auto" w:fill="FFFFFF"/>
        </w:rPr>
        <w:t xml:space="preserve">české ekonomiky </w:t>
      </w:r>
      <w:r w:rsidR="00241C6F">
        <w:rPr>
          <w:shd w:val="clear" w:color="auto" w:fill="FFFFFF"/>
        </w:rPr>
        <w:t>a poskytuje </w:t>
      </w:r>
      <w:r>
        <w:rPr>
          <w:shd w:val="clear" w:color="auto" w:fill="FFFFFF"/>
        </w:rPr>
        <w:t>mezinárodní</w:t>
      </w:r>
      <w:r w:rsidR="00241C6F">
        <w:rPr>
          <w:shd w:val="clear" w:color="auto" w:fill="FFFFFF"/>
        </w:rPr>
        <w:t xml:space="preserve"> srovnání</w:t>
      </w:r>
      <w:r>
        <w:rPr>
          <w:shd w:val="clear" w:color="auto" w:fill="FFFFFF"/>
        </w:rPr>
        <w:t>.</w:t>
      </w:r>
    </w:p>
    <w:p w14:paraId="2601A0AA" w14:textId="77777777" w:rsidR="000F1193" w:rsidRPr="00BB5751" w:rsidRDefault="000F1193" w:rsidP="008124B3">
      <w:r w:rsidRPr="00C56E3B">
        <w:br w:type="page"/>
      </w:r>
    </w:p>
    <w:p w14:paraId="6F855E40" w14:textId="7EB968CB" w:rsidR="00EA228F" w:rsidRPr="00B63641" w:rsidRDefault="005915FD" w:rsidP="00A0090B">
      <w:pPr>
        <w:pStyle w:val="HSNadpis3bezslovn"/>
      </w:pPr>
      <w:bookmarkStart w:id="10" w:name="_Toc167264010"/>
      <w:bookmarkStart w:id="11" w:name="_Hlk114650918"/>
      <w:bookmarkStart w:id="12" w:name="_Toc174703063"/>
      <w:r w:rsidRPr="00D67550">
        <w:rPr>
          <w:noProof/>
          <w:lang w:eastAsia="cs-CZ"/>
        </w:rPr>
        <w:lastRenderedPageBreak/>
        <mc:AlternateContent>
          <mc:Choice Requires="wps">
            <w:drawing>
              <wp:anchor distT="151130" distB="151130" distL="114300" distR="114300" simplePos="0" relativeHeight="251849728" behindDoc="0" locked="0" layoutInCell="1" allowOverlap="1" wp14:anchorId="606893C5" wp14:editId="3500ED66">
                <wp:simplePos x="0" y="0"/>
                <wp:positionH relativeFrom="margin">
                  <wp:align>left</wp:align>
                </wp:positionH>
                <wp:positionV relativeFrom="margin">
                  <wp:posOffset>457200</wp:posOffset>
                </wp:positionV>
                <wp:extent cx="6265545" cy="2790190"/>
                <wp:effectExtent l="0" t="0" r="1905" b="11430"/>
                <wp:wrapSquare wrapText="bothSides"/>
                <wp:docPr id="5"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65545" cy="2790190"/>
                        </a:xfrm>
                        <a:prstGeom prst="rect">
                          <a:avLst/>
                        </a:prstGeom>
                        <a:noFill/>
                        <a:ln w="9525">
                          <a:noFill/>
                          <a:miter lim="800000"/>
                          <a:headEnd/>
                          <a:tailEnd/>
                        </a:ln>
                      </wps:spPr>
                      <wps:txbx>
                        <w:txbxContent>
                          <w:p w14:paraId="5B1875D6" w14:textId="6D71F454" w:rsidR="00E66597" w:rsidRPr="005915FD" w:rsidRDefault="00E66597" w:rsidP="005915FD">
                            <w:pPr>
                              <w:pStyle w:val="HSgrafytexty"/>
                              <w:rPr>
                                <w:sz w:val="24"/>
                                <w:szCs w:val="20"/>
                              </w:rPr>
                            </w:pPr>
                            <w:r w:rsidRPr="005915FD">
                              <w:t>Milníky ekonomického vývoje České republiky</w:t>
                            </w:r>
                          </w:p>
                          <w:p w14:paraId="546D7C8A" w14:textId="582EA868" w:rsidR="00E66597" w:rsidRPr="003514B1" w:rsidRDefault="00257B33" w:rsidP="00E66597">
                            <w:pPr>
                              <w:pStyle w:val="Bezmezer"/>
                              <w:keepNext/>
                              <w:widowControl w:val="0"/>
                              <w:rPr>
                                <w:kern w:val="2"/>
                                <w:sz w:val="18"/>
                                <w:szCs w:val="16"/>
                              </w:rPr>
                            </w:pPr>
                            <w:r>
                              <w:rPr>
                                <w:noProof/>
                              </w:rPr>
                              <w:drawing>
                                <wp:inline distT="0" distB="0" distL="0" distR="0" wp14:anchorId="10FF8602" wp14:editId="0F220495">
                                  <wp:extent cx="6256655" cy="2615565"/>
                                  <wp:effectExtent l="0" t="0" r="10795" b="0"/>
                                  <wp:docPr id="2" name="Graf 2">
                                    <a:extLst xmlns:a="http://schemas.openxmlformats.org/drawingml/2006/main">
                                      <a:ext uri="{FF2B5EF4-FFF2-40B4-BE49-F238E27FC236}">
                                        <a16:creationId xmlns:a16="http://schemas.microsoft.com/office/drawing/2014/main" id="{3437EAEF-62AD-4CCB-8234-576E4DEFEF2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074FA642" w14:textId="1EACD635" w:rsidR="00E66597" w:rsidRDefault="00E66597" w:rsidP="00E66597">
                            <w:pPr>
                              <w:widowControl w:val="0"/>
                              <w:pBdr>
                                <w:top w:val="single" w:sz="4" w:space="1" w:color="auto"/>
                              </w:pBdr>
                              <w:spacing w:after="0"/>
                              <w:rPr>
                                <w:kern w:val="2"/>
                                <w:sz w:val="14"/>
                                <w:szCs w:val="16"/>
                              </w:rPr>
                            </w:pPr>
                            <w:r w:rsidRPr="007B5A7A">
                              <w:rPr>
                                <w:kern w:val="2"/>
                                <w:sz w:val="14"/>
                                <w:szCs w:val="16"/>
                              </w:rPr>
                              <w:t xml:space="preserve">Pramen: </w:t>
                            </w:r>
                            <w:r>
                              <w:rPr>
                                <w:kern w:val="2"/>
                                <w:sz w:val="14"/>
                                <w:szCs w:val="16"/>
                              </w:rPr>
                              <w:t>MPO</w:t>
                            </w:r>
                          </w:p>
                        </w:txbxContent>
                      </wps:txbx>
                      <wps:bodyPr rot="0" vert="horz" wrap="square" lIns="0" tIns="0" rIns="0" bIns="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606893C5" id="_x0000_t202" coordsize="21600,21600" o:spt="202" path="m,l,21600r21600,l21600,xe">
                <v:stroke joinstyle="miter"/>
                <v:path gradientshapeok="t" o:connecttype="rect"/>
              </v:shapetype>
              <v:shape id="Textové pole 2" o:spid="_x0000_s1026" type="#_x0000_t202" style="position:absolute;left:0;text-align:left;margin-left:0;margin-top:36pt;width:493.35pt;height:219.7pt;z-index:251849728;visibility:visible;mso-wrap-style:square;mso-width-percent:0;mso-height-percent:0;mso-wrap-distance-left:9pt;mso-wrap-distance-top:11.9pt;mso-wrap-distance-right:9pt;mso-wrap-distance-bottom:11.9pt;mso-position-horizontal:left;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" filled="f" stroked="f">
                <v:textbox style="mso-fit-shape-to-text:t" inset="0,0,0,0">
                  <w:txbxContent>
                    <w:p w14:paraId="5B1875D6" w14:textId="6D71F454" w:rsidR="00E66597" w:rsidRPr="005915FD" w:rsidRDefault="00E66597" w:rsidP="005915FD">
                      <w:pPr>
                        <w:pStyle w:val="HSgrafytexty"/>
                        <w:rPr>
                          <w:sz w:val="24"/>
                          <w:szCs w:val="20"/>
                        </w:rPr>
                      </w:pPr>
                      <w:r w:rsidRPr="005915FD">
                        <w:t>Milníky ekonomického vývoje České republiky</w:t>
                      </w:r>
                    </w:p>
                    <w:p w14:paraId="546D7C8A" w14:textId="582EA868" w:rsidR="00E66597" w:rsidRPr="003514B1" w:rsidRDefault="00257B33" w:rsidP="00E66597">
                      <w:pPr>
                        <w:pStyle w:val="Bezmezer"/>
                        <w:keepNext/>
                        <w:widowControl w:val="0"/>
                        <w:rPr>
                          <w:kern w:val="2"/>
                          <w:sz w:val="18"/>
                          <w:szCs w:val="16"/>
                        </w:rPr>
                      </w:pPr>
                      <w:r>
                        <w:rPr>
                          <w:noProof/>
                        </w:rPr>
                        <w:drawing>
                          <wp:inline distT="0" distB="0" distL="0" distR="0" wp14:anchorId="10FF8602" wp14:editId="0F220495">
                            <wp:extent cx="6256655" cy="2615565"/>
                            <wp:effectExtent l="0" t="0" r="10795" b="0"/>
                            <wp:docPr id="2" name="Graf 2">
                              <a:extLst xmlns:a="http://schemas.openxmlformats.org/drawingml/2006/main">
                                <a:ext uri="{FF2B5EF4-FFF2-40B4-BE49-F238E27FC236}">
                                  <a16:creationId xmlns:a16="http://schemas.microsoft.com/office/drawing/2014/main" id="{3437EAEF-62AD-4CCB-8234-576E4DEFEF2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074FA642" w14:textId="1EACD635" w:rsidR="00E66597" w:rsidRDefault="00E66597" w:rsidP="00E66597">
                      <w:pPr>
                        <w:widowControl w:val="0"/>
                        <w:pBdr>
                          <w:top w:val="single" w:sz="4" w:space="1" w:color="auto"/>
                        </w:pBdr>
                        <w:spacing w:after="0"/>
                        <w:rPr>
                          <w:kern w:val="2"/>
                          <w:sz w:val="14"/>
                          <w:szCs w:val="16"/>
                        </w:rPr>
                      </w:pPr>
                      <w:r w:rsidRPr="007B5A7A">
                        <w:rPr>
                          <w:kern w:val="2"/>
                          <w:sz w:val="14"/>
                          <w:szCs w:val="16"/>
                        </w:rPr>
                        <w:t xml:space="preserve">Pramen: </w:t>
                      </w:r>
                      <w:r>
                        <w:rPr>
                          <w:kern w:val="2"/>
                          <w:sz w:val="14"/>
                          <w:szCs w:val="16"/>
                        </w:rPr>
                        <w:t>MPO</w:t>
                      </w:r>
                    </w:p>
                  </w:txbxContent>
                </v:textbox>
                <w10:wrap type="square" anchorx="margin" anchory="margin"/>
              </v:shape>
            </w:pict>
          </mc:Fallback>
        </mc:AlternateContent>
      </w:r>
      <w:bookmarkEnd w:id="10"/>
      <w:bookmarkEnd w:id="11"/>
      <w:r w:rsidR="001D7EE4">
        <w:t>Vývoj a struktura hospodářství</w:t>
      </w:r>
      <w:bookmarkEnd w:id="12"/>
    </w:p>
    <w:p w14:paraId="46DDF563" w14:textId="6AD8BC1F" w:rsidR="008203F7" w:rsidRPr="00761CD6" w:rsidRDefault="008203F7" w:rsidP="008203F7">
      <w:pPr>
        <w:pStyle w:val="Text"/>
        <w:ind w:right="-1"/>
        <w:sectPr w:rsidR="008203F7" w:rsidRPr="00761CD6" w:rsidSect="006C544F">
          <w:footerReference w:type="default" r:id="rId11"/>
          <w:pgSz w:w="11906" w:h="16838"/>
          <w:pgMar w:top="1134" w:right="992" w:bottom="1134" w:left="992" w:header="709" w:footer="709" w:gutter="0"/>
          <w:pgNumType w:start="1"/>
          <w:cols w:space="284"/>
          <w:docGrid w:linePitch="360"/>
        </w:sectPr>
      </w:pPr>
    </w:p>
    <w:p w14:paraId="04B0CCCE" w14:textId="58ADE82D" w:rsidR="001D7EE4" w:rsidRDefault="001D7EE4" w:rsidP="00C56E3B">
      <w:pPr>
        <w:pStyle w:val="HSNadpis4bezslovn"/>
        <w:rPr>
          <w:noProof/>
          <w:lang w:eastAsia="cs-CZ"/>
        </w:rPr>
      </w:pPr>
      <w:bookmarkStart w:id="13" w:name="_Toc167264012"/>
      <w:bookmarkStart w:id="14" w:name="_Toc167264011"/>
      <w:r>
        <w:t>Základní charakteristika a s</w:t>
      </w:r>
      <w:r>
        <w:rPr>
          <w:noProof/>
          <w:lang w:eastAsia="cs-CZ"/>
        </w:rPr>
        <w:t>truktura</w:t>
      </w:r>
      <w:bookmarkEnd w:id="13"/>
    </w:p>
    <w:bookmarkEnd w:id="14"/>
    <w:p w14:paraId="43CBE88B" w14:textId="6CDD3E59" w:rsidR="007A2691" w:rsidRDefault="007A2691" w:rsidP="00381ECF">
      <w:r>
        <w:t>Světové ekonomické fórum řadí Českou republiku v rámci své aktuální Z</w:t>
      </w:r>
      <w:r w:rsidRPr="00777F7F">
        <w:t>práv</w:t>
      </w:r>
      <w:r>
        <w:t>y</w:t>
      </w:r>
      <w:r w:rsidRPr="00777F7F">
        <w:t xml:space="preserve"> o budoucnosti</w:t>
      </w:r>
      <w:r>
        <w:t xml:space="preserve"> </w:t>
      </w:r>
      <w:r w:rsidRPr="00777F7F">
        <w:t>růst</w:t>
      </w:r>
      <w:r w:rsidR="00F44F81">
        <w:t>u</w:t>
      </w:r>
      <w:r>
        <w:rPr>
          <w:rStyle w:val="Odkaznavysvtlivky"/>
        </w:rPr>
        <w:endnoteReference w:id="1"/>
      </w:r>
      <w:r>
        <w:t xml:space="preserve"> do kategorie zemí, která</w:t>
      </w:r>
      <w:r w:rsidRPr="00777F7F">
        <w:t xml:space="preserve"> je charakterizován</w:t>
      </w:r>
      <w:r>
        <w:t>a</w:t>
      </w:r>
      <w:r w:rsidRPr="00777F7F">
        <w:t xml:space="preserve"> silným výkonem v</w:t>
      </w:r>
      <w:r>
        <w:t> oblasti</w:t>
      </w:r>
      <w:r w:rsidRPr="00777F7F">
        <w:t xml:space="preserve"> </w:t>
      </w:r>
      <w:r>
        <w:t>i</w:t>
      </w:r>
      <w:r w:rsidRPr="00777F7F">
        <w:t xml:space="preserve">nkluze, </w:t>
      </w:r>
      <w:r>
        <w:t>i</w:t>
      </w:r>
      <w:r w:rsidRPr="00777F7F">
        <w:t xml:space="preserve">novativnosti a </w:t>
      </w:r>
      <w:r>
        <w:t>o</w:t>
      </w:r>
      <w:r w:rsidRPr="00777F7F">
        <w:t>dolnosti.</w:t>
      </w:r>
      <w:r w:rsidR="00046110">
        <w:t xml:space="preserve"> V</w:t>
      </w:r>
      <w:r w:rsidR="00046110" w:rsidRPr="00777F7F">
        <w:t>ýznamný podíl na</w:t>
      </w:r>
      <w:r w:rsidR="00046110">
        <w:t xml:space="preserve"> tom</w:t>
      </w:r>
      <w:r w:rsidR="00046110" w:rsidRPr="00777F7F">
        <w:t xml:space="preserve"> </w:t>
      </w:r>
      <w:r w:rsidR="00046110">
        <w:t xml:space="preserve">mají </w:t>
      </w:r>
      <w:r w:rsidR="00046110" w:rsidRPr="00777F7F">
        <w:t>technologi</w:t>
      </w:r>
      <w:r w:rsidR="00046110">
        <w:t>e</w:t>
      </w:r>
      <w:r w:rsidR="00046110" w:rsidRPr="00777F7F">
        <w:t xml:space="preserve"> a</w:t>
      </w:r>
      <w:r w:rsidR="00046110">
        <w:t xml:space="preserve"> rozvinuté </w:t>
      </w:r>
      <w:r w:rsidR="00046110" w:rsidRPr="00777F7F">
        <w:t>finanční ekosystém</w:t>
      </w:r>
      <w:r w:rsidR="00046110">
        <w:t>y</w:t>
      </w:r>
      <w:r w:rsidR="00046110" w:rsidRPr="00777F7F">
        <w:t xml:space="preserve">. </w:t>
      </w:r>
      <w:r w:rsidR="00046110">
        <w:t>Mají</w:t>
      </w:r>
      <w:r w:rsidR="00046110" w:rsidRPr="00777F7F">
        <w:t xml:space="preserve"> </w:t>
      </w:r>
      <w:r w:rsidR="00046110">
        <w:t xml:space="preserve">však </w:t>
      </w:r>
      <w:r w:rsidR="00046110" w:rsidRPr="00777F7F">
        <w:t>nižší skóre v</w:t>
      </w:r>
      <w:r w:rsidR="00046110">
        <w:t> </w:t>
      </w:r>
      <w:r w:rsidR="00046110" w:rsidRPr="00777F7F">
        <w:t>udržitelnosti, s neuspokojivými výsledky v oblasti emisí skleníkových plynů a obnovitelné energie.</w:t>
      </w:r>
      <w:r w:rsidRPr="00777F7F">
        <w:t xml:space="preserve"> </w:t>
      </w:r>
      <w:r>
        <w:t>Tato kategorie z</w:t>
      </w:r>
      <w:r w:rsidRPr="00777F7F">
        <w:t xml:space="preserve">ahrnuje </w:t>
      </w:r>
      <w:r>
        <w:t xml:space="preserve">státy, jakými jsou např. </w:t>
      </w:r>
      <w:r w:rsidRPr="00777F7F">
        <w:t>Austráli</w:t>
      </w:r>
      <w:r>
        <w:t>e</w:t>
      </w:r>
      <w:r w:rsidRPr="00777F7F">
        <w:t>, Belgi</w:t>
      </w:r>
      <w:r>
        <w:t>e</w:t>
      </w:r>
      <w:r w:rsidRPr="00777F7F">
        <w:t>, Kanad</w:t>
      </w:r>
      <w:r>
        <w:t>a</w:t>
      </w:r>
      <w:r w:rsidRPr="00777F7F">
        <w:t>, Estonsko, Island, Lucembursko, Nový Zéland, Singapur a Spojené státy</w:t>
      </w:r>
      <w:r w:rsidR="00046110">
        <w:t xml:space="preserve"> americké</w:t>
      </w:r>
      <w:r w:rsidRPr="00777F7F">
        <w:t xml:space="preserve">. </w:t>
      </w:r>
      <w:r w:rsidR="00046110">
        <w:t xml:space="preserve">Dále se </w:t>
      </w:r>
      <w:r w:rsidR="00010C2D">
        <w:t>Česká republika staví mezi</w:t>
      </w:r>
      <w:r w:rsidR="00F44F81">
        <w:t xml:space="preserve"> země</w:t>
      </w:r>
      <w:r w:rsidR="00010C2D">
        <w:t>, které se</w:t>
      </w:r>
      <w:r>
        <w:t xml:space="preserve"> </w:t>
      </w:r>
      <w:r w:rsidRPr="00777F7F">
        <w:t>vyznačují vysokou mírou sociální ochrany a přístupem k</w:t>
      </w:r>
      <w:r w:rsidR="00046110">
        <w:t> </w:t>
      </w:r>
      <w:r w:rsidRPr="00777F7F">
        <w:t xml:space="preserve">fyzickým zdrojům, ale </w:t>
      </w:r>
      <w:r w:rsidR="001B33F1">
        <w:t xml:space="preserve">s výzvou </w:t>
      </w:r>
      <w:r w:rsidR="00CD1821">
        <w:t>do budoucna v</w:t>
      </w:r>
      <w:r w:rsidR="00BB22D9">
        <w:t> </w:t>
      </w:r>
      <w:r w:rsidR="001B33F1">
        <w:t>otázkách majetkový</w:t>
      </w:r>
      <w:r w:rsidR="00CD1821">
        <w:t>ch</w:t>
      </w:r>
      <w:r w:rsidR="001B33F1">
        <w:t xml:space="preserve"> a </w:t>
      </w:r>
      <w:r w:rsidRPr="00777F7F">
        <w:t>příj</w:t>
      </w:r>
      <w:r w:rsidR="001B33F1">
        <w:t>mový</w:t>
      </w:r>
      <w:r w:rsidR="00CD1821">
        <w:t>ch</w:t>
      </w:r>
      <w:r w:rsidR="001B33F1">
        <w:t xml:space="preserve"> nerovnost</w:t>
      </w:r>
      <w:r w:rsidR="00CD1821">
        <w:t>í</w:t>
      </w:r>
      <w:r w:rsidR="001B33F1">
        <w:t>.</w:t>
      </w:r>
      <w:r w:rsidR="00BB22D9">
        <w:t xml:space="preserve"> </w:t>
      </w:r>
      <w:r w:rsidR="00BB22D9" w:rsidRPr="00BB22D9">
        <w:t>Potenciál země</w:t>
      </w:r>
      <w:r w:rsidR="00C620C3">
        <w:t>, podle tohoto hodnocení,</w:t>
      </w:r>
      <w:r w:rsidR="00BB22D9" w:rsidRPr="00BB22D9">
        <w:t xml:space="preserve"> spočívá v inovativnosti, poháněné opatřeními v rozvoji </w:t>
      </w:r>
      <w:r w:rsidR="00BB22D9">
        <w:t>lidsk</w:t>
      </w:r>
      <w:r w:rsidR="00BB22D9" w:rsidRPr="00BB22D9">
        <w:t>ých zdrojů, znalostí,</w:t>
      </w:r>
      <w:r w:rsidR="00C24D6E">
        <w:t xml:space="preserve"> </w:t>
      </w:r>
      <w:r w:rsidR="00C24D6E" w:rsidRPr="00BB22D9">
        <w:t>infrastruktury</w:t>
      </w:r>
      <w:r w:rsidR="00C24D6E">
        <w:t>,</w:t>
      </w:r>
      <w:r w:rsidR="00BB22D9" w:rsidRPr="00BB22D9">
        <w:t xml:space="preserve"> </w:t>
      </w:r>
      <w:r w:rsidR="00C620C3">
        <w:t xml:space="preserve">ekonomické </w:t>
      </w:r>
      <w:r w:rsidR="00B33AD3">
        <w:t>integrace</w:t>
      </w:r>
      <w:r w:rsidR="00BB22D9" w:rsidRPr="00BB22D9">
        <w:t xml:space="preserve">, technologií </w:t>
      </w:r>
      <w:r w:rsidR="00B33AD3">
        <w:t xml:space="preserve">a </w:t>
      </w:r>
      <w:r w:rsidR="00F105D4">
        <w:t>mobilizac</w:t>
      </w:r>
      <w:r w:rsidR="00C620C3">
        <w:t>i</w:t>
      </w:r>
      <w:r w:rsidR="00F105D4">
        <w:t xml:space="preserve"> kapitálu</w:t>
      </w:r>
      <w:r w:rsidR="00BB22D9" w:rsidRPr="00BB22D9">
        <w:t xml:space="preserve">. </w:t>
      </w:r>
    </w:p>
    <w:p w14:paraId="5240A3BF" w14:textId="21C4E5F2" w:rsidR="00E35EF8" w:rsidRDefault="00E35EF8" w:rsidP="00A0090B">
      <w:pPr>
        <w:rPr>
          <w:noProof/>
          <w:lang w:eastAsia="cs-CZ"/>
        </w:rPr>
      </w:pPr>
      <w:r>
        <w:t>Rozdíly v</w:t>
      </w:r>
      <w:r w:rsidR="00773791">
        <w:t> životní úrovni</w:t>
      </w:r>
      <w:r>
        <w:t xml:space="preserve"> zemí, vyjádřené hrubým domácím produktem na obyvatele, jsou odrazem především rozdílů v</w:t>
      </w:r>
      <w:r w:rsidR="00C56E3B">
        <w:t> </w:t>
      </w:r>
      <w:r>
        <w:t>produktivitě práce. Ty jsou výsledkem kvalitativních změn v lidských zdrojích, uplatnění výzkumu a vývoje, výrobkové i</w:t>
      </w:r>
      <w:r w:rsidR="00C56E3B">
        <w:t> </w:t>
      </w:r>
      <w:r>
        <w:t>technologické inovaci, zlepšení organizace práce a manažerských dovednostech. V roce 20</w:t>
      </w:r>
      <w:r w:rsidR="00731C26">
        <w:t>2</w:t>
      </w:r>
      <w:r w:rsidR="00846DCD">
        <w:t>3</w:t>
      </w:r>
      <w:r>
        <w:t xml:space="preserve"> dosáhla ekonomická úroveň České republiky 9</w:t>
      </w:r>
      <w:r w:rsidR="00846DCD">
        <w:t>1</w:t>
      </w:r>
      <w:r w:rsidR="00046110">
        <w:t> </w:t>
      </w:r>
      <w:r>
        <w:t>% průměru Evropské unie</w:t>
      </w:r>
      <w:r w:rsidR="00046110">
        <w:t xml:space="preserve"> (EU)</w:t>
      </w:r>
      <w:r>
        <w:t>.</w:t>
      </w:r>
    </w:p>
    <w:p w14:paraId="00A4EA5A" w14:textId="167099FB" w:rsidR="007A2691" w:rsidRDefault="00010C2D" w:rsidP="00A0090B">
      <w:r>
        <w:rPr>
          <w:noProof/>
          <w:lang w:eastAsia="cs-CZ"/>
        </w:rPr>
        <w:t>Česká ekonomika se vyznačuje určitou dualitou, kdy na jedné straně stojí mezinárodní firmy a jejich pobočky a</w:t>
      </w:r>
      <w:r w:rsidR="00C56E3B">
        <w:rPr>
          <w:noProof/>
          <w:lang w:eastAsia="cs-CZ"/>
        </w:rPr>
        <w:t> </w:t>
      </w:r>
      <w:r>
        <w:rPr>
          <w:noProof/>
          <w:lang w:eastAsia="cs-CZ"/>
        </w:rPr>
        <w:t>lokální subdodavatelské podniky</w:t>
      </w:r>
      <w:r w:rsidR="00046110">
        <w:rPr>
          <w:noProof/>
          <w:lang w:eastAsia="cs-CZ"/>
        </w:rPr>
        <w:t>.</w:t>
      </w:r>
      <w:r>
        <w:rPr>
          <w:noProof/>
          <w:lang w:eastAsia="cs-CZ"/>
        </w:rPr>
        <w:t xml:space="preserve"> </w:t>
      </w:r>
      <w:r w:rsidR="00046110">
        <w:rPr>
          <w:noProof/>
          <w:lang w:eastAsia="cs-CZ"/>
        </w:rPr>
        <w:t>A</w:t>
      </w:r>
      <w:r>
        <w:rPr>
          <w:noProof/>
          <w:lang w:eastAsia="cs-CZ"/>
        </w:rPr>
        <w:t xml:space="preserve"> na straně druhé do značné míry oddělený sektor endogenních firem. </w:t>
      </w:r>
      <w:r w:rsidR="007A2691" w:rsidRPr="00777F7F">
        <w:rPr>
          <w:noProof/>
          <w:lang w:eastAsia="cs-CZ"/>
        </w:rPr>
        <w:t>Přibližně jedna třetina zaměstnaných osob pracuje pro</w:t>
      </w:r>
      <w:r w:rsidR="007A2691">
        <w:rPr>
          <w:noProof/>
          <w:lang w:eastAsia="cs-CZ"/>
        </w:rPr>
        <w:t> </w:t>
      </w:r>
      <w:r w:rsidR="007A2691" w:rsidRPr="00777F7F">
        <w:rPr>
          <w:noProof/>
          <w:lang w:eastAsia="cs-CZ"/>
        </w:rPr>
        <w:t>zahraniční firmy, které do země přinášejí klíčové know-how a investice. Charakterizuje je obecně vyšší ziskovost oproti domácím podnikům. Zahraniční společnosti nabízí oproti českým firmám v</w:t>
      </w:r>
      <w:r w:rsidR="00046110">
        <w:rPr>
          <w:noProof/>
          <w:lang w:eastAsia="cs-CZ"/>
        </w:rPr>
        <w:t> </w:t>
      </w:r>
      <w:r w:rsidR="007A2691" w:rsidRPr="00777F7F">
        <w:rPr>
          <w:noProof/>
          <w:lang w:eastAsia="cs-CZ"/>
        </w:rPr>
        <w:t>průměru vyšší mzdy a tento rozdíl se v čase mírně zvětšuje. Vliv zahraničních firem na</w:t>
      </w:r>
      <w:r w:rsidR="007A2691">
        <w:rPr>
          <w:noProof/>
          <w:lang w:eastAsia="cs-CZ"/>
        </w:rPr>
        <w:t> </w:t>
      </w:r>
      <w:r w:rsidR="007A2691" w:rsidRPr="00777F7F">
        <w:rPr>
          <w:noProof/>
          <w:lang w:eastAsia="cs-CZ"/>
        </w:rPr>
        <w:t xml:space="preserve">ekonomiku je zásadní, neboť na sebe váží rozhodující podíl především kvalifikovaných zaměstnanců. </w:t>
      </w:r>
      <w:r w:rsidR="00773791">
        <w:t>Důsledkem zahraniční účasti a z ní plynoucí větší konkurence jsou ceny</w:t>
      </w:r>
      <w:r w:rsidR="00773791" w:rsidRPr="00773791">
        <w:t xml:space="preserve"> </w:t>
      </w:r>
      <w:r w:rsidR="00773791">
        <w:t>nižší, na druhou stranu mnohé firmy jsou v postavení subdodavatelů a nerozhodují o své strategii autonomně.</w:t>
      </w:r>
      <w:r w:rsidR="007A2691" w:rsidRPr="00777F7F">
        <w:rPr>
          <w:noProof/>
          <w:lang w:eastAsia="cs-CZ"/>
        </w:rPr>
        <w:t xml:space="preserve"> Naproti tomu jsou domácí firmy aktivnější v</w:t>
      </w:r>
      <w:r w:rsidR="007A2691">
        <w:rPr>
          <w:noProof/>
          <w:lang w:eastAsia="cs-CZ"/>
        </w:rPr>
        <w:t> </w:t>
      </w:r>
      <w:r w:rsidR="007A2691" w:rsidRPr="00777F7F">
        <w:rPr>
          <w:noProof/>
          <w:lang w:eastAsia="cs-CZ"/>
        </w:rPr>
        <w:t>investicích, díky kterým posilují svoje postavení na trhu a</w:t>
      </w:r>
      <w:r w:rsidR="00C56E3B">
        <w:rPr>
          <w:noProof/>
          <w:lang w:eastAsia="cs-CZ"/>
        </w:rPr>
        <w:t> </w:t>
      </w:r>
      <w:r w:rsidR="007A2691" w:rsidRPr="00777F7F">
        <w:rPr>
          <w:noProof/>
          <w:lang w:eastAsia="cs-CZ"/>
        </w:rPr>
        <w:t>postupně si vylepšují pozici pro vytváření vyšší přidané hodnoty a</w:t>
      </w:r>
      <w:r w:rsidR="00A0090B">
        <w:rPr>
          <w:noProof/>
          <w:lang w:eastAsia="cs-CZ"/>
        </w:rPr>
        <w:t> </w:t>
      </w:r>
      <w:r w:rsidR="007A2691" w:rsidRPr="00777F7F">
        <w:rPr>
          <w:noProof/>
          <w:lang w:eastAsia="cs-CZ"/>
        </w:rPr>
        <w:t>konkurenceschopnost.</w:t>
      </w:r>
    </w:p>
    <w:p w14:paraId="2D5F45E5" w14:textId="3E34F1D9" w:rsidR="007A2691" w:rsidRDefault="007A2691" w:rsidP="00A0090B">
      <w:r>
        <w:t xml:space="preserve">Struktura ekonomiky </w:t>
      </w:r>
      <w:r w:rsidR="0036185D">
        <w:t>a celkové postavení podniků v</w:t>
      </w:r>
      <w:r w:rsidR="00A0090B">
        <w:t> </w:t>
      </w:r>
      <w:r w:rsidR="0036185D">
        <w:t>globálních</w:t>
      </w:r>
      <w:r w:rsidRPr="00D67550">
        <w:t> hodnotových řetězcích nepřispívá</w:t>
      </w:r>
      <w:r w:rsidR="00EC7899">
        <w:t xml:space="preserve"> k</w:t>
      </w:r>
      <w:r w:rsidRPr="00D67550">
        <w:t xml:space="preserve"> vyšší ziskovosti firem. Přidaná hodnota je realizována především ve výrobní fázi, zatímco ziskovější předvýrobní (výzkum, vývoj) a </w:t>
      </w:r>
      <w:proofErr w:type="spellStart"/>
      <w:r w:rsidRPr="00D67550">
        <w:t>povýrobní</w:t>
      </w:r>
      <w:proofErr w:type="spellEnd"/>
      <w:r w:rsidRPr="00D67550">
        <w:t xml:space="preserve"> fáze (servis, prodej) </w:t>
      </w:r>
      <w:r w:rsidR="0036185D">
        <w:t>mají nižší význam</w:t>
      </w:r>
      <w:r w:rsidRPr="00D67550">
        <w:t>.</w:t>
      </w:r>
      <w:r w:rsidR="00FA0FB9">
        <w:t xml:space="preserve"> </w:t>
      </w:r>
      <w:r w:rsidR="00FE76C2">
        <w:t>P</w:t>
      </w:r>
      <w:r>
        <w:t xml:space="preserve">roduktivita práce v českém hospodářství vyjádřená jako </w:t>
      </w:r>
      <w:r w:rsidR="00FB47B4">
        <w:t xml:space="preserve">hrubá </w:t>
      </w:r>
      <w:r>
        <w:t>přidaná hodnota na jednu odpracovanou hodinu dosahovala v</w:t>
      </w:r>
      <w:r w:rsidR="00FB47B4">
        <w:t> </w:t>
      </w:r>
      <w:r>
        <w:t>roce 202</w:t>
      </w:r>
      <w:r w:rsidR="00FE76C2">
        <w:t>3</w:t>
      </w:r>
      <w:r>
        <w:t xml:space="preserve"> úrovně </w:t>
      </w:r>
      <w:r w:rsidR="00C572C9">
        <w:t>596</w:t>
      </w:r>
      <w:r>
        <w:t xml:space="preserve"> Kč, přičemž ve zpracovatelském průmyslu byla na úrovni </w:t>
      </w:r>
      <w:r w:rsidR="00C572C9">
        <w:t>613</w:t>
      </w:r>
      <w:r>
        <w:t xml:space="preserve"> Kč. Každý druh činností na úrovni jednotlivých subjektů vykazuje velkou variabilitu produktivity práce.</w:t>
      </w:r>
    </w:p>
    <w:p w14:paraId="6AEE9950" w14:textId="2B247D55" w:rsidR="00731C26" w:rsidRDefault="0036185D" w:rsidP="00A0090B">
      <w:r w:rsidRPr="0029189A">
        <w:t xml:space="preserve">Česká republika patří dlouhodobě k zemím EU s nejnižším </w:t>
      </w:r>
      <w:r w:rsidR="00773791">
        <w:t>poměrem</w:t>
      </w:r>
      <w:r w:rsidRPr="0029189A">
        <w:t xml:space="preserve"> hrubého národního důchodu </w:t>
      </w:r>
      <w:r w:rsidR="003C347F">
        <w:t>k</w:t>
      </w:r>
      <w:r w:rsidRPr="0029189A">
        <w:t xml:space="preserve"> hrubém</w:t>
      </w:r>
      <w:r w:rsidR="003C347F">
        <w:t>u</w:t>
      </w:r>
      <w:r w:rsidRPr="0029189A">
        <w:t xml:space="preserve"> domácím</w:t>
      </w:r>
      <w:r w:rsidR="003C347F">
        <w:t>u</w:t>
      </w:r>
      <w:r w:rsidRPr="0029189A">
        <w:t xml:space="preserve"> produktu, který se v čas</w:t>
      </w:r>
      <w:r>
        <w:t>e</w:t>
      </w:r>
      <w:r w:rsidRPr="0029189A">
        <w:t xml:space="preserve"> téměř nemění</w:t>
      </w:r>
      <w:r w:rsidR="00D70563">
        <w:t xml:space="preserve">, tzn. že </w:t>
      </w:r>
      <w:r w:rsidR="00046110">
        <w:t xml:space="preserve">má více zahraničního kapitálu, než je českého </w:t>
      </w:r>
      <w:r w:rsidR="00046110">
        <w:lastRenderedPageBreak/>
        <w:t xml:space="preserve">v zahraničí. </w:t>
      </w:r>
      <w:r w:rsidR="00C41B97" w:rsidRPr="00C41B97">
        <w:t xml:space="preserve">Hlavním důvodem výrazného odlivu </w:t>
      </w:r>
      <w:r w:rsidR="003C347F">
        <w:t>důchodů</w:t>
      </w:r>
      <w:r w:rsidR="00C41B97" w:rsidRPr="00C41B97">
        <w:t xml:space="preserve"> z Česka je každoroční převod stovek miliard korun do zahraničí formou dividend, který není vyvážen dostatečnými zahraničními investicemi v zemi.</w:t>
      </w:r>
    </w:p>
    <w:p w14:paraId="4DE1245F" w14:textId="72BFD9CC" w:rsidR="0036185D" w:rsidRDefault="0036185D" w:rsidP="00A0090B">
      <w:r>
        <w:t xml:space="preserve">Společně s vysokou otevřeností je česká ekonomika charakteristická také vyšší </w:t>
      </w:r>
      <w:r w:rsidRPr="00A55679">
        <w:t>materiálovou, emisní i energetickou náročností.</w:t>
      </w:r>
      <w:r>
        <w:t xml:space="preserve"> V tomto kontextu představují </w:t>
      </w:r>
      <w:r w:rsidR="00671DDE">
        <w:t>enviro</w:t>
      </w:r>
      <w:r w:rsidR="00966BFC">
        <w:t>n</w:t>
      </w:r>
      <w:r w:rsidR="00671DDE">
        <w:t xml:space="preserve">mentální a ekonomické </w:t>
      </w:r>
      <w:r>
        <w:t xml:space="preserve">iniciativy ve světě (např. americký </w:t>
      </w:r>
      <w:proofErr w:type="spellStart"/>
      <w:r>
        <w:t>Inflation</w:t>
      </w:r>
      <w:proofErr w:type="spellEnd"/>
      <w:r>
        <w:t xml:space="preserve"> </w:t>
      </w:r>
      <w:proofErr w:type="spellStart"/>
      <w:r>
        <w:t>Reduction</w:t>
      </w:r>
      <w:proofErr w:type="spellEnd"/>
      <w:r>
        <w:t xml:space="preserve"> </w:t>
      </w:r>
      <w:proofErr w:type="spellStart"/>
      <w:r>
        <w:t>Act</w:t>
      </w:r>
      <w:proofErr w:type="spellEnd"/>
      <w:r>
        <w:rPr>
          <w:rStyle w:val="Odkaznavysvtlivky"/>
        </w:rPr>
        <w:endnoteReference w:id="2"/>
      </w:r>
      <w:r>
        <w:t xml:space="preserve"> nebo čínský cíl dosáhnout uhlíkové neutrality do roku 2060</w:t>
      </w:r>
      <w:r>
        <w:rPr>
          <w:rStyle w:val="Odkaznavysvtlivky"/>
        </w:rPr>
        <w:endnoteReference w:id="3"/>
      </w:r>
      <w:r>
        <w:t xml:space="preserve">) i v Evropě (např. </w:t>
      </w:r>
      <w:r w:rsidRPr="002A1C80">
        <w:t>Zelená dohoda pro Evropu</w:t>
      </w:r>
      <w:r>
        <w:rPr>
          <w:rStyle w:val="Odkaznavysvtlivky"/>
        </w:rPr>
        <w:endnoteReference w:id="4"/>
      </w:r>
      <w:r>
        <w:t xml:space="preserve">, </w:t>
      </w:r>
      <w:r w:rsidR="00046110">
        <w:t>b</w:t>
      </w:r>
      <w:r w:rsidRPr="002A1C80">
        <w:t xml:space="preserve">alíček „Fit </w:t>
      </w:r>
      <w:proofErr w:type="spellStart"/>
      <w:r w:rsidRPr="002A1C80">
        <w:t>for</w:t>
      </w:r>
      <w:proofErr w:type="spellEnd"/>
      <w:r w:rsidR="00761CD6">
        <w:t> </w:t>
      </w:r>
      <w:r w:rsidRPr="002A1C80">
        <w:t>55“</w:t>
      </w:r>
      <w:r>
        <w:rPr>
          <w:rStyle w:val="Odkaznavysvtlivky"/>
        </w:rPr>
        <w:endnoteReference w:id="5"/>
      </w:r>
      <w:r>
        <w:t xml:space="preserve"> nebo </w:t>
      </w:r>
      <w:r w:rsidR="00046110">
        <w:t>p</w:t>
      </w:r>
      <w:r w:rsidRPr="002A1C80">
        <w:t xml:space="preserve">růmyslový plán </w:t>
      </w:r>
      <w:proofErr w:type="gramStart"/>
      <w:r w:rsidRPr="002A1C80">
        <w:t>Zelené</w:t>
      </w:r>
      <w:proofErr w:type="gramEnd"/>
      <w:r w:rsidRPr="002A1C80">
        <w:t xml:space="preserve"> dohody</w:t>
      </w:r>
      <w:r>
        <w:rPr>
          <w:rStyle w:val="Odkaznavysvtlivky"/>
        </w:rPr>
        <w:endnoteReference w:id="6"/>
      </w:r>
      <w:r>
        <w:t>) pro Českou republiku výrazné riziko</w:t>
      </w:r>
      <w:r w:rsidR="004677D2">
        <w:t xml:space="preserve"> v případě nečinnosti</w:t>
      </w:r>
      <w:r>
        <w:t>, ale také příležitosti v podobě inovací a investic, při transformaci sektoru energetiky i celé ekonomiky na jiné než fosilní zdroje energie.</w:t>
      </w:r>
    </w:p>
    <w:p w14:paraId="079AA2DE" w14:textId="4513619E" w:rsidR="007A2691" w:rsidRDefault="007A2691" w:rsidP="00A0090B">
      <w:r>
        <w:t>Zpracovatelský průmysl České republiky zaměstnává 26</w:t>
      </w:r>
      <w:r w:rsidR="009838D3">
        <w:t> </w:t>
      </w:r>
      <w:r>
        <w:t xml:space="preserve">% pracovní síly. Pro srovnání, v rámci celé EU je zaměstnáno ve zpracovatelském průmyslu </w:t>
      </w:r>
      <w:r w:rsidR="00046110">
        <w:t>pouze</w:t>
      </w:r>
      <w:r>
        <w:t xml:space="preserve"> 14</w:t>
      </w:r>
      <w:r w:rsidR="009838D3">
        <w:t> </w:t>
      </w:r>
      <w:r>
        <w:t>%. Příspěvek přidané hodnoty zpracovatelského</w:t>
      </w:r>
      <w:r w:rsidR="00F44F81">
        <w:t xml:space="preserve"> průmyslu</w:t>
      </w:r>
      <w:r>
        <w:t xml:space="preserve"> v České republice v rámci ekonomiky představuje 23</w:t>
      </w:r>
      <w:r w:rsidR="009838D3">
        <w:t> </w:t>
      </w:r>
      <w:r>
        <w:t>%, zatímco v rámci EU zpracovatelský průmysl přispívá 17</w:t>
      </w:r>
      <w:r w:rsidR="009838D3">
        <w:t> </w:t>
      </w:r>
      <w:r>
        <w:t>%.</w:t>
      </w:r>
      <w:r w:rsidR="002A14C2">
        <w:t xml:space="preserve"> </w:t>
      </w:r>
      <w:r>
        <w:t>Specifikem českého průmyslu je vysoká koncentrace v odvětvích automobilového průmyslu a</w:t>
      </w:r>
      <w:r w:rsidR="002A14C2">
        <w:t> </w:t>
      </w:r>
      <w:r>
        <w:t>strojírenství, která je na úrovni 37</w:t>
      </w:r>
      <w:r w:rsidR="009838D3">
        <w:t> </w:t>
      </w:r>
      <w:r>
        <w:t>% přidané hodnoty v</w:t>
      </w:r>
      <w:r w:rsidR="002A14C2">
        <w:t> </w:t>
      </w:r>
      <w:r>
        <w:t>rámci zpracovatelského průmyslu.</w:t>
      </w:r>
    </w:p>
    <w:p w14:paraId="249DD246" w14:textId="027AE472" w:rsidR="002A14C2" w:rsidRDefault="002A14C2" w:rsidP="00C56E3B">
      <w:pPr>
        <w:pStyle w:val="HSNadpis4bezslovn"/>
      </w:pPr>
      <w:bookmarkStart w:id="15" w:name="_Toc167264013"/>
      <w:r>
        <w:t>Zaměstnanost</w:t>
      </w:r>
      <w:bookmarkEnd w:id="15"/>
      <w:r w:rsidR="00C41B97">
        <w:t xml:space="preserve"> a trh práce</w:t>
      </w:r>
    </w:p>
    <w:p w14:paraId="6E8313A5" w14:textId="1394C3A4" w:rsidR="00761CD6" w:rsidRDefault="007A2691" w:rsidP="00A0090B">
      <w:r>
        <w:t xml:space="preserve">Česká republika vykazuje </w:t>
      </w:r>
      <w:r w:rsidR="00C41B97">
        <w:t xml:space="preserve">dlouhodobě </w:t>
      </w:r>
      <w:r>
        <w:t>jednu z nejnižších měr nezaměstnanosti v rámci zemí EU. Nízká nezaměstnanost však nemá jen pozitivní stránky, z</w:t>
      </w:r>
      <w:r w:rsidR="00C86025">
        <w:t> </w:t>
      </w:r>
      <w:r>
        <w:t>dlouhodobého hlediska skrývá řadu rizik, která mohou být pro konkurenceschopnost Česka nepříznivá. Domácímu pracovnímu trhu chybí zejména pružnost a</w:t>
      </w:r>
      <w:r w:rsidR="00C86025">
        <w:t> </w:t>
      </w:r>
      <w:r>
        <w:t>flexibilita</w:t>
      </w:r>
      <w:r w:rsidRPr="006B31A0">
        <w:rPr>
          <w:rStyle w:val="Odkaznavysvtlivky"/>
        </w:rPr>
        <w:endnoteReference w:id="7"/>
      </w:r>
      <w:r>
        <w:t xml:space="preserve">. </w:t>
      </w:r>
      <w:r w:rsidR="00C41B97">
        <w:t>Poptávka podniků po pracovní síle v tuzemsku zůstává velmi silná</w:t>
      </w:r>
      <w:r w:rsidR="00761CD6">
        <w:t>, avšak s</w:t>
      </w:r>
      <w:r w:rsidR="00C41B97">
        <w:t xml:space="preserve"> ohledem na strukturu hospodářství stále chybí technicky zdatní zaměstnanci</w:t>
      </w:r>
      <w:r w:rsidR="00761CD6">
        <w:t>.</w:t>
      </w:r>
    </w:p>
    <w:p w14:paraId="5266CCF4" w14:textId="604462A5" w:rsidR="007A2691" w:rsidRDefault="00761CD6" w:rsidP="00A0090B">
      <w:r>
        <w:t>Přestože existuje tlak na růst mezd,</w:t>
      </w:r>
      <w:r w:rsidRPr="00761CD6">
        <w:t xml:space="preserve"> </w:t>
      </w:r>
      <w:r>
        <w:t>které se za posledních 14 let téměř zdvojnásobily,</w:t>
      </w:r>
      <w:r w:rsidR="007A2691">
        <w:t xml:space="preserve"> měla v roce 2022 </w:t>
      </w:r>
      <w:r>
        <w:t xml:space="preserve">Česká republika </w:t>
      </w:r>
      <w:r w:rsidR="007A2691">
        <w:t>desáté nejnižší mzdy v</w:t>
      </w:r>
      <w:r w:rsidR="00D7445B">
        <w:t> </w:t>
      </w:r>
      <w:r w:rsidR="007A2691">
        <w:t>rámci zemí EU.</w:t>
      </w:r>
      <w:r>
        <w:t xml:space="preserve"> Tuzemské podniky tak konkurenceschopnost na trzích udržují stále na bázi cenové, která do značné míry vychází z efektu relativně levné pracovní síly.</w:t>
      </w:r>
    </w:p>
    <w:p w14:paraId="7AD4920D" w14:textId="5A4714E1" w:rsidR="00270A34" w:rsidRDefault="00270A34" w:rsidP="00A0090B">
      <w:r>
        <w:t xml:space="preserve">Jakkoliv má Česká republika </w:t>
      </w:r>
      <w:r w:rsidR="00820379">
        <w:t xml:space="preserve">dostupný </w:t>
      </w:r>
      <w:r>
        <w:t xml:space="preserve">vzdělávací systém, s ohledem na strukturu hospodářství stále chybí v tuzemsku </w:t>
      </w:r>
      <w:r w:rsidR="00F44F81">
        <w:rPr>
          <w:rFonts w:ascii="Calibri" w:hAnsi="Calibri" w:cs="Calibri"/>
        </w:rPr>
        <w:t>absolventi STEM oborů</w:t>
      </w:r>
      <w:r w:rsidR="003C347F">
        <w:rPr>
          <w:rFonts w:ascii="Calibri" w:hAnsi="Calibri" w:cs="Calibri"/>
        </w:rPr>
        <w:t xml:space="preserve"> (v</w:t>
      </w:r>
      <w:r w:rsidR="003C347F" w:rsidRPr="003C347F">
        <w:rPr>
          <w:rFonts w:ascii="Calibri" w:hAnsi="Calibri" w:cs="Calibri"/>
        </w:rPr>
        <w:t>ěda, technologie, inženýrství a matematika</w:t>
      </w:r>
      <w:r w:rsidR="003C347F">
        <w:rPr>
          <w:rFonts w:ascii="Calibri" w:hAnsi="Calibri" w:cs="Calibri"/>
        </w:rPr>
        <w:t>)</w:t>
      </w:r>
      <w:r>
        <w:t xml:space="preserve">. </w:t>
      </w:r>
      <w:r w:rsidR="003C347F" w:rsidRPr="008543B0">
        <w:t xml:space="preserve">V České republice podle nejnovějších údajů OECD tvořili v roce 2021 absolventi </w:t>
      </w:r>
      <w:r w:rsidR="003C347F">
        <w:t>vysokých škol</w:t>
      </w:r>
      <w:r w:rsidR="003C347F" w:rsidRPr="008543B0">
        <w:t xml:space="preserve"> v oblasti přírodních věd, strojírenství a informačních a komunikačních technologií přibližně 27 % všech absolventů.</w:t>
      </w:r>
      <w:r w:rsidRPr="00270A34">
        <w:t xml:space="preserve"> Tento podíl je srovnatelný s</w:t>
      </w:r>
      <w:r w:rsidR="003C347F">
        <w:t> </w:t>
      </w:r>
      <w:r w:rsidRPr="00270A34">
        <w:t>průměrem EU, kde se pohybuje kolem 25-30</w:t>
      </w:r>
      <w:r w:rsidR="00C86025">
        <w:t> </w:t>
      </w:r>
      <w:r w:rsidRPr="00270A34">
        <w:t>%</w:t>
      </w:r>
      <w:r>
        <w:t xml:space="preserve">. </w:t>
      </w:r>
      <w:r w:rsidRPr="00270A34">
        <w:t>V</w:t>
      </w:r>
      <w:r w:rsidR="003C347F">
        <w:t> </w:t>
      </w:r>
      <w:r w:rsidRPr="00270A34">
        <w:t>Německu, které vede mezi sledovanými zeměmi, představují absolventi těchto oborů více než třetinu všech absolventů vysokých škol, což lépe odpovídá potřebám trhu práce v kontextu průmyslově vyspělé ekonomiky</w:t>
      </w:r>
      <w:r>
        <w:t xml:space="preserve">. </w:t>
      </w:r>
      <w:r w:rsidRPr="00270A34">
        <w:t xml:space="preserve">Vzhledem k očekávaným dynamickým změnám v ekonomice </w:t>
      </w:r>
      <w:r>
        <w:t>zůstává výzvou pro tuzemský</w:t>
      </w:r>
      <w:r w:rsidRPr="00270A34">
        <w:t xml:space="preserve"> vzděláv</w:t>
      </w:r>
      <w:r>
        <w:t xml:space="preserve">ací systém posilování </w:t>
      </w:r>
      <w:proofErr w:type="spellStart"/>
      <w:r w:rsidRPr="00270A34">
        <w:t>transdisciplinarit</w:t>
      </w:r>
      <w:r>
        <w:t>y</w:t>
      </w:r>
      <w:proofErr w:type="spellEnd"/>
      <w:r w:rsidRPr="00270A34">
        <w:t xml:space="preserve"> a přenositeln</w:t>
      </w:r>
      <w:r>
        <w:t>ých</w:t>
      </w:r>
      <w:r w:rsidRPr="00270A34">
        <w:t xml:space="preserve"> dovednost</w:t>
      </w:r>
      <w:r>
        <w:t>í pro budoucí uplatnění na trhu práce.</w:t>
      </w:r>
    </w:p>
    <w:p w14:paraId="5935929B" w14:textId="6E312167" w:rsidR="002A14C2" w:rsidRDefault="00761CD6" w:rsidP="00C56E3B">
      <w:pPr>
        <w:pStyle w:val="HSNadpis4bezslovn"/>
      </w:pPr>
      <w:r>
        <w:t>Regionální konvergence</w:t>
      </w:r>
    </w:p>
    <w:p w14:paraId="4F76AE5D" w14:textId="594CB7FD" w:rsidR="007A2691" w:rsidRPr="002A14C2" w:rsidRDefault="007A2691" w:rsidP="00A0090B">
      <w:r w:rsidRPr="002A14C2">
        <w:t>Jedním z klíčových aspektů ekonomického rozvoje je jeho regionální dimenze. Regionální nerovnosti v</w:t>
      </w:r>
      <w:r w:rsidR="00F91900">
        <w:t> </w:t>
      </w:r>
      <w:r w:rsidR="00B10552" w:rsidRPr="00B10552">
        <w:t>České republice</w:t>
      </w:r>
      <w:r w:rsidRPr="002A14C2">
        <w:t xml:space="preserve"> přetrvávají, ačkoliv je snaha o snižování rozdílů mezi regiony. Jedná se o</w:t>
      </w:r>
      <w:r w:rsidR="00B44971">
        <w:t> </w:t>
      </w:r>
      <w:r w:rsidRPr="002A14C2">
        <w:t>nerovnosti v</w:t>
      </w:r>
      <w:r w:rsidR="00F91900">
        <w:t> </w:t>
      </w:r>
      <w:r w:rsidRPr="002A14C2">
        <w:t>ekonomických či sociálních indikátorech mezi kraji nebo menšími celky.</w:t>
      </w:r>
      <w:r w:rsidR="00492E10">
        <w:t xml:space="preserve"> </w:t>
      </w:r>
      <w:r w:rsidRPr="002A14C2">
        <w:t>Zhruba čtvrtina obyvatel České republiky žije v obcích, které v různých socioekonomických ohledech zaostávají za zbytkem země. Potýkají se např.</w:t>
      </w:r>
      <w:r w:rsidR="00A0090B">
        <w:t> </w:t>
      </w:r>
      <w:r w:rsidRPr="002A14C2">
        <w:t>s</w:t>
      </w:r>
      <w:r w:rsidR="00A0090B">
        <w:t> </w:t>
      </w:r>
      <w:r w:rsidRPr="002A14C2">
        <w:t>nedostatečnou veřejnou infrastrukturou, nedostupností sociálních služeb a zdravotní péče, nevyhovujícím bydlením apod. Na vyrovnávání rozdílů mezi regiony jsou určeny finanční prostředky z evropských zdrojů i státního rozpočtu</w:t>
      </w:r>
      <w:r w:rsidR="002A14C2" w:rsidRPr="002A14C2">
        <w:t>.</w:t>
      </w:r>
    </w:p>
    <w:p w14:paraId="409FC2B7" w14:textId="5976564D" w:rsidR="007A2691" w:rsidRPr="002A14C2" w:rsidRDefault="007A2691" w:rsidP="00A0090B">
      <w:r w:rsidRPr="002A14C2">
        <w:t>Částečnou konvergenci napříč regiony lze pozorovat např.</w:t>
      </w:r>
      <w:r w:rsidR="00B44971">
        <w:t> </w:t>
      </w:r>
      <w:r w:rsidRPr="002A14C2">
        <w:t xml:space="preserve">v oblasti mezd, kde se hrubé měsíční mzdy nejchudšího regionu České republiky, </w:t>
      </w:r>
      <w:r w:rsidR="00B44971">
        <w:t xml:space="preserve">tj. </w:t>
      </w:r>
      <w:r w:rsidRPr="002A14C2">
        <w:t xml:space="preserve">Karlovarského kraje, přiblížily na 90,0 % mediánu </w:t>
      </w:r>
      <w:r w:rsidR="00B44971">
        <w:t>a n</w:t>
      </w:r>
      <w:r w:rsidR="00B44971" w:rsidRPr="002A14C2">
        <w:t>aopak Praha, nejbohatší region</w:t>
      </w:r>
      <w:r w:rsidR="00B44971">
        <w:t xml:space="preserve"> je</w:t>
      </w:r>
      <w:r w:rsidR="00B44971" w:rsidRPr="002A14C2">
        <w:t xml:space="preserve"> na 117,5</w:t>
      </w:r>
      <w:r w:rsidR="00B44971">
        <w:t> </w:t>
      </w:r>
      <w:r w:rsidR="00B44971" w:rsidRPr="002A14C2">
        <w:t>%</w:t>
      </w:r>
      <w:r w:rsidR="00B44971">
        <w:t xml:space="preserve"> </w:t>
      </w:r>
      <w:r w:rsidRPr="002A14C2">
        <w:t xml:space="preserve">celé České republiky. </w:t>
      </w:r>
      <w:r w:rsidR="00B44971">
        <w:t>Mír</w:t>
      </w:r>
      <w:r w:rsidRPr="002A14C2">
        <w:t xml:space="preserve">ná divergence mezi kraji naopak nastala u podílu dlouhodobě nezaměstnaných, kde došlo u některých regionů, např. </w:t>
      </w:r>
      <w:r w:rsidR="008B2437">
        <w:t xml:space="preserve">Kraj </w:t>
      </w:r>
      <w:r w:rsidR="005F2D90">
        <w:t xml:space="preserve">Vysočina, </w:t>
      </w:r>
      <w:r w:rsidR="00A608D6">
        <w:rPr>
          <w:rFonts w:ascii="Calibri" w:hAnsi="Calibri" w:cs="Calibri"/>
        </w:rPr>
        <w:t>Zlínský</w:t>
      </w:r>
      <w:r w:rsidR="00F44F81">
        <w:rPr>
          <w:rFonts w:ascii="Calibri" w:hAnsi="Calibri" w:cs="Calibri"/>
        </w:rPr>
        <w:t xml:space="preserve">, </w:t>
      </w:r>
      <w:r w:rsidR="00A608D6">
        <w:rPr>
          <w:rFonts w:ascii="Calibri" w:hAnsi="Calibri" w:cs="Calibri"/>
        </w:rPr>
        <w:t xml:space="preserve">Pardubický </w:t>
      </w:r>
      <w:r w:rsidR="00F44F81">
        <w:rPr>
          <w:rFonts w:ascii="Calibri" w:hAnsi="Calibri" w:cs="Calibri"/>
        </w:rPr>
        <w:t xml:space="preserve">nebo </w:t>
      </w:r>
      <w:r w:rsidR="00A608D6">
        <w:rPr>
          <w:rFonts w:ascii="Calibri" w:hAnsi="Calibri" w:cs="Calibri"/>
        </w:rPr>
        <w:t xml:space="preserve">Olomoucký </w:t>
      </w:r>
      <w:r w:rsidR="00F44F81">
        <w:rPr>
          <w:rFonts w:ascii="Calibri" w:hAnsi="Calibri" w:cs="Calibri"/>
        </w:rPr>
        <w:t>kraj</w:t>
      </w:r>
      <w:r w:rsidR="00A608D6">
        <w:rPr>
          <w:rFonts w:ascii="Calibri" w:hAnsi="Calibri" w:cs="Calibri"/>
        </w:rPr>
        <w:t>,</w:t>
      </w:r>
      <w:r w:rsidRPr="002A14C2">
        <w:t xml:space="preserve"> mezi lety 2011 a 202</w:t>
      </w:r>
      <w:r w:rsidR="005F2D90">
        <w:t>3</w:t>
      </w:r>
      <w:r w:rsidRPr="002A14C2">
        <w:t xml:space="preserve"> ke značnému poklesu. Naopak u regionů, u kterých patří dlouhodobá nezaměstnanost mezi historicky nejvyšší v České republice, jako Moravskoslezský a Jihomoravský kraj, tento podíl klesl pouze omezeně.</w:t>
      </w:r>
    </w:p>
    <w:p w14:paraId="5E15FA7F" w14:textId="61489E6F" w:rsidR="007A2691" w:rsidRDefault="007A2691" w:rsidP="00A0090B">
      <w:r w:rsidRPr="002A14C2">
        <w:t>K mezinárodnímu srovnání konvergence České republiky v celounijním kontextu lze</w:t>
      </w:r>
      <w:r w:rsidR="006F06DC">
        <w:t xml:space="preserve"> kromě hrubého domácího produktu na obyvatele</w:t>
      </w:r>
      <w:r w:rsidRPr="002A14C2">
        <w:t xml:space="preserve"> využít </w:t>
      </w:r>
      <w:r w:rsidR="006F06DC">
        <w:t>také</w:t>
      </w:r>
      <w:r w:rsidRPr="002A14C2">
        <w:t xml:space="preserve"> ukazatel hrubého národního důchodu na obyvatele ve standardu kupní síly. Česká republika </w:t>
      </w:r>
      <w:r w:rsidR="00046110">
        <w:t xml:space="preserve">se </w:t>
      </w:r>
      <w:r w:rsidRPr="002A14C2">
        <w:t>nacházela v</w:t>
      </w:r>
      <w:r w:rsidR="00A0090B">
        <w:t> </w:t>
      </w:r>
      <w:r w:rsidRPr="002A14C2">
        <w:t>roce 2022 na 86</w:t>
      </w:r>
      <w:r w:rsidR="00B44971">
        <w:t> </w:t>
      </w:r>
      <w:r w:rsidRPr="002A14C2">
        <w:t>% průměru zemí Evropské unie a</w:t>
      </w:r>
      <w:r w:rsidR="00F91900">
        <w:t> </w:t>
      </w:r>
      <w:r w:rsidRPr="002A14C2">
        <w:t>v</w:t>
      </w:r>
      <w:r w:rsidR="00F91900">
        <w:t> </w:t>
      </w:r>
      <w:r w:rsidRPr="002A14C2">
        <w:t>porovnání s roky 2019-2021 si mírně pohoršila a</w:t>
      </w:r>
      <w:r w:rsidR="00F91900">
        <w:t> </w:t>
      </w:r>
      <w:r w:rsidRPr="002A14C2">
        <w:t>k reálné konvergenci tedy nedocházelo.</w:t>
      </w:r>
      <w:r w:rsidR="009838D3">
        <w:t xml:space="preserve"> </w:t>
      </w:r>
      <w:r w:rsidR="006F06DC">
        <w:t>V</w:t>
      </w:r>
      <w:r w:rsidRPr="002A14C2">
        <w:t>ýznamné regionální rozdíly</w:t>
      </w:r>
      <w:r w:rsidR="006F06DC">
        <w:t xml:space="preserve"> se objevují ve většině zemí EU</w:t>
      </w:r>
      <w:r w:rsidR="00F6056B">
        <w:t>, které průměrné hodnoty za jednotlivé země nezachycují.</w:t>
      </w:r>
    </w:p>
    <w:p w14:paraId="1FE31CFE" w14:textId="54AE8BA9" w:rsidR="00D7445B" w:rsidRPr="002A14C2" w:rsidRDefault="00D7445B" w:rsidP="00C56E3B">
      <w:pPr>
        <w:pStyle w:val="HSNadpis4bezslovn"/>
      </w:pPr>
      <w:bookmarkStart w:id="16" w:name="_Toc167264016"/>
      <w:r>
        <w:t>Socioekonomický pohled</w:t>
      </w:r>
      <w:bookmarkEnd w:id="16"/>
    </w:p>
    <w:p w14:paraId="546CDC89" w14:textId="34B96A55" w:rsidR="007A2691" w:rsidRPr="002A14C2" w:rsidRDefault="007A2691" w:rsidP="00A0090B">
      <w:r w:rsidRPr="002A14C2">
        <w:t>Česká republika se v socioekonomické rovině obecně považuje za rozvinutou zemi s relativně vysokým HDP na obyvatele, nízkou mírou nezaměstnanosti a</w:t>
      </w:r>
      <w:r w:rsidR="00FF4301">
        <w:t> </w:t>
      </w:r>
      <w:r w:rsidRPr="002A14C2">
        <w:t>středními až vysokými hodnotami v Indexu lidského rozvoje (HDI)</w:t>
      </w:r>
      <w:r w:rsidRPr="002A14C2">
        <w:rPr>
          <w:rStyle w:val="Odkaznavysvtlivky"/>
        </w:rPr>
        <w:endnoteReference w:id="8"/>
      </w:r>
      <w:r w:rsidR="00046110">
        <w:t>, který</w:t>
      </w:r>
      <w:r w:rsidRPr="002A14C2">
        <w:t xml:space="preserve"> </w:t>
      </w:r>
      <w:r w:rsidR="008868F5">
        <w:t xml:space="preserve">je </w:t>
      </w:r>
      <w:r w:rsidRPr="002A14C2">
        <w:t xml:space="preserve">souhrnným ukazatelem pro </w:t>
      </w:r>
      <w:r w:rsidRPr="002A14C2">
        <w:lastRenderedPageBreak/>
        <w:t xml:space="preserve">vyhodnocení </w:t>
      </w:r>
      <w:r w:rsidR="001D7EE4">
        <w:t>kvality života</w:t>
      </w:r>
      <w:r w:rsidRPr="002A14C2">
        <w:t xml:space="preserve"> v třech základních dimenzích lidského rozvoje: dlouhý a zdravý život, přístup k</w:t>
      </w:r>
      <w:r w:rsidR="00F6056B">
        <w:t>e </w:t>
      </w:r>
      <w:r w:rsidRPr="002A14C2">
        <w:t xml:space="preserve">vzdělání a slušný životní standard. </w:t>
      </w:r>
      <w:r w:rsidR="00046110">
        <w:t>Česká republika v roce 2022 dosáhla hodnoty</w:t>
      </w:r>
      <w:r w:rsidRPr="002A14C2">
        <w:t xml:space="preserve"> HDI 0,895, což ji řadí do kategorie </w:t>
      </w:r>
      <w:r w:rsidR="00F44F81">
        <w:t>v</w:t>
      </w:r>
      <w:r w:rsidRPr="002A14C2">
        <w:t>elmi vysokého lidského rozvoje a</w:t>
      </w:r>
      <w:r w:rsidR="00C86025">
        <w:t> </w:t>
      </w:r>
      <w:r w:rsidRPr="002A14C2">
        <w:t>umís</w:t>
      </w:r>
      <w:r w:rsidR="00046110">
        <w:t>tila se</w:t>
      </w:r>
      <w:r w:rsidRPr="002A14C2">
        <w:t xml:space="preserve"> na 32. míst</w:t>
      </w:r>
      <w:r w:rsidR="00D70563">
        <w:t>ě</w:t>
      </w:r>
      <w:r w:rsidRPr="002A14C2">
        <w:t xml:space="preserve"> ze 193 zemí a</w:t>
      </w:r>
      <w:r w:rsidR="00D7445B">
        <w:t> </w:t>
      </w:r>
      <w:r w:rsidRPr="002A14C2">
        <w:t>území. Mezi lety 1990 a</w:t>
      </w:r>
      <w:r w:rsidR="00F6056B">
        <w:t> </w:t>
      </w:r>
      <w:r w:rsidRPr="002A14C2">
        <w:t>2022 se hodnota HDI v České republice zvýšila o</w:t>
      </w:r>
      <w:r w:rsidR="00F6056B">
        <w:t> </w:t>
      </w:r>
      <w:r w:rsidRPr="002A14C2">
        <w:t>19,7</w:t>
      </w:r>
      <w:r w:rsidR="00B44971">
        <w:t> %</w:t>
      </w:r>
      <w:r w:rsidRPr="002A14C2">
        <w:t>. V téže době se délka očekávaného života při narození zvýšila o 6,7 let, očekávaná doba školní docházky o 4,2 roku a průměrná doba školní docházky o</w:t>
      </w:r>
      <w:r w:rsidR="00B44971">
        <w:t> </w:t>
      </w:r>
      <w:r w:rsidRPr="002A14C2">
        <w:t>3,8</w:t>
      </w:r>
      <w:r w:rsidR="00B44971">
        <w:t> </w:t>
      </w:r>
      <w:r w:rsidRPr="002A14C2">
        <w:t>let. Hrubý národní důchod (GNI) na obyvatele vzrostl mezi lety 1990 a 2022 o přibližně 67,3 procenta.</w:t>
      </w:r>
      <w:r w:rsidR="00B05251">
        <w:t xml:space="preserve"> </w:t>
      </w:r>
      <w:r w:rsidRPr="002A14C2">
        <w:t>Česká republika má také stabilní ekonomiku a relativně nízkou míru chudoby ve srovnání s</w:t>
      </w:r>
      <w:r w:rsidR="00F91900">
        <w:t> </w:t>
      </w:r>
      <w:r w:rsidRPr="002A14C2">
        <w:t>jinými zeměmi. Dále má vysokou úroveň vzdělání a</w:t>
      </w:r>
      <w:r w:rsidR="00F91900">
        <w:t> </w:t>
      </w:r>
      <w:r w:rsidRPr="002A14C2">
        <w:t>gramotnosti a relativně dobrou dostupnost zdravotní péče.</w:t>
      </w:r>
    </w:p>
    <w:p w14:paraId="23034B56" w14:textId="76446ADB" w:rsidR="007A2691" w:rsidRPr="002A14C2" w:rsidRDefault="007A2691" w:rsidP="00A0090B">
      <w:r w:rsidRPr="002A14C2">
        <w:t xml:space="preserve">Mezi hlavní trendy, které ovlivní budoucí demografický vývoj, a tedy celkovou socioekonomickou situaci v České republice, patří zejména stárnutí populace, pokles porodnosti, migrace a urbanizace. Tyto trendy mohou mít </w:t>
      </w:r>
      <w:r w:rsidR="00F11C73">
        <w:t>negativní</w:t>
      </w:r>
      <w:r w:rsidRPr="002A14C2">
        <w:t xml:space="preserve"> dopady na ekonomiku České republiky, a to nejen v kontextu veřejných financí, ale i</w:t>
      </w:r>
      <w:r w:rsidR="00510CF8">
        <w:t> </w:t>
      </w:r>
      <w:r w:rsidRPr="002A14C2">
        <w:t>v kontextu výkonu produkční části ekonomiky, a tedy na celkový blahobyt lidí.</w:t>
      </w:r>
      <w:r w:rsidR="00D7445B">
        <w:t xml:space="preserve"> </w:t>
      </w:r>
      <w:r w:rsidRPr="00E929B2">
        <w:t xml:space="preserve">Demografický vývoj bude klíčovým faktorem pro budoucí podobu zdravotnického systému, který musí být udržitelný. Je nutné provést změny v jeho financování, včetně zvýšení podílu </w:t>
      </w:r>
      <w:r w:rsidRPr="00E929B2">
        <w:t>soukromých zdrojů. Česká republika má vysoké veřejné výdaje na zdravotnictví v porovnání s</w:t>
      </w:r>
      <w:r w:rsidR="00F11C73" w:rsidRPr="00E929B2">
        <w:t>e zeměmi Visegrádské skupiny</w:t>
      </w:r>
      <w:r w:rsidRPr="00E929B2">
        <w:t>, ale nízkou míru využití soukromých zdrojů. Důležité je také zvýšit efektivitu výdajů a</w:t>
      </w:r>
      <w:r w:rsidR="007C6926">
        <w:t> </w:t>
      </w:r>
      <w:r w:rsidRPr="00E929B2">
        <w:t>optimalizovat počet a strukturu personálu a zařízení ve zdravotnictví</w:t>
      </w:r>
      <w:r w:rsidR="0073651B">
        <w:t>,</w:t>
      </w:r>
      <w:r w:rsidR="0073651B" w:rsidRPr="0073651B">
        <w:t xml:space="preserve"> </w:t>
      </w:r>
      <w:r w:rsidR="0073651B">
        <w:t>a posílit ochranu zdraví obyvatel s</w:t>
      </w:r>
      <w:r w:rsidR="007C6926">
        <w:t> </w:t>
      </w:r>
      <w:r w:rsidR="0073651B">
        <w:t>apelem na osobní odpovědnost a nezastupitelnost v tomto procesu</w:t>
      </w:r>
      <w:r w:rsidRPr="00E929B2">
        <w:t>.</w:t>
      </w:r>
    </w:p>
    <w:p w14:paraId="5A8F01B7" w14:textId="1AAB8944" w:rsidR="007A2691" w:rsidRDefault="007A2691" w:rsidP="00A0090B">
      <w:r w:rsidRPr="002A14C2">
        <w:t xml:space="preserve">Demografický tlak na důchodový systém se v České republice zvyšuje a projekce </w:t>
      </w:r>
      <w:r w:rsidR="00046110">
        <w:t xml:space="preserve">vývoje </w:t>
      </w:r>
      <w:r w:rsidRPr="002A14C2">
        <w:t>ukazují negativní trend v</w:t>
      </w:r>
      <w:r w:rsidR="00D7445B">
        <w:t> </w:t>
      </w:r>
      <w:r w:rsidRPr="002A14C2">
        <w:t>dlouhodobých výdajích na důchody</w:t>
      </w:r>
      <w:r w:rsidRPr="002A14C2">
        <w:rPr>
          <w:rStyle w:val="Odkaznavysvtlivky"/>
          <w:color w:val="auto"/>
        </w:rPr>
        <w:endnoteReference w:id="9"/>
      </w:r>
      <w:r w:rsidRPr="002A14C2">
        <w:t>. Nastavení důchodového systému implikuje převažující deficitní hospodaření, které se zhoršuje kvůli demografickému vývoji, kdy je patrný úbytek obyvatel v</w:t>
      </w:r>
      <w:r w:rsidR="00F6056B">
        <w:t> </w:t>
      </w:r>
      <w:r w:rsidRPr="002A14C2">
        <w:t>produktivním věku.</w:t>
      </w:r>
    </w:p>
    <w:p w14:paraId="3B41C0FE" w14:textId="00A03CF4" w:rsidR="007A2691" w:rsidRDefault="009838D3" w:rsidP="008124B3">
      <w:pPr>
        <w:sectPr w:rsidR="007A2691" w:rsidSect="00A337B2">
          <w:endnotePr>
            <w:numFmt w:val="decimal"/>
          </w:endnotePr>
          <w:type w:val="continuous"/>
          <w:pgSz w:w="11906" w:h="16838"/>
          <w:pgMar w:top="1134" w:right="992" w:bottom="1134" w:left="992" w:header="709" w:footer="709" w:gutter="0"/>
          <w:cols w:num="2" w:space="284"/>
          <w:docGrid w:linePitch="360"/>
        </w:sectPr>
      </w:pPr>
      <w:r w:rsidRPr="008F29E4">
        <w:t>Stárnoucí populace má primární vliv na trh práce, na</w:t>
      </w:r>
      <w:r w:rsidR="00306A50">
        <w:t xml:space="preserve"> </w:t>
      </w:r>
      <w:r w:rsidRPr="008F29E4">
        <w:t>kterém ubývá osob v produktivním věku, což druhotně stále více zatěžuje důchodový systém. Č</w:t>
      </w:r>
      <w:r w:rsidR="00F11C73">
        <w:t xml:space="preserve">eská republika </w:t>
      </w:r>
      <w:r w:rsidRPr="008F29E4">
        <w:t xml:space="preserve">by nadále měla podporovat příliv </w:t>
      </w:r>
      <w:r w:rsidR="00C764CF">
        <w:t xml:space="preserve">kvalifikovaných </w:t>
      </w:r>
      <w:r w:rsidRPr="008F29E4">
        <w:t xml:space="preserve">zahraničních pracovníků, </w:t>
      </w:r>
      <w:r w:rsidR="00C764CF">
        <w:t xml:space="preserve">kteří </w:t>
      </w:r>
      <w:r w:rsidR="00474DB8">
        <w:t>přispěj</w:t>
      </w:r>
      <w:r w:rsidR="00C764CF">
        <w:t>í</w:t>
      </w:r>
      <w:r w:rsidR="00474DB8">
        <w:t xml:space="preserve"> k růstu produktivity</w:t>
      </w:r>
      <w:r w:rsidRPr="008F29E4">
        <w:t>. Z</w:t>
      </w:r>
      <w:r>
        <w:t> </w:t>
      </w:r>
      <w:r w:rsidRPr="008F29E4">
        <w:t>pohledu demografického vývoje bude pro Českou republiku klíčová změna zaměření ekonomiky, která se bude muset přizpůsobit rostoucímu počtu osob předdůchodového věku, a dále také zajištění přijatelné životní úrovně pro osoby v důchodovém věku, a</w:t>
      </w:r>
      <w:r>
        <w:t> </w:t>
      </w:r>
      <w:r w:rsidRPr="008F29E4">
        <w:t>tudíž i</w:t>
      </w:r>
      <w:r>
        <w:t> </w:t>
      </w:r>
      <w:r w:rsidRPr="008F29E4">
        <w:t>zvládnutí zvýšených výdajů v</w:t>
      </w:r>
      <w:r w:rsidR="00F91900">
        <w:t> </w:t>
      </w:r>
      <w:r w:rsidRPr="008F29E4">
        <w:t>sociální a</w:t>
      </w:r>
      <w:r w:rsidR="000152E2">
        <w:t> </w:t>
      </w:r>
      <w:r w:rsidRPr="008F29E4">
        <w:t>zdravotní oblasti.</w:t>
      </w:r>
    </w:p>
    <w:p w14:paraId="0CEE4E39" w14:textId="2CEE1425" w:rsidR="0023508B" w:rsidRDefault="00706FA2" w:rsidP="00A0090B">
      <w:pPr>
        <w:pStyle w:val="HSNadpis3bezslovn"/>
      </w:pPr>
      <w:bookmarkStart w:id="17" w:name="_Toc167264018"/>
      <w:bookmarkStart w:id="18" w:name="_Toc174703064"/>
      <w:r>
        <w:t>Klíčové t</w:t>
      </w:r>
      <w:r w:rsidR="0023508B" w:rsidRPr="00A1619F">
        <w:t>rendy a jejich dopady na Českou republiku</w:t>
      </w:r>
      <w:bookmarkEnd w:id="17"/>
      <w:bookmarkEnd w:id="18"/>
    </w:p>
    <w:p w14:paraId="2D3B930F" w14:textId="77777777" w:rsidR="0023508B" w:rsidRPr="00BB5751" w:rsidRDefault="0023508B" w:rsidP="0023508B">
      <w:pPr>
        <w:sectPr w:rsidR="0023508B" w:rsidRPr="00BB5751" w:rsidSect="002234D9">
          <w:type w:val="continuous"/>
          <w:pgSz w:w="11906" w:h="16838"/>
          <w:pgMar w:top="1134" w:right="992" w:bottom="1134" w:left="992" w:header="709" w:footer="709" w:gutter="0"/>
          <w:cols w:space="708"/>
          <w:docGrid w:linePitch="360"/>
        </w:sectPr>
      </w:pPr>
    </w:p>
    <w:p w14:paraId="618582AF" w14:textId="363B4DD0" w:rsidR="0023508B" w:rsidRPr="008F29E4" w:rsidRDefault="0023508B" w:rsidP="00A0090B">
      <w:r w:rsidRPr="008F29E4">
        <w:t>Mezi nejvýznamnější klíčové trendy patří změny geopolitického prostředí, nové technologie, demografický vývoj a</w:t>
      </w:r>
      <w:r w:rsidR="000152E2">
        <w:t> </w:t>
      </w:r>
      <w:r w:rsidRPr="008F29E4">
        <w:t xml:space="preserve">migrace, </w:t>
      </w:r>
      <w:r w:rsidR="006D1D29">
        <w:t xml:space="preserve">využívání </w:t>
      </w:r>
      <w:r w:rsidRPr="008F29E4">
        <w:t>přírodních zdrojů a energie, urbanizace, klimat</w:t>
      </w:r>
      <w:r w:rsidR="00B1281E">
        <w:t>ické</w:t>
      </w:r>
      <w:r w:rsidR="000152E2">
        <w:t xml:space="preserve"> </w:t>
      </w:r>
      <w:r w:rsidR="00474DB8">
        <w:t>a</w:t>
      </w:r>
      <w:r w:rsidRPr="008F29E4">
        <w:t xml:space="preserve"> environmentální hodnoty.</w:t>
      </w:r>
    </w:p>
    <w:p w14:paraId="15B4DEEE" w14:textId="7A094266" w:rsidR="000A2DA3" w:rsidRDefault="000A2DA3" w:rsidP="00C56E3B">
      <w:pPr>
        <w:pStyle w:val="HSNadpis4bezslovn"/>
      </w:pPr>
      <w:bookmarkStart w:id="19" w:name="_Toc167264019"/>
      <w:r>
        <w:t>G</w:t>
      </w:r>
      <w:r w:rsidR="0023508B" w:rsidRPr="008F29E4">
        <w:t>eopolitik</w:t>
      </w:r>
      <w:r>
        <w:t>a</w:t>
      </w:r>
      <w:r w:rsidR="0023508B" w:rsidRPr="008F29E4">
        <w:t xml:space="preserve"> a globalizace</w:t>
      </w:r>
      <w:bookmarkEnd w:id="19"/>
    </w:p>
    <w:p w14:paraId="69602579" w14:textId="0C11798F" w:rsidR="0023508B" w:rsidRPr="008F29E4" w:rsidRDefault="0023508B" w:rsidP="00A0090B">
      <w:r w:rsidRPr="008F29E4">
        <w:t>Geopolitická mapa se neustále mění, což má za následek výrazný vývoj rolí jednotlivých státních a</w:t>
      </w:r>
      <w:r w:rsidR="00C86025">
        <w:t> </w:t>
      </w:r>
      <w:r w:rsidRPr="008F29E4">
        <w:t>nadnárodních aktérů.</w:t>
      </w:r>
      <w:r w:rsidR="00030A38">
        <w:t xml:space="preserve"> </w:t>
      </w:r>
      <w:r w:rsidRPr="008F29E4">
        <w:t xml:space="preserve">Současná geopolitická situace se vyvíjí v kontextu rostoucí asertivity Ruska a Číny, přičemž tyto státy se stávají stále výraznějšími aktéry na mezinárodním poli. Zároveň i Spojené státy </w:t>
      </w:r>
      <w:r w:rsidR="00DB3B73">
        <w:t xml:space="preserve">americké </w:t>
      </w:r>
      <w:r w:rsidRPr="008F29E4">
        <w:t xml:space="preserve">a Čína usilují o větší soběstačnost svých ekonomik. Tyto změny zvyšují geopolitické </w:t>
      </w:r>
      <w:r w:rsidR="00343D07">
        <w:t>napětí</w:t>
      </w:r>
      <w:r w:rsidRPr="008F29E4">
        <w:t xml:space="preserve"> a vedou k otázkám o</w:t>
      </w:r>
      <w:r w:rsidR="00573D54">
        <w:t> </w:t>
      </w:r>
      <w:r w:rsidRPr="008F29E4">
        <w:t>budoucnosti multilaterálního řádu. Dochází k</w:t>
      </w:r>
      <w:r w:rsidR="00CC685D">
        <w:t> </w:t>
      </w:r>
      <w:r w:rsidRPr="008F29E4">
        <w:t>technologické rivalitě mezi globálními mocnostmi a</w:t>
      </w:r>
      <w:r w:rsidR="00CC685D">
        <w:t> </w:t>
      </w:r>
      <w:r w:rsidR="00DB3B73">
        <w:t>rostoucími</w:t>
      </w:r>
      <w:r w:rsidRPr="008F29E4">
        <w:t xml:space="preserve"> ekonomikami, které si stále více prosazují své zájmy. Evropská unie čelí výzvám v prosazování svých hodnot a zájmů v konkurenci s nabídkami od jiných </w:t>
      </w:r>
      <w:r w:rsidR="00DB3B73">
        <w:t>států</w:t>
      </w:r>
      <w:r w:rsidRPr="008F29E4">
        <w:t xml:space="preserve">, jako jsou </w:t>
      </w:r>
      <w:r w:rsidR="00CC685D">
        <w:t>země z uskupení BRICS, tj. </w:t>
      </w:r>
      <w:r w:rsidR="00CC685D" w:rsidRPr="00CC685D">
        <w:t>Brazílie, Rusko, Indie, Čína, Jižní Afrika</w:t>
      </w:r>
      <w:r w:rsidRPr="008F29E4">
        <w:t xml:space="preserve">. Aby </w:t>
      </w:r>
      <w:r w:rsidR="00CC685D">
        <w:t xml:space="preserve">si členské státy </w:t>
      </w:r>
      <w:r w:rsidRPr="008F29E4">
        <w:t>EU udržel</w:t>
      </w:r>
      <w:r w:rsidR="00CC685D">
        <w:t>y </w:t>
      </w:r>
      <w:r w:rsidRPr="008F29E4">
        <w:t>konkurenceschopnost</w:t>
      </w:r>
      <w:r w:rsidR="00CC685D">
        <w:t xml:space="preserve"> a význam</w:t>
      </w:r>
      <w:r w:rsidRPr="008F29E4">
        <w:t xml:space="preserve">, je nutné posilovat </w:t>
      </w:r>
      <w:r w:rsidR="00891FCD">
        <w:t>vztahy s</w:t>
      </w:r>
      <w:r w:rsidR="00CC685D">
        <w:t> </w:t>
      </w:r>
      <w:r w:rsidR="00891FCD">
        <w:t>partnery</w:t>
      </w:r>
      <w:r w:rsidRPr="008F29E4">
        <w:t>. Prosperita EU</w:t>
      </w:r>
      <w:r w:rsidR="00A37FF8">
        <w:t>,</w:t>
      </w:r>
      <w:r w:rsidRPr="008F29E4">
        <w:t xml:space="preserve"> a i České republiky, jako největšího obchodního bloku na </w:t>
      </w:r>
      <w:r w:rsidRPr="008F29E4">
        <w:t>světě, závisí na udržení a posilování multilaterálního řádu.</w:t>
      </w:r>
    </w:p>
    <w:p w14:paraId="288A9389" w14:textId="0BB3920B" w:rsidR="0023508B" w:rsidRPr="008F29E4" w:rsidRDefault="0023508B" w:rsidP="00A0090B">
      <w:r w:rsidRPr="008F29E4">
        <w:t xml:space="preserve">Česká republika by měla reagovat na tyto výzvy tak, že bude podporovat mezinárodní řád a zabraňovat rozpadu globálního systému, zatímco paralelně sníží své závislosti na externích zdrojích a posílí svou pozici v oblasti technologií. Lze očekávat, že EU bude posilovat svoji schopnost jednat nezávisle a diverzifikovat svoje dodavatelské řetězce. Tento přístup vyžaduje vybudování větší </w:t>
      </w:r>
      <w:r w:rsidR="00891FCD">
        <w:t xml:space="preserve">otevřené </w:t>
      </w:r>
      <w:r w:rsidRPr="008F29E4">
        <w:t>strategické autonomie v klíčových oblastech, jako jsou technologie, energetika a</w:t>
      </w:r>
      <w:r w:rsidR="00573D54">
        <w:t> </w:t>
      </w:r>
      <w:r w:rsidRPr="008F29E4">
        <w:t>suroviny, aby bylo možné efektivně čelit potenciálním krizím a zabezpečit svou hospodářskou a politickou stabilitu i</w:t>
      </w:r>
      <w:r w:rsidR="00573D54">
        <w:t> </w:t>
      </w:r>
      <w:r w:rsidRPr="008F29E4">
        <w:t>v</w:t>
      </w:r>
      <w:r w:rsidR="00573D54">
        <w:t> </w:t>
      </w:r>
      <w:r w:rsidRPr="008F29E4">
        <w:t>nejistých časech.</w:t>
      </w:r>
    </w:p>
    <w:p w14:paraId="65DBD141" w14:textId="77777777" w:rsidR="000A2DA3" w:rsidRDefault="0023508B" w:rsidP="00C56E3B">
      <w:pPr>
        <w:pStyle w:val="HSNadpis4bezslovn"/>
      </w:pPr>
      <w:bookmarkStart w:id="20" w:name="_Toc167264020"/>
      <w:r w:rsidRPr="008F29E4">
        <w:t>Nové technologie</w:t>
      </w:r>
      <w:bookmarkEnd w:id="20"/>
    </w:p>
    <w:p w14:paraId="0EB8C5A4" w14:textId="76D43BD3" w:rsidR="009C7C1F" w:rsidRPr="00B44971" w:rsidRDefault="0023508B" w:rsidP="00A0090B">
      <w:r w:rsidRPr="008F29E4">
        <w:t xml:space="preserve">Klíčový význam při formování hospodářské strategie zaujímají nové technologie. </w:t>
      </w:r>
      <w:r w:rsidR="00E0697C">
        <w:t>Jde v první řadě</w:t>
      </w:r>
      <w:r w:rsidRPr="008F29E4">
        <w:t xml:space="preserve"> o nové technologické trendy, jejichž dopad bude dalekosáhlejší a hůře </w:t>
      </w:r>
      <w:proofErr w:type="spellStart"/>
      <w:r w:rsidRPr="008F29E4">
        <w:t>predikovatelný</w:t>
      </w:r>
      <w:proofErr w:type="spellEnd"/>
      <w:r w:rsidRPr="008F29E4">
        <w:t xml:space="preserve">. Jedná se zejména o nanotechnologie, biotechnologie a genetiku, prvky digitalizace a tzv. </w:t>
      </w:r>
      <w:r w:rsidR="005639D0">
        <w:t>P</w:t>
      </w:r>
      <w:r w:rsidRPr="008F29E4">
        <w:t>růmyslu 4.0, včetně technologií jako blockchain, digitální dvojče, autonomní řízení, 3D tisk nebo umělá inteligence, digitální infrastruktura</w:t>
      </w:r>
      <w:r w:rsidR="005639D0" w:rsidRPr="005639D0">
        <w:t xml:space="preserve">, </w:t>
      </w:r>
      <w:proofErr w:type="spellStart"/>
      <w:r w:rsidR="005639D0" w:rsidRPr="005639D0">
        <w:t>edge</w:t>
      </w:r>
      <w:proofErr w:type="spellEnd"/>
      <w:r w:rsidR="005639D0" w:rsidRPr="005639D0">
        <w:t xml:space="preserve"> </w:t>
      </w:r>
      <w:proofErr w:type="spellStart"/>
      <w:r w:rsidR="005639D0" w:rsidRPr="005639D0">
        <w:lastRenderedPageBreak/>
        <w:t>computing</w:t>
      </w:r>
      <w:proofErr w:type="spellEnd"/>
      <w:r w:rsidRPr="008F29E4">
        <w:t xml:space="preserve"> a 5G technologie. </w:t>
      </w:r>
      <w:r w:rsidR="00E0697C">
        <w:t>N</w:t>
      </w:r>
      <w:r w:rsidRPr="008F29E4">
        <w:t>ové technologie jsou závislé na výzkumu a</w:t>
      </w:r>
      <w:r w:rsidR="009C7C1F">
        <w:t> </w:t>
      </w:r>
      <w:r w:rsidRPr="008F29E4">
        <w:t>vývoji současných technologií, ze kterých jsou nejvýznamnější informační a komunikační technologie, a povedou ke změnám stávajících obchodních modelů, podnikatelského prostředí i celospolečenských modelů chování tak</w:t>
      </w:r>
      <w:r w:rsidR="00165C52">
        <w:t>,</w:t>
      </w:r>
      <w:r w:rsidRPr="008F29E4">
        <w:t xml:space="preserve"> jak je nyní známe, a jejich nahrazení novými. Lze předpokládat, že nové technologie budou intenzivně </w:t>
      </w:r>
      <w:r w:rsidR="00D70563">
        <w:t>ovlivňovat</w:t>
      </w:r>
      <w:r w:rsidR="00D70563" w:rsidRPr="008F29E4">
        <w:t xml:space="preserve"> </w:t>
      </w:r>
      <w:r w:rsidRPr="008F29E4">
        <w:t>sektor služeb i sektor průmyslu. Hospodářská strategie by měla vytvořit</w:t>
      </w:r>
      <w:r w:rsidR="00165C52">
        <w:t xml:space="preserve"> </w:t>
      </w:r>
      <w:r w:rsidRPr="008F29E4">
        <w:t>takové podmínky, aby byly na nové technologie připraveny, dovedly se jim přizpůsobit a</w:t>
      </w:r>
      <w:r w:rsidR="00F91900">
        <w:t> </w:t>
      </w:r>
      <w:r w:rsidRPr="008F29E4">
        <w:t>nedošlo k</w:t>
      </w:r>
      <w:r w:rsidR="009C7C1F">
        <w:t> </w:t>
      </w:r>
      <w:r w:rsidRPr="008F29E4">
        <w:t>poklesu jejich konkurenceschopnosti. V</w:t>
      </w:r>
      <w:r w:rsidR="00F91900">
        <w:t> </w:t>
      </w:r>
      <w:r w:rsidRPr="008F29E4">
        <w:t>řadě odvětví sílí také význam sdílené ekonomiky, kterou je potřeba s rozvojem ICT vnímat jako nevyhnutelný trend a které je zároveň potřeba dávat jasná pravidla, ať už jde o dynamiku na trhu práce, dostupnost veřejných či soukromých služeb nebo dostupnost bydlení.</w:t>
      </w:r>
    </w:p>
    <w:p w14:paraId="68CC7898" w14:textId="77777777" w:rsidR="009C7C1F" w:rsidRDefault="0023508B" w:rsidP="00C56E3B">
      <w:pPr>
        <w:pStyle w:val="HSNadpis4bezslovn"/>
      </w:pPr>
      <w:bookmarkStart w:id="21" w:name="_Toc167264022"/>
      <w:r w:rsidRPr="008F29E4">
        <w:t>Využívání přírodních zdrojů a energie</w:t>
      </w:r>
      <w:bookmarkEnd w:id="21"/>
    </w:p>
    <w:p w14:paraId="2B22B46B" w14:textId="68CAFFAA" w:rsidR="00706FA2" w:rsidRDefault="0023508B" w:rsidP="00A0090B">
      <w:r w:rsidRPr="008F29E4">
        <w:t>Rostoucí populace</w:t>
      </w:r>
      <w:r w:rsidR="00827B6B" w:rsidRPr="00827B6B">
        <w:t xml:space="preserve"> </w:t>
      </w:r>
      <w:r w:rsidR="00827B6B">
        <w:t>a</w:t>
      </w:r>
      <w:r w:rsidR="00827B6B" w:rsidRPr="00827B6B">
        <w:t xml:space="preserve"> technologie spojené s dekarbonizac</w:t>
      </w:r>
      <w:r w:rsidR="00827B6B">
        <w:t>í</w:t>
      </w:r>
      <w:r w:rsidR="00827B6B" w:rsidRPr="00827B6B">
        <w:t xml:space="preserve"> a digitalizac</w:t>
      </w:r>
      <w:r w:rsidR="00827B6B">
        <w:t>í</w:t>
      </w:r>
      <w:r w:rsidRPr="008F29E4">
        <w:t xml:space="preserve"> bud</w:t>
      </w:r>
      <w:r w:rsidR="00827B6B">
        <w:t>ou</w:t>
      </w:r>
      <w:r w:rsidRPr="008F29E4">
        <w:t xml:space="preserve"> vytvářet další tlak na </w:t>
      </w:r>
      <w:r w:rsidR="004677D2">
        <w:t xml:space="preserve">dostupnost </w:t>
      </w:r>
      <w:r w:rsidRPr="008F29E4">
        <w:t>přírodní</w:t>
      </w:r>
      <w:r w:rsidR="004677D2">
        <w:t>ch</w:t>
      </w:r>
      <w:r w:rsidRPr="008F29E4">
        <w:t xml:space="preserve"> zdroj</w:t>
      </w:r>
      <w:r w:rsidR="004677D2">
        <w:t>ů</w:t>
      </w:r>
      <w:r w:rsidRPr="008F29E4">
        <w:t xml:space="preserve">, energie i </w:t>
      </w:r>
      <w:r w:rsidR="004677D2">
        <w:t xml:space="preserve">na </w:t>
      </w:r>
      <w:r w:rsidRPr="008F29E4">
        <w:t>územní rozvoj. Problémy s vodními zdroji, retencí vody v krajině, hospodařením s vodou, nesoběstačností v oblasti surovin i</w:t>
      </w:r>
      <w:r w:rsidR="00573D54">
        <w:t> </w:t>
      </w:r>
      <w:r w:rsidRPr="008F29E4">
        <w:t>potravin se budou zvyšovat. I přes řadu opatření v úsporách energií jejich spotřeba poroste a</w:t>
      </w:r>
      <w:r w:rsidR="009C7C1F">
        <w:t> </w:t>
      </w:r>
      <w:r w:rsidR="004677D2">
        <w:t xml:space="preserve">v případě pomalé a nedostatečné náhrady fosilních zdrojů energie za bezemisní bude </w:t>
      </w:r>
      <w:r w:rsidRPr="008F29E4">
        <w:t>dále negativně přispívat ke klimatické změně. Ze stejných důvodů bude i</w:t>
      </w:r>
      <w:r w:rsidR="00F91900">
        <w:t> </w:t>
      </w:r>
      <w:r w:rsidRPr="008F29E4">
        <w:t>stále více ohrožována celosvětová biodiverzita. Vzrůstají proto požadavky jak na vyšší podporu cirkulární ekonomiky a udržitelného využívání surovinových zdrojů, tak na vyšší využití obnovitelných zdrojů energie a</w:t>
      </w:r>
      <w:r w:rsidR="009C7C1F">
        <w:t> </w:t>
      </w:r>
      <w:r w:rsidRPr="008F29E4">
        <w:t xml:space="preserve">chytrého zemědělství. </w:t>
      </w:r>
      <w:r w:rsidR="00B10552">
        <w:t>Česká republika</w:t>
      </w:r>
      <w:r w:rsidRPr="008F29E4">
        <w:t xml:space="preserve"> musí podpořit odklon od skládkování a</w:t>
      </w:r>
      <w:r w:rsidR="00573D54">
        <w:t> </w:t>
      </w:r>
      <w:r w:rsidRPr="008F29E4">
        <w:t>vytvořit podmínky</w:t>
      </w:r>
      <w:r w:rsidR="001A70F3">
        <w:t xml:space="preserve"> pro přechod na cirkulární ekonomiku a</w:t>
      </w:r>
      <w:r w:rsidRPr="008F29E4">
        <w:t xml:space="preserve"> pro </w:t>
      </w:r>
      <w:r w:rsidR="001A70F3">
        <w:t>posílení materiálového</w:t>
      </w:r>
      <w:r w:rsidRPr="008F29E4">
        <w:t xml:space="preserve"> využívání odpadu, </w:t>
      </w:r>
      <w:r w:rsidR="001A70F3" w:rsidRPr="008F29E4">
        <w:t>např</w:t>
      </w:r>
      <w:r w:rsidR="001A70F3">
        <w:t>.</w:t>
      </w:r>
      <w:r w:rsidR="001A70F3" w:rsidRPr="008F29E4">
        <w:t xml:space="preserve"> </w:t>
      </w:r>
      <w:r w:rsidR="001A70F3">
        <w:t>i rozvojem technologicky vyspělého</w:t>
      </w:r>
      <w:r w:rsidR="001A70F3" w:rsidRPr="008F29E4">
        <w:t xml:space="preserve"> </w:t>
      </w:r>
      <w:r w:rsidRPr="008F29E4">
        <w:t>recyklačního byznysu, který zde ve větším rozsahu chybí. Pro Českou republiku bude v této oblasti stěžejní zajištění hladkého přechodu na zvýšení podílu jaderné energetiky a obnovitelných zdrojů.</w:t>
      </w:r>
    </w:p>
    <w:p w14:paraId="479C8C1E" w14:textId="77777777" w:rsidR="009C7C1F" w:rsidRDefault="0023508B" w:rsidP="00D45A73">
      <w:pPr>
        <w:pStyle w:val="HSNadpis4bezslovn"/>
      </w:pPr>
      <w:bookmarkStart w:id="22" w:name="_Toc167264023"/>
      <w:r w:rsidRPr="008F29E4">
        <w:t>Urbanizace</w:t>
      </w:r>
      <w:bookmarkEnd w:id="22"/>
    </w:p>
    <w:p w14:paraId="6D702703" w14:textId="7F731D35" w:rsidR="0023508B" w:rsidRPr="008F29E4" w:rsidRDefault="0023508B" w:rsidP="00A0090B">
      <w:r w:rsidRPr="008F29E4">
        <w:t>Urbanizace je charakteristická pro celý svět. Ve</w:t>
      </w:r>
      <w:r w:rsidR="00573D54">
        <w:t> </w:t>
      </w:r>
      <w:r w:rsidRPr="008F29E4">
        <w:t>vyspělých zemích i u nás se migrace vyznačuje diferenciací v</w:t>
      </w:r>
      <w:r w:rsidR="00F91900">
        <w:t> </w:t>
      </w:r>
      <w:r w:rsidRPr="008F29E4">
        <w:t>průběhu životního cyklu člověka. Problémem v</w:t>
      </w:r>
      <w:r w:rsidR="00F91900">
        <w:t> </w:t>
      </w:r>
      <w:r w:rsidR="00B10552">
        <w:t>České republice</w:t>
      </w:r>
      <w:r w:rsidRPr="008F29E4">
        <w:t xml:space="preserve"> je zejména vylidňování některých menších měst a obcí, kde obvykle zůstává starší populace, zatímco mladí lidé se zpravidla za prací stěhují do velkých měst a jejich okolí. Migrace ale není vždy omezena na hranice domovské země, mladí lidé často jezdí studovat i pracovat do zahraničí. To vytváří dodatečné </w:t>
      </w:r>
      <w:r w:rsidRPr="008F29E4">
        <w:t>nároky na dopravu a další veřejnou infrastrukturu, ale i na flexibilitu pracovního trhu a kvalitu, respektive dostupnost veřejných služeb</w:t>
      </w:r>
      <w:r w:rsidR="001A70F3">
        <w:t>, i zvyšování kvality života jako celku</w:t>
      </w:r>
      <w:r w:rsidRPr="008F29E4">
        <w:t>. Nejen v tomto ohledu bude důležité aplikovat trendy v oblasti tzv. „</w:t>
      </w:r>
      <w:proofErr w:type="spellStart"/>
      <w:r w:rsidRPr="008F29E4">
        <w:t>smart</w:t>
      </w:r>
      <w:proofErr w:type="spellEnd"/>
      <w:r w:rsidRPr="008F29E4">
        <w:t xml:space="preserve"> city“ a</w:t>
      </w:r>
      <w:r w:rsidR="00F91900">
        <w:t> </w:t>
      </w:r>
      <w:r w:rsidRPr="008F29E4">
        <w:t xml:space="preserve">současně vytvářet prostředí, které bude motivovat naše studenty vracet se ze zahraničí zpět do </w:t>
      </w:r>
      <w:r w:rsidR="00B10552">
        <w:t>České republiky</w:t>
      </w:r>
      <w:r w:rsidRPr="008F29E4">
        <w:t>.</w:t>
      </w:r>
    </w:p>
    <w:p w14:paraId="57D79608" w14:textId="74ACE3C3" w:rsidR="009C7C1F" w:rsidRDefault="0010113A" w:rsidP="00C56E3B">
      <w:pPr>
        <w:pStyle w:val="HSNadpis4bezslovn"/>
      </w:pPr>
      <w:bookmarkStart w:id="23" w:name="_Toc167264024"/>
      <w:r>
        <w:t>K</w:t>
      </w:r>
      <w:r w:rsidR="0023508B" w:rsidRPr="008F29E4">
        <w:t>limat</w:t>
      </w:r>
      <w:r>
        <w:t>ické změny</w:t>
      </w:r>
      <w:bookmarkEnd w:id="23"/>
    </w:p>
    <w:p w14:paraId="02959C7F" w14:textId="7B3985B2" w:rsidR="0023508B" w:rsidRPr="008F29E4" w:rsidRDefault="00114304" w:rsidP="00A0090B">
      <w:r>
        <w:t xml:space="preserve">Trend </w:t>
      </w:r>
      <w:r w:rsidR="001A70F3">
        <w:t>klimat</w:t>
      </w:r>
      <w:r w:rsidR="00671DDE">
        <w:t>ických změn</w:t>
      </w:r>
      <w:r w:rsidR="001A70F3">
        <w:t xml:space="preserve"> pozorovaný v </w:t>
      </w:r>
      <w:r w:rsidR="002103CB">
        <w:t xml:space="preserve">posledních </w:t>
      </w:r>
      <w:r w:rsidR="001A70F3">
        <w:t>dekádách</w:t>
      </w:r>
      <w:r>
        <w:t xml:space="preserve"> staví státy před </w:t>
      </w:r>
      <w:r w:rsidR="0023508B" w:rsidRPr="008F29E4">
        <w:t>splnění náročných cílů spojených s redukcí produkce skleníkových plynů, zvýšením podílu využívání bezemisních zdrojů energie. V zájmu úspěšné hospodářské politiky musí dojít k</w:t>
      </w:r>
      <w:r w:rsidR="00573D54">
        <w:t> </w:t>
      </w:r>
      <w:r w:rsidR="0023508B" w:rsidRPr="008F29E4">
        <w:t>naplňování</w:t>
      </w:r>
      <w:r w:rsidR="001A70F3" w:rsidRPr="001A70F3">
        <w:t xml:space="preserve"> závazků Pařížské dohody a klimatické neutrality EU v roce 2050</w:t>
      </w:r>
      <w:r w:rsidR="001A70F3">
        <w:t>,</w:t>
      </w:r>
      <w:r w:rsidR="0023508B" w:rsidRPr="008F29E4">
        <w:t xml:space="preserve"> </w:t>
      </w:r>
      <w:r w:rsidR="001A70F3">
        <w:t>Strategie přizpůsobení se změně klimatu v podmínkách</w:t>
      </w:r>
      <w:r w:rsidR="00B10552">
        <w:t xml:space="preserve"> České republiky</w:t>
      </w:r>
      <w:r w:rsidR="00383759">
        <w:t xml:space="preserve"> a </w:t>
      </w:r>
      <w:r w:rsidR="00383759" w:rsidRPr="00383759">
        <w:t>Politik</w:t>
      </w:r>
      <w:r w:rsidR="00383759">
        <w:t>y</w:t>
      </w:r>
      <w:r w:rsidR="00383759" w:rsidRPr="00383759">
        <w:t xml:space="preserve"> ochrany klimatu v České republice</w:t>
      </w:r>
      <w:r w:rsidR="0023508B" w:rsidRPr="008F29E4">
        <w:t>. Rozvoj nízkoemisní ekonomiky</w:t>
      </w:r>
      <w:r w:rsidR="00165C52">
        <w:t xml:space="preserve"> a posílení</w:t>
      </w:r>
      <w:r w:rsidR="0023508B" w:rsidRPr="008F29E4">
        <w:t xml:space="preserve"> služ</w:t>
      </w:r>
      <w:r w:rsidR="00165C52">
        <w:t>eb</w:t>
      </w:r>
      <w:r w:rsidR="0023508B" w:rsidRPr="008F29E4">
        <w:t xml:space="preserve">, spolu s odpovědným nakládáním s přírodními zdroji se proto jeví jako klíčový faktor ovlivňující podobu hospodářské strategie. Rozvoj </w:t>
      </w:r>
      <w:r w:rsidR="001A70F3">
        <w:t>ekonomiky bude muset kromě opatření v oblasti ochrany klimatu reflektovat i požadavky na</w:t>
      </w:r>
      <w:r w:rsidR="0023508B" w:rsidRPr="008F29E4">
        <w:t xml:space="preserve"> omezení emisí zdraví škodlivých znečišťujících látek</w:t>
      </w:r>
      <w:r w:rsidR="001A70F3">
        <w:t xml:space="preserve"> do životního prostředí.</w:t>
      </w:r>
    </w:p>
    <w:p w14:paraId="5FD2A3DC" w14:textId="77777777" w:rsidR="009C7C1F" w:rsidRDefault="0023508B" w:rsidP="00381ECF">
      <w:pPr>
        <w:pStyle w:val="HSNadpis4bezslovn"/>
      </w:pPr>
      <w:bookmarkStart w:id="24" w:name="_Toc167264025"/>
      <w:r w:rsidRPr="008F29E4">
        <w:t>Environmentální hodnoty</w:t>
      </w:r>
      <w:bookmarkEnd w:id="24"/>
    </w:p>
    <w:p w14:paraId="40A17819" w14:textId="0032E66F" w:rsidR="0023508B" w:rsidRPr="008F29E4" w:rsidRDefault="0023508B" w:rsidP="00A0090B">
      <w:r w:rsidRPr="008F29E4">
        <w:t xml:space="preserve">Ve světě roste vliv environmentálních hodnot na chování široké veřejnosti. Upřednostňuje se čisté prostředí, efektivní využívání zdrojů, roste tlak na zachování biodiverzity a čisté životní prostředí pro všechny. Negativní trendy v oblasti životního prostředí následně prostřednictvím negativních externalit nepříznivě ovlivňují výkonnost hospodářství. Silné environmentální vnímání rostoucí části spotřebitelů ovlivňuje </w:t>
      </w:r>
      <w:r w:rsidR="00B1281E">
        <w:t xml:space="preserve">trhy se </w:t>
      </w:r>
      <w:r w:rsidRPr="008F29E4">
        <w:t>zboží</w:t>
      </w:r>
      <w:r w:rsidR="00B1281E">
        <w:t>m</w:t>
      </w:r>
      <w:r w:rsidRPr="008F29E4">
        <w:t xml:space="preserve"> a</w:t>
      </w:r>
      <w:r w:rsidR="00F91900">
        <w:t> </w:t>
      </w:r>
      <w:r w:rsidRPr="008F29E4">
        <w:t>služb</w:t>
      </w:r>
      <w:r w:rsidR="00B1281E">
        <w:t>ami</w:t>
      </w:r>
      <w:r w:rsidR="00A37FF8">
        <w:t>,</w:t>
      </w:r>
      <w:r w:rsidRPr="008F29E4">
        <w:t xml:space="preserve"> a</w:t>
      </w:r>
      <w:r w:rsidR="00C86025">
        <w:t> </w:t>
      </w:r>
      <w:r w:rsidRPr="008F29E4">
        <w:t xml:space="preserve">tudíž je </w:t>
      </w:r>
      <w:r w:rsidR="00B1281E" w:rsidRPr="008F29E4">
        <w:t>d</w:t>
      </w:r>
      <w:r w:rsidR="00B1281E">
        <w:t>alší</w:t>
      </w:r>
      <w:r w:rsidR="00B1281E" w:rsidRPr="008F29E4">
        <w:t xml:space="preserve">m </w:t>
      </w:r>
      <w:r w:rsidR="00343D07">
        <w:t>podnětem</w:t>
      </w:r>
      <w:r w:rsidRPr="008F29E4">
        <w:t xml:space="preserve"> pro tvůrce hospodářské politiky.</w:t>
      </w:r>
    </w:p>
    <w:p w14:paraId="334E2243" w14:textId="3388796B" w:rsidR="009C7C1F" w:rsidRDefault="0023508B" w:rsidP="00C56E3B">
      <w:pPr>
        <w:pStyle w:val="HSNadpis4bezslovn"/>
      </w:pPr>
      <w:bookmarkStart w:id="25" w:name="_Toc167264026"/>
      <w:r w:rsidRPr="008F29E4">
        <w:t xml:space="preserve">Společenské změny a role jednotlivce ve </w:t>
      </w:r>
      <w:r w:rsidR="00B05251">
        <w:t>společnosti</w:t>
      </w:r>
      <w:bookmarkEnd w:id="25"/>
    </w:p>
    <w:p w14:paraId="37FA7AE1" w14:textId="091010F0" w:rsidR="00706FA2" w:rsidRPr="00BB5751" w:rsidRDefault="0023508B" w:rsidP="00B05251">
      <w:pPr>
        <w:sectPr w:rsidR="00706FA2" w:rsidRPr="00BB5751" w:rsidSect="00E157B6">
          <w:endnotePr>
            <w:numFmt w:val="decimal"/>
          </w:endnotePr>
          <w:type w:val="continuous"/>
          <w:pgSz w:w="11906" w:h="16838"/>
          <w:pgMar w:top="1134" w:right="992" w:bottom="1134" w:left="992" w:header="709" w:footer="709" w:gutter="0"/>
          <w:cols w:num="2" w:space="284"/>
          <w:docGrid w:linePitch="360"/>
        </w:sectPr>
      </w:pPr>
      <w:r w:rsidRPr="008F29E4">
        <w:t>V</w:t>
      </w:r>
      <w:r w:rsidR="00573D54">
        <w:t> </w:t>
      </w:r>
      <w:r w:rsidRPr="008F29E4">
        <w:t>současné společnosti dochází k významnému posilování vlivu jednotlivců a malých skupin, což je umocněno rozšířením přístupu k informacím a vzrůstající podporou open-</w:t>
      </w:r>
      <w:proofErr w:type="spellStart"/>
      <w:r w:rsidRPr="008F29E4">
        <w:t>access</w:t>
      </w:r>
      <w:proofErr w:type="spellEnd"/>
      <w:r w:rsidRPr="008F29E4">
        <w:t xml:space="preserve"> a evidence-</w:t>
      </w:r>
      <w:proofErr w:type="spellStart"/>
      <w:r w:rsidRPr="008F29E4">
        <w:t>based</w:t>
      </w:r>
      <w:proofErr w:type="spellEnd"/>
      <w:r w:rsidRPr="008F29E4">
        <w:t xml:space="preserve"> přístupů. Tyto trendy výrazně urychlují šíření nových poznatků a znalostí, což otevírá dveře ke globalizaci vzdělávání. Tento vývoj nabízí jedinečné příležitosti pro rychlejší a efektivnější vzdělávání na globální úrovni, což může vést k posílení kapacit a zvýšení konkurenceschopnosti na mezinárodním trhu práce. Zároveň se zlepšují podmínky pro zapojení žen do pracovního procesu, což je patrné zejména na změnách ve složení domácností a</w:t>
      </w:r>
      <w:r w:rsidR="00573D54">
        <w:t> </w:t>
      </w:r>
      <w:r w:rsidRPr="008F29E4">
        <w:t xml:space="preserve">rodin a rostoucího počtu žen v řídících pozicích a výzkumných týmech. V České republice, kde stále existuje významná mezera mezi </w:t>
      </w:r>
      <w:r w:rsidRPr="008F29E4">
        <w:lastRenderedPageBreak/>
        <w:t xml:space="preserve">mírou zaměstnanosti žen a mužů, by mohlo zvýšení ženské participace na trhu práce částečně </w:t>
      </w:r>
      <w:r w:rsidRPr="008F29E4">
        <w:t>kompenzovat očekávaný pokles ekonomicky aktivního obyvatelstva v důsledku demografického stárnutí.</w:t>
      </w:r>
    </w:p>
    <w:p w14:paraId="3F94227D" w14:textId="1AABC695" w:rsidR="0023508B" w:rsidRDefault="0023508B" w:rsidP="008A1D3E">
      <w:pPr>
        <w:pStyle w:val="HSNadpis3bezslovn"/>
      </w:pPr>
      <w:bookmarkStart w:id="26" w:name="_Toc167264027"/>
      <w:bookmarkStart w:id="27" w:name="_Toc174703065"/>
      <w:r>
        <w:t xml:space="preserve">Souhrnná analýza vnitřního a vnějšího potenciálu (SWOT analýza) ekonomiky </w:t>
      </w:r>
      <w:bookmarkEnd w:id="26"/>
      <w:r w:rsidR="00B10552">
        <w:t>České republiky</w:t>
      </w:r>
      <w:bookmarkEnd w:id="27"/>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6"/>
        <w:gridCol w:w="4956"/>
      </w:tblGrid>
      <w:tr w:rsidR="0023508B" w:rsidRPr="00E437C1" w14:paraId="26AFF8B0" w14:textId="77777777" w:rsidTr="008771B8">
        <w:tc>
          <w:tcPr>
            <w:tcW w:w="4956" w:type="dxa"/>
          </w:tcPr>
          <w:p w14:paraId="30FBDB05" w14:textId="77777777" w:rsidR="0023508B" w:rsidRPr="00E437C1" w:rsidRDefault="0023508B" w:rsidP="008A1D3E">
            <w:pPr>
              <w:pStyle w:val="HSNadpis5bezslovn"/>
            </w:pPr>
            <w:r w:rsidRPr="00E437C1">
              <w:t>Silné stránky:</w:t>
            </w:r>
          </w:p>
          <w:p w14:paraId="490E1ED7" w14:textId="0D3D8E0A" w:rsidR="0023508B" w:rsidRPr="00E437C1" w:rsidRDefault="0023508B" w:rsidP="00381ECF">
            <w:pPr>
              <w:pStyle w:val="HSpodbod"/>
            </w:pPr>
            <w:r w:rsidRPr="00E437C1">
              <w:t>Hospodářsky stabilní ekonomika blízko nejsilnější ekonomiky EU.</w:t>
            </w:r>
          </w:p>
          <w:p w14:paraId="58436834" w14:textId="77777777" w:rsidR="00165C52" w:rsidRPr="00165C52" w:rsidRDefault="00165C52" w:rsidP="00165C52">
            <w:pPr>
              <w:pStyle w:val="HSpodbod"/>
            </w:pPr>
            <w:r w:rsidRPr="00165C52">
              <w:t>Součást a plný přístup na největší jednotný vnitřní trh zboží, služeb, pracovní síly a kapitálu na světě.</w:t>
            </w:r>
          </w:p>
          <w:p w14:paraId="3DC1F7A5" w14:textId="313ED807" w:rsidR="0023508B" w:rsidRPr="00E437C1" w:rsidRDefault="0023508B" w:rsidP="00381ECF">
            <w:pPr>
              <w:pStyle w:val="HSpodbod"/>
            </w:pPr>
            <w:r w:rsidRPr="00E437C1">
              <w:t>Rozvinutá průmyslová základna s mezinárodním propojením a rozvíjející se logistika.</w:t>
            </w:r>
          </w:p>
          <w:p w14:paraId="5546511A" w14:textId="60147E49" w:rsidR="0023508B" w:rsidRPr="00E437C1" w:rsidRDefault="0023508B" w:rsidP="00381ECF">
            <w:pPr>
              <w:pStyle w:val="HSpodbod"/>
            </w:pPr>
            <w:r w:rsidRPr="00E437C1">
              <w:t>Dynamicky se rozvíjející výzkumné a inovační kapacity.</w:t>
            </w:r>
          </w:p>
          <w:p w14:paraId="05A23C53" w14:textId="5E4033EA" w:rsidR="0023508B" w:rsidRPr="00E437C1" w:rsidRDefault="0023508B" w:rsidP="00381ECF">
            <w:pPr>
              <w:pStyle w:val="HSpodbod"/>
            </w:pPr>
            <w:r w:rsidRPr="00E437C1">
              <w:t xml:space="preserve">Otevřená ekonomika </w:t>
            </w:r>
            <w:proofErr w:type="spellStart"/>
            <w:r w:rsidRPr="00E437C1">
              <w:t>sdílící</w:t>
            </w:r>
            <w:proofErr w:type="spellEnd"/>
            <w:r w:rsidRPr="00E437C1">
              <w:t xml:space="preserve"> výhody mezinárodní dělby práce a připravená domácím i zahraničním investicím.</w:t>
            </w:r>
          </w:p>
          <w:p w14:paraId="3BF0E284" w14:textId="3EA86BE6" w:rsidR="0023508B" w:rsidRPr="00E437C1" w:rsidRDefault="0023508B" w:rsidP="00381ECF">
            <w:pPr>
              <w:pStyle w:val="HSpodbod"/>
            </w:pPr>
            <w:r w:rsidRPr="00E437C1">
              <w:t>Robustní a dlouhodobě velmi odolný bankovní sektor.</w:t>
            </w:r>
          </w:p>
          <w:p w14:paraId="232EBBCB" w14:textId="0AB78CFD" w:rsidR="0023508B" w:rsidRPr="00E437C1" w:rsidRDefault="0023508B" w:rsidP="00381ECF">
            <w:pPr>
              <w:pStyle w:val="HSpodbod"/>
            </w:pPr>
            <w:r w:rsidRPr="00E437C1">
              <w:t>Silný sociální pilíř hospodářství a nízký podíl osob ohrožených chudobou.</w:t>
            </w:r>
          </w:p>
          <w:p w14:paraId="52E72C6B" w14:textId="6DCFEAFA" w:rsidR="0023508B" w:rsidRPr="00E437C1" w:rsidRDefault="0023508B" w:rsidP="00381ECF">
            <w:pPr>
              <w:pStyle w:val="HSpodbod"/>
            </w:pPr>
            <w:r w:rsidRPr="00E437C1">
              <w:t>Pevné začlenění do mezinárodních struktur jako člen EU</w:t>
            </w:r>
            <w:r w:rsidR="00165C52">
              <w:t xml:space="preserve"> a</w:t>
            </w:r>
            <w:r w:rsidRPr="00E437C1">
              <w:t xml:space="preserve"> NATO.</w:t>
            </w:r>
          </w:p>
        </w:tc>
        <w:tc>
          <w:tcPr>
            <w:tcW w:w="4956" w:type="dxa"/>
          </w:tcPr>
          <w:p w14:paraId="099FDE44" w14:textId="77777777" w:rsidR="0023508B" w:rsidRPr="00E437C1" w:rsidRDefault="0023508B" w:rsidP="00381ECF">
            <w:pPr>
              <w:pStyle w:val="HSNadpis5bezslovn"/>
            </w:pPr>
            <w:r w:rsidRPr="00E437C1">
              <w:t>Slabé stránky:</w:t>
            </w:r>
          </w:p>
          <w:p w14:paraId="551E7E90" w14:textId="3535DD21" w:rsidR="0023508B" w:rsidRPr="00E437C1" w:rsidRDefault="0023508B" w:rsidP="00381ECF">
            <w:pPr>
              <w:pStyle w:val="HSpodbod"/>
              <w:rPr>
                <w:b/>
              </w:rPr>
            </w:pPr>
            <w:r w:rsidRPr="00E437C1">
              <w:t xml:space="preserve">Ekonomika </w:t>
            </w:r>
            <w:r>
              <w:t>s výrazným podílem průmyslu</w:t>
            </w:r>
            <w:r w:rsidRPr="00E437C1">
              <w:t xml:space="preserve">, </w:t>
            </w:r>
            <w:r w:rsidR="00165C52">
              <w:t xml:space="preserve">hlavně tradičního, </w:t>
            </w:r>
            <w:r w:rsidRPr="00E437C1">
              <w:t>v některých oborech převážně v subdodavatelském postavení.</w:t>
            </w:r>
          </w:p>
          <w:p w14:paraId="0DEA4C6F" w14:textId="54DBFE7F" w:rsidR="0023508B" w:rsidRPr="00E437C1" w:rsidRDefault="0023508B" w:rsidP="00381ECF">
            <w:pPr>
              <w:pStyle w:val="HSpodbod"/>
              <w:rPr>
                <w:b/>
              </w:rPr>
            </w:pPr>
            <w:r w:rsidRPr="00E437C1">
              <w:t>Nízký počet mezinárodně působících českých firem a přímých investic v zahraničí.</w:t>
            </w:r>
          </w:p>
          <w:p w14:paraId="7082E3F0" w14:textId="0D12B8C1" w:rsidR="0023508B" w:rsidRPr="00E437C1" w:rsidRDefault="0023508B" w:rsidP="00381ECF">
            <w:pPr>
              <w:pStyle w:val="HSpodbod"/>
              <w:rPr>
                <w:b/>
              </w:rPr>
            </w:pPr>
            <w:r w:rsidRPr="00E437C1">
              <w:t>Vysoká energetická náročnost ekonomiky v porovnání s jinými státy, zejména kvůli tradičním průmyslovým odvětvím.</w:t>
            </w:r>
          </w:p>
          <w:p w14:paraId="686F4F11" w14:textId="40B2195E" w:rsidR="0023508B" w:rsidRPr="00E437C1" w:rsidRDefault="0023508B" w:rsidP="00381ECF">
            <w:pPr>
              <w:pStyle w:val="HSpodbod"/>
              <w:rPr>
                <w:b/>
              </w:rPr>
            </w:pPr>
            <w:r w:rsidRPr="00E437C1">
              <w:t>Nesoulad nabídky a poptávky na trhu práce a</w:t>
            </w:r>
            <w:r w:rsidR="00573D54">
              <w:t> </w:t>
            </w:r>
            <w:r w:rsidRPr="00E437C1">
              <w:t>zhoršené demografické vyhlídky.</w:t>
            </w:r>
          </w:p>
          <w:p w14:paraId="11393A23" w14:textId="71C1D5C4" w:rsidR="0023508B" w:rsidRPr="00820379" w:rsidRDefault="0023508B" w:rsidP="00381ECF">
            <w:pPr>
              <w:pStyle w:val="HSpodbod"/>
              <w:rPr>
                <w:b/>
              </w:rPr>
            </w:pPr>
            <w:r w:rsidRPr="00E437C1">
              <w:t>Některé obory jsou silně ovlivňovány extenzivními dotačními nástroji (zejména zemědělství).</w:t>
            </w:r>
          </w:p>
          <w:p w14:paraId="3432B0BF" w14:textId="68CEDD2B" w:rsidR="00820379" w:rsidRPr="00E437C1" w:rsidRDefault="00820379" w:rsidP="00820379">
            <w:pPr>
              <w:pStyle w:val="HSpodbod"/>
              <w:numPr>
                <w:ilvl w:val="0"/>
                <w:numId w:val="0"/>
              </w:numPr>
              <w:rPr>
                <w:b/>
              </w:rPr>
            </w:pPr>
          </w:p>
          <w:p w14:paraId="5B7806F6" w14:textId="77777777" w:rsidR="0023508B" w:rsidRPr="00E437C1" w:rsidRDefault="0023508B" w:rsidP="008771B8">
            <w:pPr>
              <w:pStyle w:val="Nadpis3-mimoobsah"/>
              <w:rPr>
                <w:sz w:val="20"/>
                <w:szCs w:val="20"/>
              </w:rPr>
            </w:pPr>
          </w:p>
        </w:tc>
      </w:tr>
      <w:tr w:rsidR="00706FA2" w:rsidRPr="00E437C1" w14:paraId="770D02BB" w14:textId="77777777" w:rsidTr="008771B8">
        <w:tc>
          <w:tcPr>
            <w:tcW w:w="4956" w:type="dxa"/>
          </w:tcPr>
          <w:p w14:paraId="7458E217" w14:textId="77777777" w:rsidR="00706FA2" w:rsidRPr="00E437C1" w:rsidRDefault="00706FA2" w:rsidP="008771B8">
            <w:pPr>
              <w:pStyle w:val="Nadpis3-mimoobsah"/>
              <w:rPr>
                <w:sz w:val="20"/>
                <w:szCs w:val="20"/>
              </w:rPr>
            </w:pPr>
          </w:p>
        </w:tc>
        <w:tc>
          <w:tcPr>
            <w:tcW w:w="4956" w:type="dxa"/>
          </w:tcPr>
          <w:p w14:paraId="10E68871" w14:textId="77777777" w:rsidR="00706FA2" w:rsidRPr="00E437C1" w:rsidRDefault="00706FA2" w:rsidP="008771B8">
            <w:pPr>
              <w:pStyle w:val="Nadpis3-mimoobsah"/>
              <w:rPr>
                <w:sz w:val="20"/>
                <w:szCs w:val="20"/>
              </w:rPr>
            </w:pPr>
          </w:p>
        </w:tc>
      </w:tr>
      <w:tr w:rsidR="0023508B" w:rsidRPr="00E437C1" w14:paraId="5A4A7FAE" w14:textId="77777777" w:rsidTr="008771B8">
        <w:tc>
          <w:tcPr>
            <w:tcW w:w="4956" w:type="dxa"/>
          </w:tcPr>
          <w:p w14:paraId="47E4524D" w14:textId="77777777" w:rsidR="0023508B" w:rsidRPr="00E437C1" w:rsidRDefault="0023508B" w:rsidP="00381ECF">
            <w:pPr>
              <w:pStyle w:val="HSNadpis5bezslovn"/>
            </w:pPr>
            <w:r w:rsidRPr="00E437C1">
              <w:t>Příležitosti:</w:t>
            </w:r>
          </w:p>
          <w:p w14:paraId="1D363010" w14:textId="77777777" w:rsidR="0023508B" w:rsidRPr="00E437C1" w:rsidRDefault="0023508B" w:rsidP="00381ECF">
            <w:pPr>
              <w:pStyle w:val="HSpodbod"/>
            </w:pPr>
            <w:r w:rsidRPr="00E437C1">
              <w:t>Formulace jednotné vize pro rozvoj Česka jako země s vysokou přidanou hodnotou.</w:t>
            </w:r>
          </w:p>
          <w:p w14:paraId="42DE925B" w14:textId="77777777" w:rsidR="0023508B" w:rsidRPr="00E437C1" w:rsidRDefault="0023508B" w:rsidP="00381ECF">
            <w:pPr>
              <w:pStyle w:val="HSpodbod"/>
            </w:pPr>
            <w:r w:rsidRPr="00E437C1">
              <w:t>Zapojení se do vývoje technologií, které snižují energetickou, materiálovou a uhlíkovou náročnost tradičních odvětví.</w:t>
            </w:r>
          </w:p>
          <w:p w14:paraId="6FA17DE7" w14:textId="77777777" w:rsidR="0023508B" w:rsidRPr="00E437C1" w:rsidRDefault="0023508B" w:rsidP="00381ECF">
            <w:pPr>
              <w:pStyle w:val="HSpodbod"/>
            </w:pPr>
            <w:r w:rsidRPr="00E437C1">
              <w:t>Rozvoj inovací jako nástroje pro zlepšení konkurenceschopnosti českých firem a expanze na mimoevropské trhy.</w:t>
            </w:r>
          </w:p>
          <w:p w14:paraId="216806BF" w14:textId="38AA9102" w:rsidR="0023508B" w:rsidRDefault="0023508B" w:rsidP="00381ECF">
            <w:pPr>
              <w:pStyle w:val="HSpodbod"/>
            </w:pPr>
            <w:r w:rsidRPr="00E437C1">
              <w:t>Vytvoření bezpečného a přehledného investičního prostředí pro domácí i zahraniční kapitál.</w:t>
            </w:r>
          </w:p>
          <w:p w14:paraId="0289D66B" w14:textId="3924F050" w:rsidR="00C744ED" w:rsidRPr="00E437C1" w:rsidRDefault="00C744ED" w:rsidP="00381ECF">
            <w:pPr>
              <w:pStyle w:val="HSpodbod"/>
            </w:pPr>
            <w:r>
              <w:t>Zvýšení flexibility a posílení role kapitálového trhu v </w:t>
            </w:r>
            <w:r w:rsidR="00B10552">
              <w:t xml:space="preserve">České republice </w:t>
            </w:r>
            <w:r>
              <w:t>a EU.</w:t>
            </w:r>
          </w:p>
          <w:p w14:paraId="2ED7A2BB" w14:textId="42A37856" w:rsidR="0023508B" w:rsidRPr="00E437C1" w:rsidRDefault="0023508B" w:rsidP="00381ECF">
            <w:pPr>
              <w:pStyle w:val="HSpodbod"/>
            </w:pPr>
            <w:r w:rsidRPr="00E437C1">
              <w:t>Další snížení administrativní zátěže a zkrácení povolovacích lhůt.</w:t>
            </w:r>
          </w:p>
          <w:p w14:paraId="218AB581" w14:textId="77777777" w:rsidR="0023508B" w:rsidRPr="00E437C1" w:rsidRDefault="0023508B" w:rsidP="008771B8">
            <w:pPr>
              <w:pStyle w:val="Nadpis3-mimoobsah"/>
              <w:rPr>
                <w:sz w:val="20"/>
                <w:szCs w:val="20"/>
              </w:rPr>
            </w:pPr>
          </w:p>
        </w:tc>
        <w:tc>
          <w:tcPr>
            <w:tcW w:w="4956" w:type="dxa"/>
          </w:tcPr>
          <w:p w14:paraId="6161D9F9" w14:textId="77777777" w:rsidR="0023508B" w:rsidRPr="00E437C1" w:rsidRDefault="0023508B" w:rsidP="00381ECF">
            <w:pPr>
              <w:pStyle w:val="HSNadpis5bezslovn"/>
            </w:pPr>
            <w:r w:rsidRPr="00E437C1">
              <w:t>Hrozby:</w:t>
            </w:r>
          </w:p>
          <w:p w14:paraId="01F40392" w14:textId="144C5A8E" w:rsidR="0023508B" w:rsidRPr="00E437C1" w:rsidRDefault="0023508B" w:rsidP="00381ECF">
            <w:pPr>
              <w:pStyle w:val="HSpodbod"/>
            </w:pPr>
            <w:r w:rsidRPr="00E437C1">
              <w:t>Ztráta ekonomického postavení EU v celosvětovém měřítku a přesun těžiště globálního rozvoje do jiných regionů.</w:t>
            </w:r>
          </w:p>
          <w:p w14:paraId="0939B0EA" w14:textId="503AAEDC" w:rsidR="0023508B" w:rsidRPr="00E437C1" w:rsidRDefault="0023508B" w:rsidP="00381ECF">
            <w:pPr>
              <w:pStyle w:val="HSpodbod"/>
            </w:pPr>
            <w:r w:rsidRPr="00E437C1">
              <w:t>Protekcionistické tendence a uzavírání trhu EU třetím zemím.</w:t>
            </w:r>
          </w:p>
          <w:p w14:paraId="0544AF52" w14:textId="19B9129F" w:rsidR="0023508B" w:rsidRPr="00E437C1" w:rsidRDefault="0023508B" w:rsidP="00381ECF">
            <w:pPr>
              <w:pStyle w:val="HSpodbod"/>
            </w:pPr>
            <w:r w:rsidRPr="00E437C1">
              <w:t xml:space="preserve">Eskalace mezinárodních konfliktů s ekonomickými dopady na </w:t>
            </w:r>
            <w:r w:rsidR="00B10552">
              <w:t>Českou republiku</w:t>
            </w:r>
            <w:r w:rsidRPr="00E437C1">
              <w:t>.</w:t>
            </w:r>
          </w:p>
          <w:p w14:paraId="37068AA3" w14:textId="04F41991" w:rsidR="0023508B" w:rsidRPr="00E437C1" w:rsidRDefault="0023508B" w:rsidP="00381ECF">
            <w:pPr>
              <w:pStyle w:val="HSpodbod"/>
            </w:pPr>
            <w:r w:rsidRPr="00E437C1">
              <w:t>Nárůst unijních regulací, rozmáhání dotačních a</w:t>
            </w:r>
            <w:r w:rsidR="00573D54">
              <w:t> </w:t>
            </w:r>
            <w:r w:rsidRPr="00E437C1">
              <w:t>nárokových nástrojů, neefektivní odvětvové regulace.</w:t>
            </w:r>
          </w:p>
          <w:p w14:paraId="11016018" w14:textId="77777777" w:rsidR="0023508B" w:rsidRPr="00E437C1" w:rsidRDefault="0023508B" w:rsidP="00381ECF">
            <w:pPr>
              <w:pStyle w:val="HSpodbod"/>
            </w:pPr>
            <w:r w:rsidRPr="00E437C1">
              <w:t>Odliv investic z České republiky kvůli opatřením v jiných státech na ochranu vlastní ekonomiky, zejména z USA, Číny a Indie, ale i větších států EU.</w:t>
            </w:r>
          </w:p>
          <w:p w14:paraId="7CD0333C" w14:textId="64AFD151" w:rsidR="0023508B" w:rsidRPr="00E437C1" w:rsidRDefault="0023508B" w:rsidP="00381ECF">
            <w:pPr>
              <w:pStyle w:val="HSpodbod"/>
            </w:pPr>
            <w:r w:rsidRPr="00E437C1">
              <w:t>Nezvládnutí přechodu na nízkouhlíkovou ekonomiku a pokles konkurenceschopnosti produktů na zahraničních trzích.</w:t>
            </w:r>
          </w:p>
        </w:tc>
      </w:tr>
    </w:tbl>
    <w:p w14:paraId="67C9AD20" w14:textId="77777777" w:rsidR="00D45A73" w:rsidRDefault="00D45A73">
      <w:pPr>
        <w:spacing w:after="200" w:line="276" w:lineRule="auto"/>
        <w:jc w:val="left"/>
        <w:rPr>
          <w:b/>
          <w:color w:val="004B8D" w:themeColor="text2"/>
          <w:kern w:val="2"/>
          <w:sz w:val="32"/>
          <w:szCs w:val="26"/>
        </w:rPr>
      </w:pPr>
      <w:bookmarkStart w:id="28" w:name="_Toc167264028"/>
      <w:r>
        <w:br w:type="page"/>
      </w:r>
    </w:p>
    <w:p w14:paraId="065F965C" w14:textId="7BFF6AF1" w:rsidR="0023508B" w:rsidRDefault="0023508B" w:rsidP="008A1D3E">
      <w:pPr>
        <w:pStyle w:val="HSNadpis3bezslovn"/>
      </w:pPr>
      <w:bookmarkStart w:id="29" w:name="_Toc174703066"/>
      <w:r>
        <w:lastRenderedPageBreak/>
        <w:t>Další významné analytické vstupy</w:t>
      </w:r>
      <w:bookmarkEnd w:id="28"/>
      <w:bookmarkEnd w:id="29"/>
    </w:p>
    <w:p w14:paraId="1C17E83E" w14:textId="77777777" w:rsidR="0023508B" w:rsidRDefault="0023508B" w:rsidP="0023508B">
      <w:pPr>
        <w:pStyle w:val="Text"/>
        <w:ind w:right="-1"/>
        <w:sectPr w:rsidR="0023508B" w:rsidSect="002234D9">
          <w:footerReference w:type="default" r:id="rId12"/>
          <w:headerReference w:type="first" r:id="rId13"/>
          <w:type w:val="continuous"/>
          <w:pgSz w:w="11906" w:h="16838"/>
          <w:pgMar w:top="1134" w:right="992" w:bottom="1134" w:left="992" w:header="709" w:footer="709" w:gutter="0"/>
          <w:cols w:space="708"/>
          <w:docGrid w:linePitch="360"/>
        </w:sectPr>
      </w:pPr>
    </w:p>
    <w:p w14:paraId="5C355B6D" w14:textId="570182B4" w:rsidR="0023508B" w:rsidRPr="006B2936" w:rsidRDefault="0023508B" w:rsidP="008A1D3E">
      <w:r w:rsidRPr="006B2936">
        <w:t xml:space="preserve">Hospodářský vývoj České republiky v posledních letech, klíčové strategické oblasti rozvoje a bariéry růstu nebo plánované a uskutečněné reformy jsou dále podrobněji popsány např. v </w:t>
      </w:r>
      <w:r w:rsidRPr="006B2936">
        <w:rPr>
          <w:rFonts w:cs="Arial"/>
        </w:rPr>
        <w:t>Strategickém rámci Česká republika 2030</w:t>
      </w:r>
      <w:r w:rsidRPr="006B2936">
        <w:rPr>
          <w:rStyle w:val="Odkaznavysvtlivky"/>
          <w:rFonts w:cs="Arial"/>
        </w:rPr>
        <w:endnoteReference w:id="10"/>
      </w:r>
      <w:r w:rsidRPr="006B2936">
        <w:rPr>
          <w:rFonts w:cs="Arial"/>
        </w:rPr>
        <w:t xml:space="preserve">, </w:t>
      </w:r>
      <w:r w:rsidRPr="006B2936">
        <w:t>ve Zprávách o kvalitě života a její udržitelnosti (1.</w:t>
      </w:r>
      <w:r w:rsidRPr="006B2936">
        <w:rPr>
          <w:rStyle w:val="Odkaznavysvtlivky"/>
        </w:rPr>
        <w:endnoteReference w:id="11"/>
      </w:r>
      <w:r w:rsidRPr="006B2936">
        <w:t xml:space="preserve"> a 2. zpráva</w:t>
      </w:r>
      <w:r w:rsidRPr="006B2936">
        <w:rPr>
          <w:rStyle w:val="Odkaznavysvtlivky"/>
        </w:rPr>
        <w:endnoteReference w:id="12"/>
      </w:r>
      <w:r w:rsidRPr="006B2936">
        <w:t>),</w:t>
      </w:r>
      <w:r w:rsidRPr="006B2936">
        <w:rPr>
          <w:rFonts w:cs="Arial"/>
        </w:rPr>
        <w:t xml:space="preserve"> v Inovační strategii České republiky 2019–2030</w:t>
      </w:r>
      <w:r w:rsidRPr="006B2936">
        <w:rPr>
          <w:rStyle w:val="Odkaznavysvtlivky"/>
          <w:rFonts w:cs="Arial"/>
        </w:rPr>
        <w:endnoteReference w:id="13"/>
      </w:r>
      <w:r w:rsidRPr="006B2936">
        <w:rPr>
          <w:rFonts w:cs="Arial"/>
        </w:rPr>
        <w:t>,</w:t>
      </w:r>
      <w:r>
        <w:rPr>
          <w:rFonts w:cs="Arial"/>
        </w:rPr>
        <w:t xml:space="preserve"> v N</w:t>
      </w:r>
      <w:r w:rsidRPr="005A3A9C">
        <w:rPr>
          <w:rFonts w:cs="Arial"/>
        </w:rPr>
        <w:t>árodní výzkumn</w:t>
      </w:r>
      <w:r>
        <w:rPr>
          <w:rFonts w:cs="Arial"/>
        </w:rPr>
        <w:t xml:space="preserve">é </w:t>
      </w:r>
      <w:r w:rsidRPr="005A3A9C">
        <w:rPr>
          <w:rFonts w:cs="Arial"/>
        </w:rPr>
        <w:t>a</w:t>
      </w:r>
      <w:r w:rsidR="00C86025">
        <w:rPr>
          <w:rFonts w:cs="Arial"/>
        </w:rPr>
        <w:t> </w:t>
      </w:r>
      <w:r w:rsidRPr="005A3A9C">
        <w:rPr>
          <w:rFonts w:cs="Arial"/>
        </w:rPr>
        <w:t>inovační strategi</w:t>
      </w:r>
      <w:r>
        <w:rPr>
          <w:rFonts w:cs="Arial"/>
        </w:rPr>
        <w:t xml:space="preserve">i </w:t>
      </w:r>
      <w:r w:rsidRPr="005A3A9C">
        <w:rPr>
          <w:rFonts w:cs="Arial"/>
        </w:rPr>
        <w:t xml:space="preserve">pro inteligentní specializaci </w:t>
      </w:r>
      <w:r>
        <w:rPr>
          <w:rFonts w:cs="Arial"/>
        </w:rPr>
        <w:t>Č</w:t>
      </w:r>
      <w:r w:rsidRPr="005A3A9C">
        <w:rPr>
          <w:rFonts w:cs="Arial"/>
        </w:rPr>
        <w:t>eské republiky 2021–2027</w:t>
      </w:r>
      <w:r>
        <w:rPr>
          <w:rStyle w:val="Odkaznavysvtlivky"/>
          <w:rFonts w:cs="Arial"/>
        </w:rPr>
        <w:endnoteReference w:id="14"/>
      </w:r>
      <w:r>
        <w:rPr>
          <w:rFonts w:cs="Arial"/>
        </w:rPr>
        <w:t>,</w:t>
      </w:r>
      <w:r w:rsidRPr="006B2936">
        <w:rPr>
          <w:rFonts w:cs="Arial"/>
        </w:rPr>
        <w:t xml:space="preserve"> ve </w:t>
      </w:r>
      <w:r w:rsidRPr="006B2936">
        <w:t>Zprávách o</w:t>
      </w:r>
      <w:r w:rsidR="00573D54">
        <w:t> </w:t>
      </w:r>
      <w:r w:rsidRPr="006B2936">
        <w:t>realizaci Národního programu reforem ČR (2022</w:t>
      </w:r>
      <w:r w:rsidRPr="006B2936">
        <w:rPr>
          <w:rStyle w:val="Odkaznavysvtlivky"/>
        </w:rPr>
        <w:endnoteReference w:id="15"/>
      </w:r>
      <w:r w:rsidRPr="006B2936">
        <w:t xml:space="preserve"> a</w:t>
      </w:r>
      <w:r w:rsidR="00573D54">
        <w:t> </w:t>
      </w:r>
      <w:r w:rsidRPr="006B2936">
        <w:t>2023</w:t>
      </w:r>
      <w:r w:rsidRPr="006B2936">
        <w:rPr>
          <w:rStyle w:val="Odkaznavysvtlivky"/>
        </w:rPr>
        <w:endnoteReference w:id="16"/>
      </w:r>
      <w:r w:rsidRPr="006B2936">
        <w:t>) nebo ve výsledcích mapování inovačních kapacit</w:t>
      </w:r>
      <w:r w:rsidRPr="006B2936">
        <w:rPr>
          <w:rStyle w:val="Odkaznavysvtlivky"/>
        </w:rPr>
        <w:endnoteReference w:id="17"/>
      </w:r>
      <w:r w:rsidRPr="006B2936">
        <w:t>. Zásadní strategické iniciativy, reformy a investice byly načrtnuté také v rámci Tezí Hospodářské strategie</w:t>
      </w:r>
      <w:r w:rsidRPr="006B2936">
        <w:rPr>
          <w:rStyle w:val="Odkaznavysvtlivky"/>
        </w:rPr>
        <w:endnoteReference w:id="18"/>
      </w:r>
      <w:r w:rsidRPr="006B2936">
        <w:t xml:space="preserve"> a</w:t>
      </w:r>
      <w:r w:rsidR="00C86025">
        <w:t> </w:t>
      </w:r>
      <w:r w:rsidR="008C2F9F">
        <w:t>v</w:t>
      </w:r>
      <w:r w:rsidR="00D45A73">
        <w:t> </w:t>
      </w:r>
      <w:r w:rsidRPr="006B2936">
        <w:t>Národní</w:t>
      </w:r>
      <w:r w:rsidR="008C2F9F">
        <w:t>m</w:t>
      </w:r>
      <w:r w:rsidRPr="006B2936">
        <w:t xml:space="preserve"> plánu obnovy</w:t>
      </w:r>
      <w:r w:rsidRPr="006B2936">
        <w:rPr>
          <w:rStyle w:val="Odkaznavysvtlivky"/>
        </w:rPr>
        <w:endnoteReference w:id="19"/>
      </w:r>
      <w:r w:rsidRPr="006B2936">
        <w:t>.</w:t>
      </w:r>
    </w:p>
    <w:p w14:paraId="06015AB0" w14:textId="77777777" w:rsidR="0023508B" w:rsidRDefault="0023508B" w:rsidP="008124B3">
      <w:pPr>
        <w:sectPr w:rsidR="0023508B" w:rsidSect="005A3A9C">
          <w:endnotePr>
            <w:numFmt w:val="decimal"/>
          </w:endnotePr>
          <w:type w:val="continuous"/>
          <w:pgSz w:w="11906" w:h="16838"/>
          <w:pgMar w:top="1134" w:right="992" w:bottom="1134" w:left="992" w:header="709" w:footer="709" w:gutter="0"/>
          <w:cols w:num="2" w:space="284"/>
          <w:docGrid w:linePitch="360"/>
        </w:sectPr>
      </w:pPr>
    </w:p>
    <w:p w14:paraId="7EAD1060" w14:textId="57927798" w:rsidR="0023508B" w:rsidRDefault="0023508B" w:rsidP="008A1D3E">
      <w:pPr>
        <w:pStyle w:val="HSNadpis3bezslovn"/>
      </w:pPr>
      <w:bookmarkStart w:id="30" w:name="_Toc167264029"/>
      <w:bookmarkStart w:id="31" w:name="_Toc174703067"/>
      <w:r>
        <w:t>Závěr</w:t>
      </w:r>
      <w:bookmarkEnd w:id="30"/>
      <w:r w:rsidR="00157041">
        <w:t>y analytické části</w:t>
      </w:r>
      <w:bookmarkEnd w:id="31"/>
    </w:p>
    <w:p w14:paraId="505A41FD" w14:textId="77777777" w:rsidR="0023508B" w:rsidRPr="00BB5751" w:rsidRDefault="0023508B" w:rsidP="0023508B">
      <w:pPr>
        <w:sectPr w:rsidR="0023508B" w:rsidRPr="00BB5751" w:rsidSect="002234D9">
          <w:type w:val="continuous"/>
          <w:pgSz w:w="11906" w:h="16838"/>
          <w:pgMar w:top="1134" w:right="992" w:bottom="1134" w:left="992" w:header="709" w:footer="709" w:gutter="0"/>
          <w:cols w:space="708"/>
          <w:docGrid w:linePitch="360"/>
        </w:sectPr>
      </w:pPr>
    </w:p>
    <w:p w14:paraId="3610E4AD" w14:textId="76B955F2" w:rsidR="00FB5C01" w:rsidRDefault="00FB5C01" w:rsidP="008A1D3E">
      <w:r>
        <w:t xml:space="preserve">Česká </w:t>
      </w:r>
      <w:r w:rsidR="00165C52">
        <w:t>ekonomika</w:t>
      </w:r>
      <w:r w:rsidRPr="00B44971">
        <w:t xml:space="preserve"> zaostává za průměrem EU v tvorbě HDP na obyvatele a produktivitě</w:t>
      </w:r>
      <w:r w:rsidR="00165C52">
        <w:t>, což</w:t>
      </w:r>
      <w:r w:rsidRPr="00B44971">
        <w:t xml:space="preserve"> může být důsledkem nedostatečného investování do inovací a výzkumu a vývoje</w:t>
      </w:r>
      <w:r>
        <w:t>.</w:t>
      </w:r>
    </w:p>
    <w:p w14:paraId="503BCD16" w14:textId="25AF86F0" w:rsidR="00B44971" w:rsidRDefault="00B44971" w:rsidP="008A1D3E">
      <w:r w:rsidRPr="002234D9">
        <w:t>Česká republika zůstává jednou z nejprůmyslovějších zemí Evropské unie s výrazným důrazem na zpracovatelský průmysl a automobilový sektor, což</w:t>
      </w:r>
      <w:r w:rsidR="00165C52">
        <w:t xml:space="preserve"> v současnosti</w:t>
      </w:r>
      <w:r w:rsidRPr="002234D9">
        <w:t xml:space="preserve"> poskytuje základ pro ekonomiku. Zároveň však zvyšuje závislost na globálních dodavatelských řetězcích a na poptávce po průmyslových výrobcích. Zahraniční společnosti hrají významnou roli ve vývoji ekonomiky, přinášejí kapitál, know-how a technologii. </w:t>
      </w:r>
      <w:r w:rsidR="00FB5C01">
        <w:t xml:space="preserve">Firmy pod zahraniční kontrolou </w:t>
      </w:r>
      <w:r w:rsidR="000A7719">
        <w:t xml:space="preserve">mají omezenou </w:t>
      </w:r>
      <w:r w:rsidRPr="002234D9">
        <w:t xml:space="preserve">autonomii </w:t>
      </w:r>
      <w:r w:rsidR="000A7719">
        <w:t>a nemohou rozhodovat o vlastní strategii</w:t>
      </w:r>
      <w:r>
        <w:t>.</w:t>
      </w:r>
    </w:p>
    <w:p w14:paraId="3D0A7B90" w14:textId="12718E0D" w:rsidR="0023508B" w:rsidRPr="002234D9" w:rsidRDefault="0023508B" w:rsidP="008A1D3E">
      <w:r w:rsidRPr="002234D9">
        <w:t>Česk</w:t>
      </w:r>
      <w:r w:rsidR="00FB5C01">
        <w:t>á republika</w:t>
      </w:r>
      <w:r w:rsidRPr="002234D9">
        <w:t xml:space="preserve"> se </w:t>
      </w:r>
      <w:r w:rsidR="00165C52">
        <w:t>řadí</w:t>
      </w:r>
      <w:r w:rsidRPr="002234D9">
        <w:t xml:space="preserve"> mezi středně inovativní ekonomiky s prostorem pro zlepšení, zejména ve spolupráci mezi veřejným a soukromým sektorem a</w:t>
      </w:r>
      <w:r w:rsidR="00FB5C01">
        <w:t> </w:t>
      </w:r>
      <w:r w:rsidRPr="002234D9">
        <w:t>v</w:t>
      </w:r>
      <w:r w:rsidR="00FB5C01">
        <w:t> </w:t>
      </w:r>
      <w:r w:rsidRPr="002234D9">
        <w:t>investicích do výzkumu a vývoje. Zvyšování inovační kapacity by mohlo posílit konkurenceschopnost a</w:t>
      </w:r>
      <w:r w:rsidR="00FB5C01">
        <w:t> </w:t>
      </w:r>
      <w:r w:rsidRPr="002234D9">
        <w:t xml:space="preserve">umožnit ekonomice lépe reagovat na technologické změny. </w:t>
      </w:r>
      <w:r w:rsidR="005D23FD">
        <w:t xml:space="preserve">V souvislosti s </w:t>
      </w:r>
      <w:r w:rsidRPr="002234D9">
        <w:t>nízkou nezaměstnanost</w:t>
      </w:r>
      <w:r w:rsidR="005D23FD">
        <w:t>í</w:t>
      </w:r>
      <w:r w:rsidRPr="002234D9">
        <w:t xml:space="preserve"> čelí Česká republika nedostatku kvalifikované pracovní síly, což </w:t>
      </w:r>
      <w:r w:rsidR="00165C52">
        <w:t>brzdí</w:t>
      </w:r>
      <w:r w:rsidRPr="002234D9">
        <w:t xml:space="preserve"> </w:t>
      </w:r>
      <w:r w:rsidR="008C2F9F">
        <w:t xml:space="preserve">její </w:t>
      </w:r>
      <w:r w:rsidRPr="002234D9">
        <w:t>růst. Flexibilita pracovního trhu a přilákání talent</w:t>
      </w:r>
      <w:r w:rsidR="00F44F81">
        <w:t>ů</w:t>
      </w:r>
      <w:r w:rsidRPr="002234D9">
        <w:t xml:space="preserve"> zvenčí by mohlo pomoci zmírnit tento problém.</w:t>
      </w:r>
    </w:p>
    <w:p w14:paraId="5633071F" w14:textId="1A3E1851" w:rsidR="0023508B" w:rsidRDefault="0023508B" w:rsidP="006E2ADA">
      <w:r w:rsidRPr="002234D9">
        <w:t>Vysoká materiálová a energetická náročnost ekonomiky je výzvou v kontextu rostoucího důrazu na udržitelnost. Přechod k zelenějším a efektivnějším technologiím by mohl přinést nejen ekologické, ale i</w:t>
      </w:r>
      <w:r w:rsidR="00F91900">
        <w:t> </w:t>
      </w:r>
      <w:r w:rsidRPr="002234D9">
        <w:t xml:space="preserve">ekonomické výhody. Velká otevřenost ekonomiky světovému obchodu přináší příležitosti i rizika. </w:t>
      </w:r>
      <w:r w:rsidRPr="002234D9">
        <w:t>Diversifikace exportních</w:t>
      </w:r>
      <w:r w:rsidR="00165C52">
        <w:t xml:space="preserve"> a importních</w:t>
      </w:r>
      <w:r w:rsidRPr="002234D9">
        <w:t xml:space="preserve"> trhů a podpora sektorů s vyšší přidanou hodnotou by mohla zvýšit odolnost proti vnějším šokům.</w:t>
      </w:r>
    </w:p>
    <w:p w14:paraId="279FEA5B" w14:textId="6505854B" w:rsidR="00B44971" w:rsidRPr="002234D9" w:rsidRDefault="00B44971" w:rsidP="008A1D3E">
      <w:r>
        <w:t>Če</w:t>
      </w:r>
      <w:r w:rsidRPr="00B44971">
        <w:t>ská republika má v porovnání s jinými zeměmi</w:t>
      </w:r>
      <w:r w:rsidR="00165C52">
        <w:t xml:space="preserve"> nižší veřejné zadlužení</w:t>
      </w:r>
      <w:r w:rsidRPr="00B44971">
        <w:t xml:space="preserve">, avšak </w:t>
      </w:r>
      <w:r w:rsidR="00165C52" w:rsidRPr="00B44971">
        <w:t xml:space="preserve">jeho dynamika </w:t>
      </w:r>
      <w:r w:rsidR="00165C52">
        <w:t>po roce 2019 nebývale vzrostla</w:t>
      </w:r>
      <w:r w:rsidR="00165C52" w:rsidRPr="00B44971">
        <w:t xml:space="preserve">. </w:t>
      </w:r>
      <w:r w:rsidR="00165C52">
        <w:t>Rovněž úroveň zadlužení není doposud výrazněji dotčena stárnutím populace a dalšími negativními trendy.</w:t>
      </w:r>
      <w:r w:rsidRPr="00B44971">
        <w:t xml:space="preserve"> </w:t>
      </w:r>
    </w:p>
    <w:p w14:paraId="7EA518DC" w14:textId="4CD6C38D" w:rsidR="0023508B" w:rsidRPr="002234D9" w:rsidRDefault="00F816F6" w:rsidP="008A1D3E">
      <w:r>
        <w:t>D</w:t>
      </w:r>
      <w:r w:rsidR="0023508B" w:rsidRPr="002234D9">
        <w:t>ůraz na podporu inovací, technologický rozvoj a</w:t>
      </w:r>
      <w:r w:rsidR="00573D54">
        <w:t> </w:t>
      </w:r>
      <w:r w:rsidR="0023508B" w:rsidRPr="002234D9">
        <w:t>diverzifikaci ekonomické struktury by mohl výrazně přispět k zvyšování celkové konkurenceschopnosti země. Zásadní je také zaměření na udržitelný růst a</w:t>
      </w:r>
      <w:r w:rsidR="00FB5C01">
        <w:t> </w:t>
      </w:r>
      <w:r w:rsidR="0023508B" w:rsidRPr="002234D9">
        <w:t>efektivnější využí</w:t>
      </w:r>
      <w:r>
        <w:t>vání</w:t>
      </w:r>
      <w:r w:rsidR="0023508B" w:rsidRPr="002234D9">
        <w:t xml:space="preserve"> zdrojů, což může otevřít nové možnosti ve světle rostoucích globálních trendů k</w:t>
      </w:r>
      <w:r w:rsidR="00FB5C01">
        <w:t> </w:t>
      </w:r>
      <w:r w:rsidR="0023508B" w:rsidRPr="002234D9">
        <w:t>ekologické udržitelnosti. Strategie by měla rovněž zohlednit potřebu zlepšit podmínky pro domácí i zahraniční podnikání s cílem přilákat investice do</w:t>
      </w:r>
      <w:r w:rsidR="00FB5C01">
        <w:t> </w:t>
      </w:r>
      <w:r w:rsidR="0023508B" w:rsidRPr="002234D9">
        <w:t xml:space="preserve">vyspělejších a technologicky náročnějších </w:t>
      </w:r>
      <w:r w:rsidR="008C2F9F">
        <w:t>odvětvích</w:t>
      </w:r>
      <w:r w:rsidR="0023508B" w:rsidRPr="002234D9">
        <w:t>, které jsou schopné generovat vyšší přidanou hodnotu.</w:t>
      </w:r>
    </w:p>
    <w:p w14:paraId="51AFBEC8" w14:textId="0E1CC35A" w:rsidR="00270A5B" w:rsidRDefault="008C2F9F" w:rsidP="006E2ADA">
      <w:r>
        <w:t>U</w:t>
      </w:r>
      <w:r w:rsidR="0023508B" w:rsidRPr="002234D9">
        <w:t xml:space="preserve">kazuje </w:t>
      </w:r>
      <w:r>
        <w:t>se, že je</w:t>
      </w:r>
      <w:r w:rsidR="0023508B" w:rsidRPr="002234D9">
        <w:t xml:space="preserve"> klíčové zachovat dynamické a konkurenceschopné podnikatelské prostředí, které podporuje efektivní alokaci zdrojů a stimuluje firmy k</w:t>
      </w:r>
      <w:r w:rsidR="00FB5C01">
        <w:t> </w:t>
      </w:r>
      <w:r w:rsidR="0023508B" w:rsidRPr="002234D9">
        <w:t>neustálému zlepšování služeb a</w:t>
      </w:r>
      <w:r w:rsidR="00573D54">
        <w:t> </w:t>
      </w:r>
      <w:r w:rsidR="0023508B" w:rsidRPr="002234D9">
        <w:t xml:space="preserve">produktů. Udržení rovných podmínek pro všechny účastníky trhu zaručuje, že jak domácí, tak zahraniční investoři mají spravedlivé příležitosti pro růst ve stávajících i nových </w:t>
      </w:r>
      <w:r>
        <w:t>odvětvích</w:t>
      </w:r>
      <w:r w:rsidR="0023508B" w:rsidRPr="002234D9">
        <w:t>. Spravedlivé a stabilní podnikatelské prostředí nejen podporuje investice, ale také posiluje celkovou produktivitu a konkurenceschopnost ekonomiky</w:t>
      </w:r>
      <w:r w:rsidR="00D43D26">
        <w:t>.</w:t>
      </w:r>
    </w:p>
    <w:p w14:paraId="1EB79FA4" w14:textId="4D24B43F" w:rsidR="0023508B" w:rsidRPr="00BB5751" w:rsidRDefault="0023508B" w:rsidP="0023508B">
      <w:pPr>
        <w:sectPr w:rsidR="0023508B" w:rsidRPr="00BB5751" w:rsidSect="006B2936">
          <w:type w:val="continuous"/>
          <w:pgSz w:w="11906" w:h="16838"/>
          <w:pgMar w:top="1134" w:right="992" w:bottom="1134" w:left="992" w:header="709" w:footer="709" w:gutter="0"/>
          <w:cols w:num="2" w:space="282"/>
          <w:docGrid w:linePitch="360"/>
        </w:sectPr>
      </w:pPr>
    </w:p>
    <w:p w14:paraId="49A60E60" w14:textId="36B9DF6C" w:rsidR="002B6B23" w:rsidRPr="00301991" w:rsidRDefault="00F63CBF" w:rsidP="00F63CBF">
      <w:pPr>
        <w:pStyle w:val="HSPlohaslovn"/>
        <w:numPr>
          <w:ilvl w:val="0"/>
          <w:numId w:val="0"/>
        </w:numPr>
      </w:pPr>
      <w:bookmarkStart w:id="32" w:name="_Toc174703068"/>
      <w:r w:rsidRPr="00D67550">
        <w:rPr>
          <w:noProof/>
          <w:lang w:eastAsia="cs-CZ"/>
        </w:rPr>
        <w:lastRenderedPageBreak/>
        <mc:AlternateContent>
          <mc:Choice Requires="wps">
            <w:drawing>
              <wp:anchor distT="151130" distB="151130" distL="114300" distR="114300" simplePos="0" relativeHeight="251805696" behindDoc="0" locked="0" layoutInCell="1" allowOverlap="1" wp14:anchorId="1D2E1CFB" wp14:editId="4FAE7F5E">
                <wp:simplePos x="0" y="0"/>
                <wp:positionH relativeFrom="margin">
                  <wp:align>right</wp:align>
                </wp:positionH>
                <wp:positionV relativeFrom="margin">
                  <wp:posOffset>3526071</wp:posOffset>
                </wp:positionV>
                <wp:extent cx="3070225" cy="2453640"/>
                <wp:effectExtent l="0" t="0" r="0" b="3810"/>
                <wp:wrapSquare wrapText="bothSides"/>
                <wp:docPr id="82"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70225" cy="2453640"/>
                        </a:xfrm>
                        <a:prstGeom prst="rect">
                          <a:avLst/>
                        </a:prstGeom>
                        <a:noFill/>
                        <a:ln w="9525">
                          <a:noFill/>
                          <a:miter lim="800000"/>
                          <a:headEnd/>
                          <a:tailEnd/>
                        </a:ln>
                      </wps:spPr>
                      <wps:txbx>
                        <w:txbxContent>
                          <w:p w14:paraId="3D6D22BC" w14:textId="77777777" w:rsidR="002B6B23" w:rsidRDefault="002B6B23" w:rsidP="00301991">
                            <w:pPr>
                              <w:pStyle w:val="Bezmezer"/>
                            </w:pPr>
                            <w:r>
                              <w:t>Dekompozice HDP na obyvatele</w:t>
                            </w:r>
                          </w:p>
                          <w:p w14:paraId="1EDA5DD1" w14:textId="77777777" w:rsidR="002B6B23" w:rsidRPr="00F27429" w:rsidRDefault="002B6B23" w:rsidP="002B6B23">
                            <w:pPr>
                              <w:pStyle w:val="Bezmezer"/>
                              <w:keepNext/>
                              <w:widowControl w:val="0"/>
                              <w:pBdr>
                                <w:bottom w:val="single" w:sz="4" w:space="1" w:color="auto"/>
                              </w:pBdr>
                              <w:rPr>
                                <w:kern w:val="2"/>
                                <w:sz w:val="12"/>
                                <w:szCs w:val="8"/>
                              </w:rPr>
                            </w:pPr>
                            <w:r w:rsidRPr="00F27429">
                              <w:rPr>
                                <w:kern w:val="2"/>
                                <w:sz w:val="16"/>
                                <w:szCs w:val="12"/>
                              </w:rPr>
                              <w:t>(rozdíl oproti průměru OECD</w:t>
                            </w:r>
                            <w:r>
                              <w:rPr>
                                <w:kern w:val="2"/>
                                <w:sz w:val="16"/>
                                <w:szCs w:val="12"/>
                              </w:rPr>
                              <w:t xml:space="preserve"> v p. b.</w:t>
                            </w:r>
                            <w:r w:rsidRPr="00F27429">
                              <w:rPr>
                                <w:kern w:val="2"/>
                                <w:sz w:val="16"/>
                                <w:szCs w:val="12"/>
                              </w:rPr>
                              <w:t>)</w:t>
                            </w:r>
                          </w:p>
                          <w:p w14:paraId="3A4DD465" w14:textId="77777777" w:rsidR="002B6B23" w:rsidRPr="003514B1" w:rsidRDefault="002B6B23" w:rsidP="002B6B23">
                            <w:pPr>
                              <w:pStyle w:val="Bezmezer"/>
                              <w:keepNext/>
                              <w:widowControl w:val="0"/>
                              <w:rPr>
                                <w:kern w:val="2"/>
                                <w:sz w:val="18"/>
                                <w:szCs w:val="16"/>
                              </w:rPr>
                            </w:pPr>
                            <w:r>
                              <w:rPr>
                                <w:noProof/>
                              </w:rPr>
                              <w:drawing>
                                <wp:inline distT="0" distB="0" distL="0" distR="0" wp14:anchorId="3DB0CBD5" wp14:editId="783AFF42">
                                  <wp:extent cx="3059430" cy="2286000"/>
                                  <wp:effectExtent l="0" t="0" r="7620" b="0"/>
                                  <wp:docPr id="4" name="Graf 4">
                                    <a:extLst xmlns:a="http://schemas.openxmlformats.org/drawingml/2006/main">
                                      <a:ext uri="{FF2B5EF4-FFF2-40B4-BE49-F238E27FC236}">
                                        <a16:creationId xmlns:a16="http://schemas.microsoft.com/office/drawing/2014/main" id="{FB550562-2BCB-4E1B-9841-818F9E26D77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56DA0CBE" w14:textId="77777777" w:rsidR="002B6B23" w:rsidRDefault="002B6B23" w:rsidP="002B6B23">
                            <w:pPr>
                              <w:widowControl w:val="0"/>
                              <w:pBdr>
                                <w:top w:val="single" w:sz="4" w:space="1" w:color="auto"/>
                              </w:pBdr>
                              <w:spacing w:after="0"/>
                              <w:rPr>
                                <w:kern w:val="2"/>
                                <w:sz w:val="14"/>
                                <w:szCs w:val="16"/>
                              </w:rPr>
                            </w:pPr>
                            <w:r w:rsidRPr="007B5A7A">
                              <w:rPr>
                                <w:kern w:val="2"/>
                                <w:sz w:val="14"/>
                                <w:szCs w:val="16"/>
                              </w:rPr>
                              <w:t xml:space="preserve">Pramen: </w:t>
                            </w:r>
                            <w:r>
                              <w:rPr>
                                <w:kern w:val="2"/>
                                <w:sz w:val="14"/>
                                <w:szCs w:val="16"/>
                              </w:rPr>
                              <w:t>data OECD;</w:t>
                            </w:r>
                            <w:r w:rsidRPr="007B5A7A">
                              <w:rPr>
                                <w:kern w:val="2"/>
                                <w:sz w:val="14"/>
                                <w:szCs w:val="16"/>
                              </w:rPr>
                              <w:t xml:space="preserve"> graf</w:t>
                            </w:r>
                            <w:r>
                              <w:rPr>
                                <w:kern w:val="2"/>
                                <w:sz w:val="14"/>
                                <w:szCs w:val="16"/>
                              </w:rPr>
                              <w:t xml:space="preserve"> MPO</w:t>
                            </w:r>
                          </w:p>
                        </w:txbxContent>
                      </wps:txbx>
                      <wps:bodyPr rot="0" vert="horz" wrap="square" lIns="0" tIns="0" rIns="0" bIns="0" anchor="t" anchorCtr="0">
                        <a:spAutoFit/>
                      </wps:bodyPr>
                    </wps:wsp>
                  </a:graphicData>
                </a:graphic>
                <wp14:sizeRelH relativeFrom="margin">
                  <wp14:pctWidth>0</wp14:pctWidth>
                </wp14:sizeRelH>
                <wp14:sizeRelV relativeFrom="margin">
                  <wp14:pctHeight>0</wp14:pctHeight>
                </wp14:sizeRelV>
              </wp:anchor>
            </w:drawing>
          </mc:Choice>
          <mc:Fallback>
            <w:pict>
              <v:shape w14:anchorId="1D2E1CFB" id="_x0000_s1027" type="#_x0000_t202" style="position:absolute;margin-left:190.55pt;margin-top:277.65pt;width:241.75pt;height:193.2pt;z-index:251805696;visibility:visible;mso-wrap-style:square;mso-width-percent:0;mso-height-percent:0;mso-wrap-distance-left:9pt;mso-wrap-distance-top:11.9pt;mso-wrap-distance-right:9pt;mso-wrap-distance-bottom:11.9pt;mso-position-horizontal:right;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" filled="f" stroked="f">
                <v:textbox style="mso-fit-shape-to-text:t" inset="0,0,0,0">
                  <w:txbxContent>
                    <w:p w14:paraId="3D6D22BC" w14:textId="77777777" w:rsidR="002B6B23" w:rsidRDefault="002B6B23" w:rsidP="00301991">
                      <w:pPr>
                        <w:pStyle w:val="Bezmezer"/>
                      </w:pPr>
                      <w:r>
                        <w:t>Dekompozice HDP na obyvatele</w:t>
                      </w:r>
                    </w:p>
                    <w:p w14:paraId="1EDA5DD1" w14:textId="77777777" w:rsidR="002B6B23" w:rsidRPr="00F27429" w:rsidRDefault="002B6B23" w:rsidP="002B6B23">
                      <w:pPr>
                        <w:pStyle w:val="Bezmezer"/>
                        <w:keepNext/>
                        <w:widowControl w:val="0"/>
                        <w:pBdr>
                          <w:bottom w:val="single" w:sz="4" w:space="1" w:color="auto"/>
                        </w:pBdr>
                        <w:rPr>
                          <w:kern w:val="2"/>
                          <w:sz w:val="12"/>
                          <w:szCs w:val="8"/>
                        </w:rPr>
                      </w:pPr>
                      <w:r w:rsidRPr="00F27429">
                        <w:rPr>
                          <w:kern w:val="2"/>
                          <w:sz w:val="16"/>
                          <w:szCs w:val="12"/>
                        </w:rPr>
                        <w:t>(rozdíl oproti průměru OECD</w:t>
                      </w:r>
                      <w:r>
                        <w:rPr>
                          <w:kern w:val="2"/>
                          <w:sz w:val="16"/>
                          <w:szCs w:val="12"/>
                        </w:rPr>
                        <w:t xml:space="preserve"> v p. b.</w:t>
                      </w:r>
                      <w:r w:rsidRPr="00F27429">
                        <w:rPr>
                          <w:kern w:val="2"/>
                          <w:sz w:val="16"/>
                          <w:szCs w:val="12"/>
                        </w:rPr>
                        <w:t>)</w:t>
                      </w:r>
                    </w:p>
                    <w:p w14:paraId="3A4DD465" w14:textId="77777777" w:rsidR="002B6B23" w:rsidRPr="003514B1" w:rsidRDefault="002B6B23" w:rsidP="002B6B23">
                      <w:pPr>
                        <w:pStyle w:val="Bezmezer"/>
                        <w:keepNext/>
                        <w:widowControl w:val="0"/>
                        <w:rPr>
                          <w:kern w:val="2"/>
                          <w:sz w:val="18"/>
                          <w:szCs w:val="16"/>
                        </w:rPr>
                      </w:pPr>
                      <w:r>
                        <w:rPr>
                          <w:noProof/>
                        </w:rPr>
                        <w:drawing>
                          <wp:inline distT="0" distB="0" distL="0" distR="0" wp14:anchorId="3DB0CBD5" wp14:editId="783AFF42">
                            <wp:extent cx="3059430" cy="2286000"/>
                            <wp:effectExtent l="0" t="0" r="7620" b="0"/>
                            <wp:docPr id="4" name="Graf 4">
                              <a:extLst xmlns:a="http://schemas.openxmlformats.org/drawingml/2006/main">
                                <a:ext uri="{FF2B5EF4-FFF2-40B4-BE49-F238E27FC236}">
                                  <a16:creationId xmlns:a16="http://schemas.microsoft.com/office/drawing/2014/main" id="{FB550562-2BCB-4E1B-9841-818F9E26D77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56DA0CBE" w14:textId="77777777" w:rsidR="002B6B23" w:rsidRDefault="002B6B23" w:rsidP="002B6B23">
                      <w:pPr>
                        <w:widowControl w:val="0"/>
                        <w:pBdr>
                          <w:top w:val="single" w:sz="4" w:space="1" w:color="auto"/>
                        </w:pBdr>
                        <w:spacing w:after="0"/>
                        <w:rPr>
                          <w:kern w:val="2"/>
                          <w:sz w:val="14"/>
                          <w:szCs w:val="16"/>
                        </w:rPr>
                      </w:pPr>
                      <w:r w:rsidRPr="007B5A7A">
                        <w:rPr>
                          <w:kern w:val="2"/>
                          <w:sz w:val="14"/>
                          <w:szCs w:val="16"/>
                        </w:rPr>
                        <w:t xml:space="preserve">Pramen: </w:t>
                      </w:r>
                      <w:r>
                        <w:rPr>
                          <w:kern w:val="2"/>
                          <w:sz w:val="14"/>
                          <w:szCs w:val="16"/>
                        </w:rPr>
                        <w:t>data OECD;</w:t>
                      </w:r>
                      <w:r w:rsidRPr="007B5A7A">
                        <w:rPr>
                          <w:kern w:val="2"/>
                          <w:sz w:val="14"/>
                          <w:szCs w:val="16"/>
                        </w:rPr>
                        <w:t xml:space="preserve"> graf</w:t>
                      </w:r>
                      <w:r>
                        <w:rPr>
                          <w:kern w:val="2"/>
                          <w:sz w:val="14"/>
                          <w:szCs w:val="16"/>
                        </w:rPr>
                        <w:t xml:space="preserve"> MPO</w:t>
                      </w:r>
                    </w:p>
                  </w:txbxContent>
                </v:textbox>
                <w10:wrap type="square" anchorx="margin" anchory="margin"/>
              </v:shape>
            </w:pict>
          </mc:Fallback>
        </mc:AlternateContent>
      </w:r>
      <w:r w:rsidRPr="00D67550">
        <w:rPr>
          <w:noProof/>
          <w:lang w:eastAsia="cs-CZ"/>
        </w:rPr>
        <mc:AlternateContent>
          <mc:Choice Requires="wps">
            <w:drawing>
              <wp:anchor distT="151130" distB="151130" distL="114300" distR="114300" simplePos="0" relativeHeight="251803648" behindDoc="0" locked="0" layoutInCell="1" allowOverlap="1" wp14:anchorId="4C3B906B" wp14:editId="1481EB2C">
                <wp:simplePos x="0" y="0"/>
                <wp:positionH relativeFrom="margin">
                  <wp:align>right</wp:align>
                </wp:positionH>
                <wp:positionV relativeFrom="margin">
                  <wp:posOffset>603849</wp:posOffset>
                </wp:positionV>
                <wp:extent cx="3059430" cy="2803525"/>
                <wp:effectExtent l="0" t="0" r="7620" b="0"/>
                <wp:wrapSquare wrapText="bothSides"/>
                <wp:docPr id="83"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59430" cy="2803525"/>
                        </a:xfrm>
                        <a:prstGeom prst="rect">
                          <a:avLst/>
                        </a:prstGeom>
                        <a:noFill/>
                        <a:ln w="9525">
                          <a:noFill/>
                          <a:miter lim="800000"/>
                          <a:headEnd/>
                          <a:tailEnd/>
                        </a:ln>
                      </wps:spPr>
                      <wps:txbx>
                        <w:txbxContent>
                          <w:p w14:paraId="0BEE96E1" w14:textId="77777777" w:rsidR="002B6B23" w:rsidRDefault="002B6B23" w:rsidP="00301991">
                            <w:pPr>
                              <w:pStyle w:val="Bezmezer"/>
                            </w:pPr>
                            <w:r w:rsidRPr="00B21E2F">
                              <w:t>Příspěvky odvětví k růstu hrubé přidané hodnoty</w:t>
                            </w:r>
                          </w:p>
                          <w:p w14:paraId="5B1EECA9" w14:textId="77777777" w:rsidR="002B6B23" w:rsidRPr="00C872A3" w:rsidRDefault="002B6B23" w:rsidP="002B6B23">
                            <w:pPr>
                              <w:pStyle w:val="Bezmezer"/>
                              <w:keepNext/>
                              <w:widowControl w:val="0"/>
                              <w:pBdr>
                                <w:bottom w:val="single" w:sz="4" w:space="1" w:color="auto"/>
                              </w:pBdr>
                              <w:rPr>
                                <w:kern w:val="2"/>
                                <w:szCs w:val="16"/>
                              </w:rPr>
                            </w:pPr>
                            <w:r>
                              <w:rPr>
                                <w:kern w:val="2"/>
                                <w:sz w:val="16"/>
                                <w:szCs w:val="12"/>
                              </w:rPr>
                              <w:t>(stálé ceny, p. b., HPH v %)</w:t>
                            </w:r>
                          </w:p>
                          <w:p w14:paraId="4C69EEB4" w14:textId="77777777" w:rsidR="002B6B23" w:rsidRPr="003514B1" w:rsidRDefault="002B6B23" w:rsidP="002B6B23">
                            <w:pPr>
                              <w:pStyle w:val="Bezmezer"/>
                              <w:keepNext/>
                              <w:widowControl w:val="0"/>
                              <w:rPr>
                                <w:kern w:val="2"/>
                                <w:sz w:val="18"/>
                                <w:szCs w:val="16"/>
                              </w:rPr>
                            </w:pPr>
                            <w:r>
                              <w:rPr>
                                <w:noProof/>
                                <w:lang w:eastAsia="cs-CZ"/>
                              </w:rPr>
                              <w:drawing>
                                <wp:inline distT="0" distB="0" distL="0" distR="0" wp14:anchorId="0FAC8894" wp14:editId="6900469E">
                                  <wp:extent cx="3050540" cy="2354580"/>
                                  <wp:effectExtent l="0" t="0" r="0" b="7620"/>
                                  <wp:docPr id="6" name="Graf 6">
                                    <a:extLst xmlns:a="http://schemas.openxmlformats.org/drawingml/2006/main">
                                      <a:ext uri="{FF2B5EF4-FFF2-40B4-BE49-F238E27FC236}">
                                        <a16:creationId xmlns:a16="http://schemas.microsoft.com/office/drawing/2014/main" id="{9B80011B-8613-4949-A594-A11697CEC1C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16F74B08" w14:textId="77777777" w:rsidR="002B6B23" w:rsidRDefault="002B6B23" w:rsidP="002B6B23">
                            <w:pPr>
                              <w:widowControl w:val="0"/>
                              <w:pBdr>
                                <w:top w:val="single" w:sz="4" w:space="1" w:color="auto"/>
                              </w:pBdr>
                              <w:spacing w:after="0"/>
                              <w:rPr>
                                <w:kern w:val="2"/>
                                <w:sz w:val="14"/>
                                <w:szCs w:val="16"/>
                              </w:rPr>
                            </w:pPr>
                            <w:r w:rsidRPr="007B5A7A">
                              <w:rPr>
                                <w:kern w:val="2"/>
                                <w:sz w:val="14"/>
                                <w:szCs w:val="16"/>
                              </w:rPr>
                              <w:t>Pramen: data</w:t>
                            </w:r>
                            <w:r>
                              <w:rPr>
                                <w:kern w:val="2"/>
                                <w:sz w:val="14"/>
                                <w:szCs w:val="16"/>
                              </w:rPr>
                              <w:t xml:space="preserve"> ČNB;</w:t>
                            </w:r>
                            <w:r w:rsidRPr="007B5A7A">
                              <w:rPr>
                                <w:kern w:val="2"/>
                                <w:sz w:val="14"/>
                                <w:szCs w:val="16"/>
                              </w:rPr>
                              <w:t xml:space="preserve"> graf</w:t>
                            </w:r>
                            <w:r>
                              <w:rPr>
                                <w:kern w:val="2"/>
                                <w:sz w:val="14"/>
                                <w:szCs w:val="16"/>
                              </w:rPr>
                              <w:t xml:space="preserve"> MPO</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4C3B906B" id="_x0000_s1028" type="#_x0000_t202" style="position:absolute;margin-left:189.7pt;margin-top:47.55pt;width:240.9pt;height:220.75pt;z-index:251803648;visibility:visible;mso-wrap-style:square;mso-width-percent:0;mso-height-percent:0;mso-wrap-distance-left:9pt;mso-wrap-distance-top:11.9pt;mso-wrap-distance-right:9pt;mso-wrap-distance-bottom:11.9pt;mso-position-horizontal:right;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" filled="f" stroked="f">
                <v:textbox inset="0,0,0,0">
                  <w:txbxContent>
                    <w:p w14:paraId="0BEE96E1" w14:textId="77777777" w:rsidR="002B6B23" w:rsidRDefault="002B6B23" w:rsidP="00301991">
                      <w:pPr>
                        <w:pStyle w:val="Bezmezer"/>
                      </w:pPr>
                      <w:r w:rsidRPr="00B21E2F">
                        <w:t>Příspěvky odvětví k růstu hrubé přidané hodnoty</w:t>
                      </w:r>
                    </w:p>
                    <w:p w14:paraId="5B1EECA9" w14:textId="77777777" w:rsidR="002B6B23" w:rsidRPr="00C872A3" w:rsidRDefault="002B6B23" w:rsidP="002B6B23">
                      <w:pPr>
                        <w:pStyle w:val="Bezmezer"/>
                        <w:keepNext/>
                        <w:widowControl w:val="0"/>
                        <w:pBdr>
                          <w:bottom w:val="single" w:sz="4" w:space="1" w:color="auto"/>
                        </w:pBdr>
                        <w:rPr>
                          <w:kern w:val="2"/>
                          <w:szCs w:val="16"/>
                        </w:rPr>
                      </w:pPr>
                      <w:r>
                        <w:rPr>
                          <w:kern w:val="2"/>
                          <w:sz w:val="16"/>
                          <w:szCs w:val="12"/>
                        </w:rPr>
                        <w:t>(stálé ceny, p. b., HPH v %)</w:t>
                      </w:r>
                    </w:p>
                    <w:p w14:paraId="4C69EEB4" w14:textId="77777777" w:rsidR="002B6B23" w:rsidRPr="003514B1" w:rsidRDefault="002B6B23" w:rsidP="002B6B23">
                      <w:pPr>
                        <w:pStyle w:val="Bezmezer"/>
                        <w:keepNext/>
                        <w:widowControl w:val="0"/>
                        <w:rPr>
                          <w:kern w:val="2"/>
                          <w:sz w:val="18"/>
                          <w:szCs w:val="16"/>
                        </w:rPr>
                      </w:pPr>
                      <w:r>
                        <w:rPr>
                          <w:noProof/>
                          <w:lang w:eastAsia="cs-CZ"/>
                        </w:rPr>
                        <w:drawing>
                          <wp:inline distT="0" distB="0" distL="0" distR="0" wp14:anchorId="0FAC8894" wp14:editId="6900469E">
                            <wp:extent cx="3050540" cy="2354580"/>
                            <wp:effectExtent l="0" t="0" r="0" b="7620"/>
                            <wp:docPr id="6" name="Graf 6">
                              <a:extLst xmlns:a="http://schemas.openxmlformats.org/drawingml/2006/main">
                                <a:ext uri="{FF2B5EF4-FFF2-40B4-BE49-F238E27FC236}">
                                  <a16:creationId xmlns:a16="http://schemas.microsoft.com/office/drawing/2014/main" id="{9B80011B-8613-4949-A594-A11697CEC1C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16F74B08" w14:textId="77777777" w:rsidR="002B6B23" w:rsidRDefault="002B6B23" w:rsidP="002B6B23">
                      <w:pPr>
                        <w:widowControl w:val="0"/>
                        <w:pBdr>
                          <w:top w:val="single" w:sz="4" w:space="1" w:color="auto"/>
                        </w:pBdr>
                        <w:spacing w:after="0"/>
                        <w:rPr>
                          <w:kern w:val="2"/>
                          <w:sz w:val="14"/>
                          <w:szCs w:val="16"/>
                        </w:rPr>
                      </w:pPr>
                      <w:r w:rsidRPr="007B5A7A">
                        <w:rPr>
                          <w:kern w:val="2"/>
                          <w:sz w:val="14"/>
                          <w:szCs w:val="16"/>
                        </w:rPr>
                        <w:t>Pramen: data</w:t>
                      </w:r>
                      <w:r>
                        <w:rPr>
                          <w:kern w:val="2"/>
                          <w:sz w:val="14"/>
                          <w:szCs w:val="16"/>
                        </w:rPr>
                        <w:t xml:space="preserve"> ČNB;</w:t>
                      </w:r>
                      <w:r w:rsidRPr="007B5A7A">
                        <w:rPr>
                          <w:kern w:val="2"/>
                          <w:sz w:val="14"/>
                          <w:szCs w:val="16"/>
                        </w:rPr>
                        <w:t xml:space="preserve"> graf</w:t>
                      </w:r>
                      <w:r>
                        <w:rPr>
                          <w:kern w:val="2"/>
                          <w:sz w:val="14"/>
                          <w:szCs w:val="16"/>
                        </w:rPr>
                        <w:t xml:space="preserve"> MPO</w:t>
                      </w:r>
                    </w:p>
                  </w:txbxContent>
                </v:textbox>
                <w10:wrap type="square" anchorx="margin" anchory="margin"/>
              </v:shape>
            </w:pict>
          </mc:Fallback>
        </mc:AlternateContent>
      </w:r>
      <w:r w:rsidRPr="00D67550">
        <w:rPr>
          <w:noProof/>
          <w:lang w:eastAsia="cs-CZ"/>
        </w:rPr>
        <mc:AlternateContent>
          <mc:Choice Requires="wps">
            <w:drawing>
              <wp:anchor distT="151130" distB="151130" distL="114300" distR="114300" simplePos="0" relativeHeight="251822080" behindDoc="0" locked="0" layoutInCell="1" allowOverlap="1" wp14:anchorId="004AC800" wp14:editId="703632DF">
                <wp:simplePos x="0" y="0"/>
                <wp:positionH relativeFrom="margin">
                  <wp:align>left</wp:align>
                </wp:positionH>
                <wp:positionV relativeFrom="margin">
                  <wp:posOffset>3547062</wp:posOffset>
                </wp:positionV>
                <wp:extent cx="3059430" cy="2999740"/>
                <wp:effectExtent l="0" t="0" r="7620" b="13970"/>
                <wp:wrapSquare wrapText="bothSides"/>
                <wp:docPr id="85"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59430" cy="2999740"/>
                        </a:xfrm>
                        <a:prstGeom prst="rect">
                          <a:avLst/>
                        </a:prstGeom>
                        <a:noFill/>
                        <a:ln w="9525">
                          <a:noFill/>
                          <a:miter lim="800000"/>
                          <a:headEnd/>
                          <a:tailEnd/>
                        </a:ln>
                      </wps:spPr>
                      <wps:txbx>
                        <w:txbxContent>
                          <w:p w14:paraId="58DFB97E" w14:textId="77777777" w:rsidR="002B6B23" w:rsidRDefault="002B6B23" w:rsidP="00301991">
                            <w:pPr>
                              <w:pStyle w:val="Bezmezer"/>
                            </w:pPr>
                            <w:r w:rsidRPr="00AD26CF">
                              <w:t>Vývoj HDP na obyvatele</w:t>
                            </w:r>
                          </w:p>
                          <w:p w14:paraId="19DBF350" w14:textId="77777777" w:rsidR="002B6B23" w:rsidRPr="00C872A3" w:rsidRDefault="002B6B23" w:rsidP="002B6B23">
                            <w:pPr>
                              <w:pStyle w:val="Bezmezer"/>
                              <w:keepNext/>
                              <w:widowControl w:val="0"/>
                              <w:pBdr>
                                <w:bottom w:val="single" w:sz="4" w:space="1" w:color="auto"/>
                              </w:pBdr>
                              <w:rPr>
                                <w:kern w:val="2"/>
                                <w:szCs w:val="16"/>
                              </w:rPr>
                            </w:pPr>
                            <w:r w:rsidRPr="00CD7BA4">
                              <w:rPr>
                                <w:kern w:val="2"/>
                                <w:sz w:val="16"/>
                                <w:szCs w:val="12"/>
                              </w:rPr>
                              <w:t>(EU</w:t>
                            </w:r>
                            <w:r>
                              <w:rPr>
                                <w:kern w:val="2"/>
                                <w:sz w:val="16"/>
                                <w:szCs w:val="12"/>
                              </w:rPr>
                              <w:t>27</w:t>
                            </w:r>
                            <w:r w:rsidRPr="00CD7BA4">
                              <w:rPr>
                                <w:kern w:val="2"/>
                                <w:sz w:val="16"/>
                                <w:szCs w:val="12"/>
                              </w:rPr>
                              <w:t>=100, PP</w:t>
                            </w:r>
                            <w:r>
                              <w:rPr>
                                <w:kern w:val="2"/>
                                <w:sz w:val="16"/>
                                <w:szCs w:val="12"/>
                              </w:rPr>
                              <w:t>S</w:t>
                            </w:r>
                            <w:r w:rsidRPr="00CD7BA4">
                              <w:rPr>
                                <w:kern w:val="2"/>
                                <w:sz w:val="16"/>
                                <w:szCs w:val="12"/>
                              </w:rPr>
                              <w:t>, v %)</w:t>
                            </w:r>
                          </w:p>
                          <w:p w14:paraId="2612040E" w14:textId="77777777" w:rsidR="002B6B23" w:rsidRPr="003514B1" w:rsidRDefault="002B6B23" w:rsidP="002B6B23">
                            <w:pPr>
                              <w:pStyle w:val="Bezmezer"/>
                              <w:keepNext/>
                              <w:widowControl w:val="0"/>
                              <w:rPr>
                                <w:kern w:val="2"/>
                                <w:sz w:val="18"/>
                                <w:szCs w:val="16"/>
                              </w:rPr>
                            </w:pPr>
                            <w:r>
                              <w:rPr>
                                <w:noProof/>
                              </w:rPr>
                              <w:drawing>
                                <wp:inline distT="0" distB="0" distL="0" distR="0" wp14:anchorId="43713328" wp14:editId="073C0261">
                                  <wp:extent cx="3050540" cy="2199736"/>
                                  <wp:effectExtent l="0" t="0" r="0" b="0"/>
                                  <wp:docPr id="7" name="Graf 7">
                                    <a:extLst xmlns:a="http://schemas.openxmlformats.org/drawingml/2006/main">
                                      <a:ext uri="{FF2B5EF4-FFF2-40B4-BE49-F238E27FC236}">
                                        <a16:creationId xmlns:a16="http://schemas.microsoft.com/office/drawing/2014/main" id="{07A1764C-5F31-4F62-AA40-42B0618F282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1C324536" w14:textId="77777777" w:rsidR="002B6B23" w:rsidRDefault="002B6B23" w:rsidP="002B6B23">
                            <w:pPr>
                              <w:widowControl w:val="0"/>
                              <w:pBdr>
                                <w:top w:val="single" w:sz="4" w:space="1" w:color="auto"/>
                              </w:pBdr>
                              <w:spacing w:after="0"/>
                              <w:rPr>
                                <w:kern w:val="2"/>
                                <w:sz w:val="14"/>
                                <w:szCs w:val="16"/>
                              </w:rPr>
                            </w:pPr>
                            <w:r w:rsidRPr="00A812C4">
                              <w:rPr>
                                <w:kern w:val="2"/>
                                <w:sz w:val="14"/>
                                <w:szCs w:val="16"/>
                              </w:rPr>
                              <w:t>Pramen:</w:t>
                            </w:r>
                            <w:r>
                              <w:rPr>
                                <w:kern w:val="2"/>
                                <w:sz w:val="14"/>
                                <w:szCs w:val="16"/>
                              </w:rPr>
                              <w:t xml:space="preserve"> data</w:t>
                            </w:r>
                            <w:r w:rsidRPr="00A812C4">
                              <w:rPr>
                                <w:kern w:val="2"/>
                                <w:sz w:val="14"/>
                                <w:szCs w:val="16"/>
                              </w:rPr>
                              <w:t xml:space="preserve"> Eurostat</w:t>
                            </w:r>
                            <w:r>
                              <w:rPr>
                                <w:kern w:val="2"/>
                                <w:sz w:val="14"/>
                                <w:szCs w:val="16"/>
                              </w:rPr>
                              <w:t>, graf MPO</w:t>
                            </w:r>
                          </w:p>
                        </w:txbxContent>
                      </wps:txbx>
                      <wps:bodyPr rot="0" vert="horz" wrap="square" lIns="0" tIns="0" rIns="0" bIns="0" anchor="t" anchorCtr="0">
                        <a:spAutoFit/>
                      </wps:bodyPr>
                    </wps:wsp>
                  </a:graphicData>
                </a:graphic>
                <wp14:sizeRelH relativeFrom="margin">
                  <wp14:pctWidth>0</wp14:pctWidth>
                </wp14:sizeRelH>
                <wp14:sizeRelV relativeFrom="margin">
                  <wp14:pctHeight>0</wp14:pctHeight>
                </wp14:sizeRelV>
              </wp:anchor>
            </w:drawing>
          </mc:Choice>
          <mc:Fallback>
            <w:pict>
              <v:shape w14:anchorId="004AC800" id="_x0000_s1029" type="#_x0000_t202" style="position:absolute;margin-left:0;margin-top:279.3pt;width:240.9pt;height:236.2pt;z-index:251822080;visibility:visible;mso-wrap-style:square;mso-width-percent:0;mso-height-percent:0;mso-wrap-distance-left:9pt;mso-wrap-distance-top:11.9pt;mso-wrap-distance-right:9pt;mso-wrap-distance-bottom:11.9pt;mso-position-horizontal:left;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" filled="f" stroked="f">
                <v:textbox style="mso-fit-shape-to-text:t" inset="0,0,0,0">
                  <w:txbxContent>
                    <w:p w14:paraId="58DFB97E" w14:textId="77777777" w:rsidR="002B6B23" w:rsidRDefault="002B6B23" w:rsidP="00301991">
                      <w:pPr>
                        <w:pStyle w:val="Bezmezer"/>
                      </w:pPr>
                      <w:r w:rsidRPr="00AD26CF">
                        <w:t>Vývoj HDP na obyvatele</w:t>
                      </w:r>
                    </w:p>
                    <w:p w14:paraId="19DBF350" w14:textId="77777777" w:rsidR="002B6B23" w:rsidRPr="00C872A3" w:rsidRDefault="002B6B23" w:rsidP="002B6B23">
                      <w:pPr>
                        <w:pStyle w:val="Bezmezer"/>
                        <w:keepNext/>
                        <w:widowControl w:val="0"/>
                        <w:pBdr>
                          <w:bottom w:val="single" w:sz="4" w:space="1" w:color="auto"/>
                        </w:pBdr>
                        <w:rPr>
                          <w:kern w:val="2"/>
                          <w:szCs w:val="16"/>
                        </w:rPr>
                      </w:pPr>
                      <w:r w:rsidRPr="00CD7BA4">
                        <w:rPr>
                          <w:kern w:val="2"/>
                          <w:sz w:val="16"/>
                          <w:szCs w:val="12"/>
                        </w:rPr>
                        <w:t>(EU</w:t>
                      </w:r>
                      <w:r>
                        <w:rPr>
                          <w:kern w:val="2"/>
                          <w:sz w:val="16"/>
                          <w:szCs w:val="12"/>
                        </w:rPr>
                        <w:t>27</w:t>
                      </w:r>
                      <w:r w:rsidRPr="00CD7BA4">
                        <w:rPr>
                          <w:kern w:val="2"/>
                          <w:sz w:val="16"/>
                          <w:szCs w:val="12"/>
                        </w:rPr>
                        <w:t>=100, PP</w:t>
                      </w:r>
                      <w:r>
                        <w:rPr>
                          <w:kern w:val="2"/>
                          <w:sz w:val="16"/>
                          <w:szCs w:val="12"/>
                        </w:rPr>
                        <w:t>S</w:t>
                      </w:r>
                      <w:r w:rsidRPr="00CD7BA4">
                        <w:rPr>
                          <w:kern w:val="2"/>
                          <w:sz w:val="16"/>
                          <w:szCs w:val="12"/>
                        </w:rPr>
                        <w:t>, v %)</w:t>
                      </w:r>
                    </w:p>
                    <w:p w14:paraId="2612040E" w14:textId="77777777" w:rsidR="002B6B23" w:rsidRPr="003514B1" w:rsidRDefault="002B6B23" w:rsidP="002B6B23">
                      <w:pPr>
                        <w:pStyle w:val="Bezmezer"/>
                        <w:keepNext/>
                        <w:widowControl w:val="0"/>
                        <w:rPr>
                          <w:kern w:val="2"/>
                          <w:sz w:val="18"/>
                          <w:szCs w:val="16"/>
                        </w:rPr>
                      </w:pPr>
                      <w:r>
                        <w:rPr>
                          <w:noProof/>
                        </w:rPr>
                        <w:drawing>
                          <wp:inline distT="0" distB="0" distL="0" distR="0" wp14:anchorId="43713328" wp14:editId="073C0261">
                            <wp:extent cx="3050540" cy="2199736"/>
                            <wp:effectExtent l="0" t="0" r="0" b="0"/>
                            <wp:docPr id="7" name="Graf 7">
                              <a:extLst xmlns:a="http://schemas.openxmlformats.org/drawingml/2006/main">
                                <a:ext uri="{FF2B5EF4-FFF2-40B4-BE49-F238E27FC236}">
                                  <a16:creationId xmlns:a16="http://schemas.microsoft.com/office/drawing/2014/main" id="{07A1764C-5F31-4F62-AA40-42B0618F282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1C324536" w14:textId="77777777" w:rsidR="002B6B23" w:rsidRDefault="002B6B23" w:rsidP="002B6B23">
                      <w:pPr>
                        <w:widowControl w:val="0"/>
                        <w:pBdr>
                          <w:top w:val="single" w:sz="4" w:space="1" w:color="auto"/>
                        </w:pBdr>
                        <w:spacing w:after="0"/>
                        <w:rPr>
                          <w:kern w:val="2"/>
                          <w:sz w:val="14"/>
                          <w:szCs w:val="16"/>
                        </w:rPr>
                      </w:pPr>
                      <w:r w:rsidRPr="00A812C4">
                        <w:rPr>
                          <w:kern w:val="2"/>
                          <w:sz w:val="14"/>
                          <w:szCs w:val="16"/>
                        </w:rPr>
                        <w:t>Pramen:</w:t>
                      </w:r>
                      <w:r>
                        <w:rPr>
                          <w:kern w:val="2"/>
                          <w:sz w:val="14"/>
                          <w:szCs w:val="16"/>
                        </w:rPr>
                        <w:t xml:space="preserve"> data</w:t>
                      </w:r>
                      <w:r w:rsidRPr="00A812C4">
                        <w:rPr>
                          <w:kern w:val="2"/>
                          <w:sz w:val="14"/>
                          <w:szCs w:val="16"/>
                        </w:rPr>
                        <w:t xml:space="preserve"> Eurostat</w:t>
                      </w:r>
                      <w:r>
                        <w:rPr>
                          <w:kern w:val="2"/>
                          <w:sz w:val="14"/>
                          <w:szCs w:val="16"/>
                        </w:rPr>
                        <w:t>, graf MPO</w:t>
                      </w:r>
                    </w:p>
                  </w:txbxContent>
                </v:textbox>
                <w10:wrap type="square" anchorx="margin" anchory="margin"/>
              </v:shape>
            </w:pict>
          </mc:Fallback>
        </mc:AlternateContent>
      </w:r>
      <w:r w:rsidRPr="00D67550">
        <w:rPr>
          <w:noProof/>
          <w:lang w:eastAsia="cs-CZ"/>
        </w:rPr>
        <mc:AlternateContent>
          <mc:Choice Requires="wps">
            <w:drawing>
              <wp:anchor distT="151130" distB="151130" distL="114300" distR="114300" simplePos="0" relativeHeight="251802624" behindDoc="0" locked="0" layoutInCell="1" allowOverlap="1" wp14:anchorId="04DE43EB" wp14:editId="002C5C20">
                <wp:simplePos x="0" y="0"/>
                <wp:positionH relativeFrom="margin">
                  <wp:align>left</wp:align>
                </wp:positionH>
                <wp:positionV relativeFrom="margin">
                  <wp:posOffset>585063</wp:posOffset>
                </wp:positionV>
                <wp:extent cx="3059430" cy="2790190"/>
                <wp:effectExtent l="0" t="0" r="7620" b="10160"/>
                <wp:wrapSquare wrapText="bothSides"/>
                <wp:docPr id="84"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59430" cy="2790190"/>
                        </a:xfrm>
                        <a:prstGeom prst="rect">
                          <a:avLst/>
                        </a:prstGeom>
                        <a:noFill/>
                        <a:ln w="9525">
                          <a:noFill/>
                          <a:miter lim="800000"/>
                          <a:headEnd/>
                          <a:tailEnd/>
                        </a:ln>
                      </wps:spPr>
                      <wps:txbx>
                        <w:txbxContent>
                          <w:p w14:paraId="4AA205B9" w14:textId="77777777" w:rsidR="002B6B23" w:rsidRDefault="002B6B23" w:rsidP="00301991">
                            <w:pPr>
                              <w:pStyle w:val="Bezmezer"/>
                            </w:pPr>
                            <w:r>
                              <w:t>Hrubý domácí produkt a jeho složky dle výdajové metody</w:t>
                            </w:r>
                          </w:p>
                          <w:p w14:paraId="44C25A61" w14:textId="77777777" w:rsidR="002B6B23" w:rsidRPr="00C872A3" w:rsidRDefault="002B6B23" w:rsidP="005915FD">
                            <w:pPr>
                              <w:pStyle w:val="HSgrafytexty"/>
                            </w:pPr>
                            <w:r>
                              <w:t>(stálé ceny, p. b., HDP v %)</w:t>
                            </w:r>
                          </w:p>
                          <w:p w14:paraId="6F1222B6" w14:textId="77777777" w:rsidR="002B6B23" w:rsidRPr="003514B1" w:rsidRDefault="002B6B23" w:rsidP="002B6B23">
                            <w:pPr>
                              <w:pStyle w:val="Bezmezer"/>
                              <w:keepNext/>
                              <w:widowControl w:val="0"/>
                              <w:rPr>
                                <w:kern w:val="2"/>
                                <w:sz w:val="18"/>
                                <w:szCs w:val="16"/>
                              </w:rPr>
                            </w:pPr>
                            <w:r>
                              <w:rPr>
                                <w:noProof/>
                                <w:lang w:eastAsia="cs-CZ"/>
                              </w:rPr>
                              <w:drawing>
                                <wp:inline distT="0" distB="0" distL="0" distR="0" wp14:anchorId="49BC49E5" wp14:editId="576BAD2F">
                                  <wp:extent cx="3050540" cy="2339439"/>
                                  <wp:effectExtent l="0" t="0" r="0" b="3810"/>
                                  <wp:docPr id="8" name="Graf 8">
                                    <a:extLst xmlns:a="http://schemas.openxmlformats.org/drawingml/2006/main">
                                      <a:ext uri="{FF2B5EF4-FFF2-40B4-BE49-F238E27FC236}">
                                        <a16:creationId xmlns:a16="http://schemas.microsoft.com/office/drawing/2014/main" id="{E61DBB83-428D-4873-9DA4-95142D670BE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25CA9A67" w14:textId="77777777" w:rsidR="002B6B23" w:rsidRDefault="002B6B23" w:rsidP="002B6B23">
                            <w:pPr>
                              <w:widowControl w:val="0"/>
                              <w:pBdr>
                                <w:top w:val="single" w:sz="4" w:space="1" w:color="auto"/>
                              </w:pBdr>
                              <w:spacing w:after="0"/>
                              <w:rPr>
                                <w:kern w:val="2"/>
                                <w:sz w:val="14"/>
                                <w:szCs w:val="16"/>
                              </w:rPr>
                            </w:pPr>
                            <w:r w:rsidRPr="007B5A7A">
                              <w:rPr>
                                <w:kern w:val="2"/>
                                <w:sz w:val="14"/>
                                <w:szCs w:val="16"/>
                              </w:rPr>
                              <w:t>Pramen: data</w:t>
                            </w:r>
                            <w:r>
                              <w:rPr>
                                <w:kern w:val="2"/>
                                <w:sz w:val="14"/>
                                <w:szCs w:val="16"/>
                              </w:rPr>
                              <w:t xml:space="preserve"> ČNB;</w:t>
                            </w:r>
                            <w:r w:rsidRPr="007B5A7A">
                              <w:rPr>
                                <w:kern w:val="2"/>
                                <w:sz w:val="14"/>
                                <w:szCs w:val="16"/>
                              </w:rPr>
                              <w:t xml:space="preserve"> graf</w:t>
                            </w:r>
                            <w:r>
                              <w:rPr>
                                <w:kern w:val="2"/>
                                <w:sz w:val="14"/>
                                <w:szCs w:val="16"/>
                              </w:rPr>
                              <w:t xml:space="preserve"> MPO</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04DE43EB" id="_x0000_s1030" type="#_x0000_t202" style="position:absolute;margin-left:0;margin-top:46.05pt;width:240.9pt;height:219.7pt;z-index:251802624;visibility:visible;mso-wrap-style:square;mso-width-percent:0;mso-height-percent:0;mso-wrap-distance-left:9pt;mso-wrap-distance-top:11.9pt;mso-wrap-distance-right:9pt;mso-wrap-distance-bottom:11.9pt;mso-position-horizontal:left;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" filled="f" stroked="f">
                <v:textbox inset="0,0,0,0">
                  <w:txbxContent>
                    <w:p w14:paraId="4AA205B9" w14:textId="77777777" w:rsidR="002B6B23" w:rsidRDefault="002B6B23" w:rsidP="00301991">
                      <w:pPr>
                        <w:pStyle w:val="Bezmezer"/>
                      </w:pPr>
                      <w:r>
                        <w:t>Hrubý domácí produkt a jeho složky dle výdajové metody</w:t>
                      </w:r>
                    </w:p>
                    <w:p w14:paraId="44C25A61" w14:textId="77777777" w:rsidR="002B6B23" w:rsidRPr="00C872A3" w:rsidRDefault="002B6B23" w:rsidP="005915FD">
                      <w:pPr>
                        <w:pStyle w:val="HSgrafytexty"/>
                      </w:pPr>
                      <w:r>
                        <w:t>(stálé ceny, p. b., HDP v %)</w:t>
                      </w:r>
                    </w:p>
                    <w:p w14:paraId="6F1222B6" w14:textId="77777777" w:rsidR="002B6B23" w:rsidRPr="003514B1" w:rsidRDefault="002B6B23" w:rsidP="002B6B23">
                      <w:pPr>
                        <w:pStyle w:val="Bezmezer"/>
                        <w:keepNext/>
                        <w:widowControl w:val="0"/>
                        <w:rPr>
                          <w:kern w:val="2"/>
                          <w:sz w:val="18"/>
                          <w:szCs w:val="16"/>
                        </w:rPr>
                      </w:pPr>
                      <w:r>
                        <w:rPr>
                          <w:noProof/>
                          <w:lang w:eastAsia="cs-CZ"/>
                        </w:rPr>
                        <w:drawing>
                          <wp:inline distT="0" distB="0" distL="0" distR="0" wp14:anchorId="49BC49E5" wp14:editId="576BAD2F">
                            <wp:extent cx="3050540" cy="2339439"/>
                            <wp:effectExtent l="0" t="0" r="0" b="3810"/>
                            <wp:docPr id="8" name="Graf 8">
                              <a:extLst xmlns:a="http://schemas.openxmlformats.org/drawingml/2006/main">
                                <a:ext uri="{FF2B5EF4-FFF2-40B4-BE49-F238E27FC236}">
                                  <a16:creationId xmlns:a16="http://schemas.microsoft.com/office/drawing/2014/main" id="{E61DBB83-428D-4873-9DA4-95142D670BE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25CA9A67" w14:textId="77777777" w:rsidR="002B6B23" w:rsidRDefault="002B6B23" w:rsidP="002B6B23">
                      <w:pPr>
                        <w:widowControl w:val="0"/>
                        <w:pBdr>
                          <w:top w:val="single" w:sz="4" w:space="1" w:color="auto"/>
                        </w:pBdr>
                        <w:spacing w:after="0"/>
                        <w:rPr>
                          <w:kern w:val="2"/>
                          <w:sz w:val="14"/>
                          <w:szCs w:val="16"/>
                        </w:rPr>
                      </w:pPr>
                      <w:r w:rsidRPr="007B5A7A">
                        <w:rPr>
                          <w:kern w:val="2"/>
                          <w:sz w:val="14"/>
                          <w:szCs w:val="16"/>
                        </w:rPr>
                        <w:t>Pramen: data</w:t>
                      </w:r>
                      <w:r>
                        <w:rPr>
                          <w:kern w:val="2"/>
                          <w:sz w:val="14"/>
                          <w:szCs w:val="16"/>
                        </w:rPr>
                        <w:t xml:space="preserve"> ČNB;</w:t>
                      </w:r>
                      <w:r w:rsidRPr="007B5A7A">
                        <w:rPr>
                          <w:kern w:val="2"/>
                          <w:sz w:val="14"/>
                          <w:szCs w:val="16"/>
                        </w:rPr>
                        <w:t xml:space="preserve"> graf</w:t>
                      </w:r>
                      <w:r>
                        <w:rPr>
                          <w:kern w:val="2"/>
                          <w:sz w:val="14"/>
                          <w:szCs w:val="16"/>
                        </w:rPr>
                        <w:t xml:space="preserve"> MPO</w:t>
                      </w:r>
                    </w:p>
                  </w:txbxContent>
                </v:textbox>
                <w10:wrap type="square" anchorx="margin" anchory="margin"/>
              </v:shape>
            </w:pict>
          </mc:Fallback>
        </mc:AlternateContent>
      </w:r>
      <w:r w:rsidR="00301991" w:rsidRPr="00D67550">
        <w:rPr>
          <w:noProof/>
          <w:lang w:eastAsia="cs-CZ"/>
        </w:rPr>
        <mc:AlternateContent>
          <mc:Choice Requires="wps">
            <w:drawing>
              <wp:anchor distT="151130" distB="151130" distL="114300" distR="114300" simplePos="0" relativeHeight="251806720" behindDoc="0" locked="0" layoutInCell="1" allowOverlap="1" wp14:anchorId="7662EEE2" wp14:editId="1BA245E4">
                <wp:simplePos x="0" y="0"/>
                <wp:positionH relativeFrom="margin">
                  <wp:posOffset>6985</wp:posOffset>
                </wp:positionH>
                <wp:positionV relativeFrom="margin">
                  <wp:posOffset>6248400</wp:posOffset>
                </wp:positionV>
                <wp:extent cx="3059430" cy="3061335"/>
                <wp:effectExtent l="0" t="0" r="7620" b="5715"/>
                <wp:wrapSquare wrapText="bothSides"/>
                <wp:docPr id="86"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59430" cy="3061335"/>
                        </a:xfrm>
                        <a:prstGeom prst="rect">
                          <a:avLst/>
                        </a:prstGeom>
                        <a:noFill/>
                        <a:ln w="9525">
                          <a:noFill/>
                          <a:miter lim="800000"/>
                          <a:headEnd/>
                          <a:tailEnd/>
                        </a:ln>
                      </wps:spPr>
                      <wps:txbx>
                        <w:txbxContent>
                          <w:p w14:paraId="52491D23" w14:textId="77777777" w:rsidR="002B6B23" w:rsidRDefault="002B6B23" w:rsidP="00301991">
                            <w:pPr>
                              <w:pStyle w:val="Bezmezer"/>
                            </w:pPr>
                            <w:r>
                              <w:t>P</w:t>
                            </w:r>
                            <w:r w:rsidRPr="002B59D0">
                              <w:t>roduktivit</w:t>
                            </w:r>
                            <w:r>
                              <w:t>a</w:t>
                            </w:r>
                            <w:r w:rsidRPr="002B59D0">
                              <w:t xml:space="preserve"> práce na odpracovanou hodinu</w:t>
                            </w:r>
                          </w:p>
                          <w:p w14:paraId="59EFAE84" w14:textId="77777777" w:rsidR="002B6B23" w:rsidRPr="00C872A3" w:rsidRDefault="002B6B23" w:rsidP="002B6B23">
                            <w:pPr>
                              <w:pStyle w:val="Bezmezer"/>
                              <w:keepNext/>
                              <w:widowControl w:val="0"/>
                              <w:pBdr>
                                <w:bottom w:val="single" w:sz="4" w:space="1" w:color="auto"/>
                              </w:pBdr>
                              <w:rPr>
                                <w:kern w:val="2"/>
                                <w:szCs w:val="16"/>
                              </w:rPr>
                            </w:pPr>
                            <w:r>
                              <w:rPr>
                                <w:kern w:val="2"/>
                                <w:sz w:val="16"/>
                                <w:szCs w:val="12"/>
                              </w:rPr>
                              <w:t>(</w:t>
                            </w:r>
                            <w:r w:rsidRPr="002B59D0">
                              <w:rPr>
                                <w:kern w:val="2"/>
                                <w:sz w:val="16"/>
                                <w:szCs w:val="12"/>
                              </w:rPr>
                              <w:t>EU2</w:t>
                            </w:r>
                            <w:r>
                              <w:rPr>
                                <w:kern w:val="2"/>
                                <w:sz w:val="16"/>
                                <w:szCs w:val="12"/>
                              </w:rPr>
                              <w:t>7</w:t>
                            </w:r>
                            <w:r w:rsidRPr="002B59D0">
                              <w:rPr>
                                <w:kern w:val="2"/>
                                <w:sz w:val="16"/>
                                <w:szCs w:val="12"/>
                              </w:rPr>
                              <w:t>=100</w:t>
                            </w:r>
                            <w:r>
                              <w:rPr>
                                <w:kern w:val="2"/>
                                <w:sz w:val="16"/>
                                <w:szCs w:val="12"/>
                              </w:rPr>
                              <w:t>,</w:t>
                            </w:r>
                            <w:r w:rsidRPr="002B59D0">
                              <w:rPr>
                                <w:kern w:val="2"/>
                                <w:sz w:val="16"/>
                                <w:szCs w:val="12"/>
                              </w:rPr>
                              <w:t xml:space="preserve"> běžné ceny</w:t>
                            </w:r>
                            <w:r>
                              <w:rPr>
                                <w:kern w:val="2"/>
                                <w:sz w:val="16"/>
                                <w:szCs w:val="12"/>
                              </w:rPr>
                              <w:t>,</w:t>
                            </w:r>
                            <w:r w:rsidRPr="00336D17">
                              <w:rPr>
                                <w:kern w:val="2"/>
                                <w:sz w:val="16"/>
                                <w:szCs w:val="12"/>
                              </w:rPr>
                              <w:t xml:space="preserve"> v %, standard kupní síly)</w:t>
                            </w:r>
                          </w:p>
                          <w:p w14:paraId="5B06DFE2" w14:textId="77777777" w:rsidR="002B6B23" w:rsidRPr="003514B1" w:rsidRDefault="002B6B23" w:rsidP="002B6B23">
                            <w:pPr>
                              <w:pStyle w:val="Bezmezer"/>
                              <w:keepNext/>
                              <w:widowControl w:val="0"/>
                              <w:rPr>
                                <w:kern w:val="2"/>
                                <w:sz w:val="18"/>
                                <w:szCs w:val="16"/>
                              </w:rPr>
                            </w:pPr>
                            <w:r>
                              <w:rPr>
                                <w:noProof/>
                                <w:lang w:eastAsia="cs-CZ"/>
                              </w:rPr>
                              <w:drawing>
                                <wp:inline distT="0" distB="0" distL="0" distR="0" wp14:anchorId="3A68E077" wp14:editId="475AEECD">
                                  <wp:extent cx="3050540" cy="2566555"/>
                                  <wp:effectExtent l="0" t="0" r="0" b="5715"/>
                                  <wp:docPr id="9" name="Graf 9">
                                    <a:extLst xmlns:a="http://schemas.openxmlformats.org/drawingml/2006/main">
                                      <a:ext uri="{FF2B5EF4-FFF2-40B4-BE49-F238E27FC236}">
                                        <a16:creationId xmlns:a16="http://schemas.microsoft.com/office/drawing/2014/main" id="{1A81511D-1408-421E-ABAC-E32F7086039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31C7CA74" w14:textId="77777777" w:rsidR="002B6B23" w:rsidRDefault="002B6B23" w:rsidP="002B6B23">
                            <w:pPr>
                              <w:widowControl w:val="0"/>
                              <w:pBdr>
                                <w:top w:val="single" w:sz="4" w:space="1" w:color="auto"/>
                              </w:pBdr>
                              <w:spacing w:after="0"/>
                              <w:rPr>
                                <w:kern w:val="2"/>
                                <w:sz w:val="14"/>
                                <w:szCs w:val="16"/>
                              </w:rPr>
                            </w:pPr>
                            <w:r w:rsidRPr="007B5A7A">
                              <w:rPr>
                                <w:kern w:val="2"/>
                                <w:sz w:val="14"/>
                                <w:szCs w:val="16"/>
                              </w:rPr>
                              <w:t>Pramen: data</w:t>
                            </w:r>
                            <w:r>
                              <w:rPr>
                                <w:kern w:val="2"/>
                                <w:sz w:val="14"/>
                                <w:szCs w:val="16"/>
                              </w:rPr>
                              <w:t xml:space="preserve"> Eurostat;</w:t>
                            </w:r>
                            <w:r w:rsidRPr="007B5A7A">
                              <w:rPr>
                                <w:kern w:val="2"/>
                                <w:sz w:val="14"/>
                                <w:szCs w:val="16"/>
                              </w:rPr>
                              <w:t xml:space="preserve"> graf</w:t>
                            </w:r>
                            <w:r>
                              <w:rPr>
                                <w:kern w:val="2"/>
                                <w:sz w:val="14"/>
                                <w:szCs w:val="16"/>
                              </w:rPr>
                              <w:t xml:space="preserve"> MPO</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7662EEE2" id="_x0000_s1031" type="#_x0000_t202" style="position:absolute;margin-left:.55pt;margin-top:492pt;width:240.9pt;height:241.05pt;z-index:251806720;visibility:visible;mso-wrap-style:square;mso-width-percent:0;mso-height-percent:0;mso-wrap-distance-left:9pt;mso-wrap-distance-top:11.9pt;mso-wrap-distance-right:9pt;mso-wrap-distance-bottom:11.9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" filled="f" stroked="f">
                <v:textbox inset="0,0,0,0">
                  <w:txbxContent>
                    <w:p w14:paraId="52491D23" w14:textId="77777777" w:rsidR="002B6B23" w:rsidRDefault="002B6B23" w:rsidP="00301991">
                      <w:pPr>
                        <w:pStyle w:val="Bezmezer"/>
                      </w:pPr>
                      <w:r>
                        <w:t>P</w:t>
                      </w:r>
                      <w:r w:rsidRPr="002B59D0">
                        <w:t>roduktivit</w:t>
                      </w:r>
                      <w:r>
                        <w:t>a</w:t>
                      </w:r>
                      <w:r w:rsidRPr="002B59D0">
                        <w:t xml:space="preserve"> práce na odpracovanou hodinu</w:t>
                      </w:r>
                    </w:p>
                    <w:p w14:paraId="59EFAE84" w14:textId="77777777" w:rsidR="002B6B23" w:rsidRPr="00C872A3" w:rsidRDefault="002B6B23" w:rsidP="002B6B23">
                      <w:pPr>
                        <w:pStyle w:val="Bezmezer"/>
                        <w:keepNext/>
                        <w:widowControl w:val="0"/>
                        <w:pBdr>
                          <w:bottom w:val="single" w:sz="4" w:space="1" w:color="auto"/>
                        </w:pBdr>
                        <w:rPr>
                          <w:kern w:val="2"/>
                          <w:szCs w:val="16"/>
                        </w:rPr>
                      </w:pPr>
                      <w:r>
                        <w:rPr>
                          <w:kern w:val="2"/>
                          <w:sz w:val="16"/>
                          <w:szCs w:val="12"/>
                        </w:rPr>
                        <w:t>(</w:t>
                      </w:r>
                      <w:r w:rsidRPr="002B59D0">
                        <w:rPr>
                          <w:kern w:val="2"/>
                          <w:sz w:val="16"/>
                          <w:szCs w:val="12"/>
                        </w:rPr>
                        <w:t>EU2</w:t>
                      </w:r>
                      <w:r>
                        <w:rPr>
                          <w:kern w:val="2"/>
                          <w:sz w:val="16"/>
                          <w:szCs w:val="12"/>
                        </w:rPr>
                        <w:t>7</w:t>
                      </w:r>
                      <w:r w:rsidRPr="002B59D0">
                        <w:rPr>
                          <w:kern w:val="2"/>
                          <w:sz w:val="16"/>
                          <w:szCs w:val="12"/>
                        </w:rPr>
                        <w:t>=100</w:t>
                      </w:r>
                      <w:r>
                        <w:rPr>
                          <w:kern w:val="2"/>
                          <w:sz w:val="16"/>
                          <w:szCs w:val="12"/>
                        </w:rPr>
                        <w:t>,</w:t>
                      </w:r>
                      <w:r w:rsidRPr="002B59D0">
                        <w:rPr>
                          <w:kern w:val="2"/>
                          <w:sz w:val="16"/>
                          <w:szCs w:val="12"/>
                        </w:rPr>
                        <w:t xml:space="preserve"> běžné ceny</w:t>
                      </w:r>
                      <w:r>
                        <w:rPr>
                          <w:kern w:val="2"/>
                          <w:sz w:val="16"/>
                          <w:szCs w:val="12"/>
                        </w:rPr>
                        <w:t>,</w:t>
                      </w:r>
                      <w:r w:rsidRPr="00336D17">
                        <w:rPr>
                          <w:kern w:val="2"/>
                          <w:sz w:val="16"/>
                          <w:szCs w:val="12"/>
                        </w:rPr>
                        <w:t xml:space="preserve"> v %, standard kupní síly)</w:t>
                      </w:r>
                    </w:p>
                    <w:p w14:paraId="5B06DFE2" w14:textId="77777777" w:rsidR="002B6B23" w:rsidRPr="003514B1" w:rsidRDefault="002B6B23" w:rsidP="002B6B23">
                      <w:pPr>
                        <w:pStyle w:val="Bezmezer"/>
                        <w:keepNext/>
                        <w:widowControl w:val="0"/>
                        <w:rPr>
                          <w:kern w:val="2"/>
                          <w:sz w:val="18"/>
                          <w:szCs w:val="16"/>
                        </w:rPr>
                      </w:pPr>
                      <w:r>
                        <w:rPr>
                          <w:noProof/>
                          <w:lang w:eastAsia="cs-CZ"/>
                        </w:rPr>
                        <w:drawing>
                          <wp:inline distT="0" distB="0" distL="0" distR="0" wp14:anchorId="3A68E077" wp14:editId="475AEECD">
                            <wp:extent cx="3050540" cy="2566555"/>
                            <wp:effectExtent l="0" t="0" r="0" b="5715"/>
                            <wp:docPr id="9" name="Graf 9">
                              <a:extLst xmlns:a="http://schemas.openxmlformats.org/drawingml/2006/main">
                                <a:ext uri="{FF2B5EF4-FFF2-40B4-BE49-F238E27FC236}">
                                  <a16:creationId xmlns:a16="http://schemas.microsoft.com/office/drawing/2014/main" id="{1A81511D-1408-421E-ABAC-E32F7086039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31C7CA74" w14:textId="77777777" w:rsidR="002B6B23" w:rsidRDefault="002B6B23" w:rsidP="002B6B23">
                      <w:pPr>
                        <w:widowControl w:val="0"/>
                        <w:pBdr>
                          <w:top w:val="single" w:sz="4" w:space="1" w:color="auto"/>
                        </w:pBdr>
                        <w:spacing w:after="0"/>
                        <w:rPr>
                          <w:kern w:val="2"/>
                          <w:sz w:val="14"/>
                          <w:szCs w:val="16"/>
                        </w:rPr>
                      </w:pPr>
                      <w:r w:rsidRPr="007B5A7A">
                        <w:rPr>
                          <w:kern w:val="2"/>
                          <w:sz w:val="14"/>
                          <w:szCs w:val="16"/>
                        </w:rPr>
                        <w:t>Pramen: data</w:t>
                      </w:r>
                      <w:r>
                        <w:rPr>
                          <w:kern w:val="2"/>
                          <w:sz w:val="14"/>
                          <w:szCs w:val="16"/>
                        </w:rPr>
                        <w:t xml:space="preserve"> Eurostat;</w:t>
                      </w:r>
                      <w:r w:rsidRPr="007B5A7A">
                        <w:rPr>
                          <w:kern w:val="2"/>
                          <w:sz w:val="14"/>
                          <w:szCs w:val="16"/>
                        </w:rPr>
                        <w:t xml:space="preserve"> graf</w:t>
                      </w:r>
                      <w:r>
                        <w:rPr>
                          <w:kern w:val="2"/>
                          <w:sz w:val="14"/>
                          <w:szCs w:val="16"/>
                        </w:rPr>
                        <w:t xml:space="preserve"> MPO</w:t>
                      </w:r>
                    </w:p>
                  </w:txbxContent>
                </v:textbox>
                <w10:wrap type="square" anchorx="margin" anchory="margin"/>
              </v:shape>
            </w:pict>
          </mc:Fallback>
        </mc:AlternateContent>
      </w:r>
      <w:r w:rsidR="002B6B23" w:rsidRPr="00D67550">
        <w:rPr>
          <w:noProof/>
          <w:lang w:eastAsia="cs-CZ"/>
        </w:rPr>
        <mc:AlternateContent>
          <mc:Choice Requires="wps">
            <w:drawing>
              <wp:anchor distT="151130" distB="151130" distL="114300" distR="114300" simplePos="0" relativeHeight="251809792" behindDoc="0" locked="0" layoutInCell="1" allowOverlap="1" wp14:anchorId="7E8770BD" wp14:editId="2CFCFF31">
                <wp:simplePos x="0" y="0"/>
                <wp:positionH relativeFrom="margin">
                  <wp:align>right</wp:align>
                </wp:positionH>
                <wp:positionV relativeFrom="margin">
                  <wp:align>bottom</wp:align>
                </wp:positionV>
                <wp:extent cx="3059430" cy="2860040"/>
                <wp:effectExtent l="0" t="0" r="7620" b="0"/>
                <wp:wrapSquare wrapText="bothSides"/>
                <wp:docPr id="87"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59430" cy="2860040"/>
                        </a:xfrm>
                        <a:prstGeom prst="rect">
                          <a:avLst/>
                        </a:prstGeom>
                        <a:noFill/>
                        <a:ln w="9525">
                          <a:noFill/>
                          <a:miter lim="800000"/>
                          <a:headEnd/>
                          <a:tailEnd/>
                        </a:ln>
                      </wps:spPr>
                      <wps:txbx>
                        <w:txbxContent>
                          <w:p w14:paraId="6B4909D5" w14:textId="77777777" w:rsidR="002B6B23" w:rsidRPr="008124B3" w:rsidRDefault="002B6B23" w:rsidP="007416E0">
                            <w:pPr>
                              <w:pStyle w:val="Bezmezer"/>
                            </w:pPr>
                            <w:r w:rsidRPr="008124B3">
                              <w:t>Průměrné hodinové mzdy a platy</w:t>
                            </w:r>
                          </w:p>
                          <w:p w14:paraId="6C0B1BC0" w14:textId="77777777" w:rsidR="002B6B23" w:rsidRPr="00C872A3" w:rsidRDefault="002B6B23" w:rsidP="002B6B23">
                            <w:pPr>
                              <w:pStyle w:val="Bezmezer"/>
                              <w:keepNext/>
                              <w:widowControl w:val="0"/>
                              <w:pBdr>
                                <w:bottom w:val="single" w:sz="4" w:space="1" w:color="auto"/>
                              </w:pBdr>
                              <w:rPr>
                                <w:kern w:val="2"/>
                                <w:szCs w:val="16"/>
                              </w:rPr>
                            </w:pPr>
                            <w:r>
                              <w:rPr>
                                <w:kern w:val="2"/>
                                <w:sz w:val="16"/>
                                <w:szCs w:val="12"/>
                              </w:rPr>
                              <w:t>(v EUR)</w:t>
                            </w:r>
                          </w:p>
                          <w:p w14:paraId="013479D5" w14:textId="77777777" w:rsidR="002B6B23" w:rsidRPr="003514B1" w:rsidRDefault="002B6B23" w:rsidP="002B6B23">
                            <w:pPr>
                              <w:pStyle w:val="Bezmezer"/>
                              <w:keepNext/>
                              <w:widowControl w:val="0"/>
                              <w:rPr>
                                <w:kern w:val="2"/>
                                <w:sz w:val="18"/>
                                <w:szCs w:val="16"/>
                              </w:rPr>
                            </w:pPr>
                            <w:r>
                              <w:rPr>
                                <w:noProof/>
                                <w:lang w:eastAsia="cs-CZ"/>
                              </w:rPr>
                              <w:drawing>
                                <wp:inline distT="0" distB="0" distL="0" distR="0" wp14:anchorId="6A0BD051" wp14:editId="6243A6BD">
                                  <wp:extent cx="3050540" cy="2552700"/>
                                  <wp:effectExtent l="0" t="0" r="0" b="0"/>
                                  <wp:docPr id="10" name="Graf 10">
                                    <a:extLst xmlns:a="http://schemas.openxmlformats.org/drawingml/2006/main">
                                      <a:ext uri="{FF2B5EF4-FFF2-40B4-BE49-F238E27FC236}">
                                        <a16:creationId xmlns:a16="http://schemas.microsoft.com/office/drawing/2014/main" id="{6EB557BF-9373-49E3-AC5B-DD9399E720D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55329534" w14:textId="77777777" w:rsidR="002B6B23" w:rsidRDefault="002B6B23" w:rsidP="002B6B23">
                            <w:pPr>
                              <w:widowControl w:val="0"/>
                              <w:pBdr>
                                <w:top w:val="single" w:sz="4" w:space="1" w:color="auto"/>
                              </w:pBdr>
                              <w:spacing w:after="0"/>
                              <w:rPr>
                                <w:kern w:val="2"/>
                                <w:sz w:val="14"/>
                                <w:szCs w:val="16"/>
                              </w:rPr>
                            </w:pPr>
                            <w:r w:rsidRPr="007B5A7A">
                              <w:rPr>
                                <w:kern w:val="2"/>
                                <w:sz w:val="14"/>
                                <w:szCs w:val="16"/>
                              </w:rPr>
                              <w:t>Pramen: data</w:t>
                            </w:r>
                            <w:r>
                              <w:rPr>
                                <w:kern w:val="2"/>
                                <w:sz w:val="14"/>
                                <w:szCs w:val="16"/>
                              </w:rPr>
                              <w:t xml:space="preserve"> Eurostat;</w:t>
                            </w:r>
                            <w:r w:rsidRPr="007B5A7A">
                              <w:rPr>
                                <w:kern w:val="2"/>
                                <w:sz w:val="14"/>
                                <w:szCs w:val="16"/>
                              </w:rPr>
                              <w:t xml:space="preserve"> graf</w:t>
                            </w:r>
                            <w:r>
                              <w:rPr>
                                <w:kern w:val="2"/>
                                <w:sz w:val="14"/>
                                <w:szCs w:val="16"/>
                              </w:rPr>
                              <w:t xml:space="preserve"> MPO</w:t>
                            </w:r>
                          </w:p>
                        </w:txbxContent>
                      </wps:txbx>
                      <wps:bodyPr rot="0" vert="horz" wrap="square" lIns="0" tIns="0" rIns="0" bIns="0" anchor="t" anchorCtr="0">
                        <a:spAutoFit/>
                      </wps:bodyPr>
                    </wps:wsp>
                  </a:graphicData>
                </a:graphic>
                <wp14:sizeRelH relativeFrom="margin">
                  <wp14:pctWidth>0</wp14:pctWidth>
                </wp14:sizeRelH>
                <wp14:sizeRelV relativeFrom="margin">
                  <wp14:pctHeight>0</wp14:pctHeight>
                </wp14:sizeRelV>
              </wp:anchor>
            </w:drawing>
          </mc:Choice>
          <mc:Fallback>
            <w:pict>
              <v:shape w14:anchorId="7E8770BD" id="_x0000_s1032" type="#_x0000_t202" style="position:absolute;margin-left:189.7pt;margin-top:0;width:240.9pt;height:225.2pt;z-index:251809792;visibility:visible;mso-wrap-style:square;mso-width-percent:0;mso-height-percent:0;mso-wrap-distance-left:9pt;mso-wrap-distance-top:11.9pt;mso-wrap-distance-right:9pt;mso-wrap-distance-bottom:11.9pt;mso-position-horizontal:right;mso-position-horizontal-relative:margin;mso-position-vertical:bottom;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" filled="f" stroked="f">
                <v:textbox style="mso-fit-shape-to-text:t" inset="0,0,0,0">
                  <w:txbxContent>
                    <w:p w14:paraId="6B4909D5" w14:textId="77777777" w:rsidR="002B6B23" w:rsidRPr="008124B3" w:rsidRDefault="002B6B23" w:rsidP="007416E0">
                      <w:pPr>
                        <w:pStyle w:val="Bezmezer"/>
                      </w:pPr>
                      <w:r w:rsidRPr="008124B3">
                        <w:t>Průměrné hodinové mzdy a platy</w:t>
                      </w:r>
                    </w:p>
                    <w:p w14:paraId="6C0B1BC0" w14:textId="77777777" w:rsidR="002B6B23" w:rsidRPr="00C872A3" w:rsidRDefault="002B6B23" w:rsidP="002B6B23">
                      <w:pPr>
                        <w:pStyle w:val="Bezmezer"/>
                        <w:keepNext/>
                        <w:widowControl w:val="0"/>
                        <w:pBdr>
                          <w:bottom w:val="single" w:sz="4" w:space="1" w:color="auto"/>
                        </w:pBdr>
                        <w:rPr>
                          <w:kern w:val="2"/>
                          <w:szCs w:val="16"/>
                        </w:rPr>
                      </w:pPr>
                      <w:r>
                        <w:rPr>
                          <w:kern w:val="2"/>
                          <w:sz w:val="16"/>
                          <w:szCs w:val="12"/>
                        </w:rPr>
                        <w:t>(v EUR)</w:t>
                      </w:r>
                    </w:p>
                    <w:p w14:paraId="013479D5" w14:textId="77777777" w:rsidR="002B6B23" w:rsidRPr="003514B1" w:rsidRDefault="002B6B23" w:rsidP="002B6B23">
                      <w:pPr>
                        <w:pStyle w:val="Bezmezer"/>
                        <w:keepNext/>
                        <w:widowControl w:val="0"/>
                        <w:rPr>
                          <w:kern w:val="2"/>
                          <w:sz w:val="18"/>
                          <w:szCs w:val="16"/>
                        </w:rPr>
                      </w:pPr>
                      <w:r>
                        <w:rPr>
                          <w:noProof/>
                          <w:lang w:eastAsia="cs-CZ"/>
                        </w:rPr>
                        <w:drawing>
                          <wp:inline distT="0" distB="0" distL="0" distR="0" wp14:anchorId="6A0BD051" wp14:editId="6243A6BD">
                            <wp:extent cx="3050540" cy="2552700"/>
                            <wp:effectExtent l="0" t="0" r="0" b="0"/>
                            <wp:docPr id="10" name="Graf 10">
                              <a:extLst xmlns:a="http://schemas.openxmlformats.org/drawingml/2006/main">
                                <a:ext uri="{FF2B5EF4-FFF2-40B4-BE49-F238E27FC236}">
                                  <a16:creationId xmlns:a16="http://schemas.microsoft.com/office/drawing/2014/main" id="{6EB557BF-9373-49E3-AC5B-DD9399E720D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55329534" w14:textId="77777777" w:rsidR="002B6B23" w:rsidRDefault="002B6B23" w:rsidP="002B6B23">
                      <w:pPr>
                        <w:widowControl w:val="0"/>
                        <w:pBdr>
                          <w:top w:val="single" w:sz="4" w:space="1" w:color="auto"/>
                        </w:pBdr>
                        <w:spacing w:after="0"/>
                        <w:rPr>
                          <w:kern w:val="2"/>
                          <w:sz w:val="14"/>
                          <w:szCs w:val="16"/>
                        </w:rPr>
                      </w:pPr>
                      <w:r w:rsidRPr="007B5A7A">
                        <w:rPr>
                          <w:kern w:val="2"/>
                          <w:sz w:val="14"/>
                          <w:szCs w:val="16"/>
                        </w:rPr>
                        <w:t>Pramen: data</w:t>
                      </w:r>
                      <w:r>
                        <w:rPr>
                          <w:kern w:val="2"/>
                          <w:sz w:val="14"/>
                          <w:szCs w:val="16"/>
                        </w:rPr>
                        <w:t xml:space="preserve"> Eurostat;</w:t>
                      </w:r>
                      <w:r w:rsidRPr="007B5A7A">
                        <w:rPr>
                          <w:kern w:val="2"/>
                          <w:sz w:val="14"/>
                          <w:szCs w:val="16"/>
                        </w:rPr>
                        <w:t xml:space="preserve"> graf</w:t>
                      </w:r>
                      <w:r>
                        <w:rPr>
                          <w:kern w:val="2"/>
                          <w:sz w:val="14"/>
                          <w:szCs w:val="16"/>
                        </w:rPr>
                        <w:t xml:space="preserve"> MPO</w:t>
                      </w:r>
                    </w:p>
                  </w:txbxContent>
                </v:textbox>
                <w10:wrap type="square" anchorx="margin" anchory="margin"/>
              </v:shape>
            </w:pict>
          </mc:Fallback>
        </mc:AlternateContent>
      </w:r>
      <w:r w:rsidR="00157041">
        <w:t>Grafický přehled</w:t>
      </w:r>
      <w:bookmarkEnd w:id="32"/>
    </w:p>
    <w:p w14:paraId="02824F92" w14:textId="77777777" w:rsidR="002B6B23" w:rsidRDefault="002B6B23" w:rsidP="003C3221">
      <w:r w:rsidRPr="00D67550">
        <w:rPr>
          <w:noProof/>
          <w:lang w:eastAsia="cs-CZ"/>
        </w:rPr>
        <w:lastRenderedPageBreak/>
        <mc:AlternateContent>
          <mc:Choice Requires="wps">
            <w:drawing>
              <wp:anchor distT="151130" distB="151130" distL="114300" distR="114300" simplePos="0" relativeHeight="251807744" behindDoc="0" locked="0" layoutInCell="1" allowOverlap="1" wp14:anchorId="00D6D073" wp14:editId="4C07707E">
                <wp:simplePos x="0" y="0"/>
                <wp:positionH relativeFrom="margin">
                  <wp:align>right</wp:align>
                </wp:positionH>
                <wp:positionV relativeFrom="margin">
                  <wp:posOffset>6117742</wp:posOffset>
                </wp:positionV>
                <wp:extent cx="3059430" cy="2799080"/>
                <wp:effectExtent l="0" t="0" r="7620" b="1270"/>
                <wp:wrapSquare wrapText="bothSides"/>
                <wp:docPr id="90"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59430" cy="2799080"/>
                        </a:xfrm>
                        <a:prstGeom prst="rect">
                          <a:avLst/>
                        </a:prstGeom>
                        <a:noFill/>
                        <a:ln w="9525">
                          <a:noFill/>
                          <a:miter lim="800000"/>
                          <a:headEnd/>
                          <a:tailEnd/>
                        </a:ln>
                      </wps:spPr>
                      <wps:txbx>
                        <w:txbxContent>
                          <w:p w14:paraId="58608F67" w14:textId="77777777" w:rsidR="002B6B23" w:rsidRDefault="002B6B23" w:rsidP="00301991">
                            <w:pPr>
                              <w:pStyle w:val="Bezmezer"/>
                            </w:pPr>
                            <w:r w:rsidRPr="003F29D5">
                              <w:t>Důchody z přímých investic</w:t>
                            </w:r>
                            <w:r>
                              <w:t xml:space="preserve"> zachytávající </w:t>
                            </w:r>
                            <w:r w:rsidRPr="003F29D5">
                              <w:t>přímý odliv div</w:t>
                            </w:r>
                            <w:r>
                              <w:t>i</w:t>
                            </w:r>
                            <w:r w:rsidRPr="003F29D5">
                              <w:t>dend do zahraničí</w:t>
                            </w:r>
                          </w:p>
                          <w:p w14:paraId="0B6A4E18" w14:textId="77777777" w:rsidR="002B6B23" w:rsidRPr="00C872A3" w:rsidRDefault="002B6B23" w:rsidP="002B6B23">
                            <w:pPr>
                              <w:pStyle w:val="Bezmezer"/>
                              <w:keepNext/>
                              <w:widowControl w:val="0"/>
                              <w:pBdr>
                                <w:bottom w:val="single" w:sz="4" w:space="1" w:color="auto"/>
                              </w:pBdr>
                              <w:rPr>
                                <w:kern w:val="2"/>
                                <w:szCs w:val="16"/>
                              </w:rPr>
                            </w:pPr>
                            <w:r>
                              <w:rPr>
                                <w:kern w:val="2"/>
                                <w:sz w:val="16"/>
                                <w:szCs w:val="12"/>
                              </w:rPr>
                              <w:t>(</w:t>
                            </w:r>
                            <w:r w:rsidRPr="002B59D0">
                              <w:rPr>
                                <w:kern w:val="2"/>
                                <w:sz w:val="16"/>
                                <w:szCs w:val="12"/>
                              </w:rPr>
                              <w:t xml:space="preserve">v </w:t>
                            </w:r>
                            <w:r>
                              <w:rPr>
                                <w:kern w:val="2"/>
                                <w:sz w:val="16"/>
                                <w:szCs w:val="12"/>
                              </w:rPr>
                              <w:t>mld. Kč)</w:t>
                            </w:r>
                          </w:p>
                          <w:p w14:paraId="0842A2DF" w14:textId="77777777" w:rsidR="002B6B23" w:rsidRPr="003514B1" w:rsidRDefault="002B6B23" w:rsidP="002B6B23">
                            <w:pPr>
                              <w:pStyle w:val="Bezmezer"/>
                              <w:keepNext/>
                              <w:widowControl w:val="0"/>
                              <w:rPr>
                                <w:kern w:val="2"/>
                                <w:sz w:val="18"/>
                                <w:szCs w:val="16"/>
                              </w:rPr>
                            </w:pPr>
                            <w:r>
                              <w:rPr>
                                <w:noProof/>
                                <w:lang w:eastAsia="cs-CZ"/>
                              </w:rPr>
                              <w:drawing>
                                <wp:inline distT="0" distB="0" distL="0" distR="0" wp14:anchorId="3316488D" wp14:editId="78EA2994">
                                  <wp:extent cx="3050540" cy="2209800"/>
                                  <wp:effectExtent l="0" t="0" r="0" b="0"/>
                                  <wp:docPr id="12" name="Graf 12">
                                    <a:extLst xmlns:a="http://schemas.openxmlformats.org/drawingml/2006/main">
                                      <a:ext uri="{FF2B5EF4-FFF2-40B4-BE49-F238E27FC236}">
                                        <a16:creationId xmlns:a16="http://schemas.microsoft.com/office/drawing/2014/main" id="{78533CA3-D001-46CA-8F79-8BD37D22F2F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7F6F08AB" w14:textId="3A829333" w:rsidR="002B6B23" w:rsidRDefault="002B6B23" w:rsidP="002B6B23">
                            <w:pPr>
                              <w:widowControl w:val="0"/>
                              <w:pBdr>
                                <w:top w:val="single" w:sz="4" w:space="1" w:color="auto"/>
                              </w:pBdr>
                              <w:spacing w:after="0"/>
                              <w:rPr>
                                <w:kern w:val="2"/>
                                <w:sz w:val="14"/>
                                <w:szCs w:val="16"/>
                              </w:rPr>
                            </w:pPr>
                            <w:r w:rsidRPr="007B5A7A">
                              <w:rPr>
                                <w:kern w:val="2"/>
                                <w:sz w:val="14"/>
                                <w:szCs w:val="16"/>
                              </w:rPr>
                              <w:t>Pramen: data</w:t>
                            </w:r>
                            <w:r>
                              <w:rPr>
                                <w:kern w:val="2"/>
                                <w:sz w:val="14"/>
                                <w:szCs w:val="16"/>
                              </w:rPr>
                              <w:t xml:space="preserve"> ČNB </w:t>
                            </w:r>
                            <w:r w:rsidR="007C73F5">
                              <w:rPr>
                                <w:kern w:val="2"/>
                                <w:sz w:val="14"/>
                                <w:szCs w:val="16"/>
                              </w:rPr>
                              <w:t>(p</w:t>
                            </w:r>
                            <w:r>
                              <w:rPr>
                                <w:kern w:val="2"/>
                                <w:sz w:val="14"/>
                                <w:szCs w:val="16"/>
                              </w:rPr>
                              <w:t>latební</w:t>
                            </w:r>
                            <w:r w:rsidRPr="003F29D5">
                              <w:rPr>
                                <w:kern w:val="2"/>
                                <w:sz w:val="14"/>
                                <w:szCs w:val="16"/>
                              </w:rPr>
                              <w:t xml:space="preserve"> bilance</w:t>
                            </w:r>
                            <w:r w:rsidR="007C73F5">
                              <w:rPr>
                                <w:kern w:val="2"/>
                                <w:sz w:val="14"/>
                                <w:szCs w:val="16"/>
                              </w:rPr>
                              <w:t>)</w:t>
                            </w:r>
                            <w:r>
                              <w:rPr>
                                <w:kern w:val="2"/>
                                <w:sz w:val="14"/>
                                <w:szCs w:val="16"/>
                              </w:rPr>
                              <w:t>;</w:t>
                            </w:r>
                            <w:r w:rsidRPr="007B5A7A">
                              <w:rPr>
                                <w:kern w:val="2"/>
                                <w:sz w:val="14"/>
                                <w:szCs w:val="16"/>
                              </w:rPr>
                              <w:t xml:space="preserve"> graf</w:t>
                            </w:r>
                            <w:r>
                              <w:rPr>
                                <w:kern w:val="2"/>
                                <w:sz w:val="14"/>
                                <w:szCs w:val="16"/>
                              </w:rPr>
                              <w:t xml:space="preserve"> MPO</w:t>
                            </w:r>
                          </w:p>
                        </w:txbxContent>
                      </wps:txbx>
                      <wps:bodyPr rot="0" vert="horz" wrap="square" lIns="0" tIns="0" rIns="0" bIns="0" anchor="t" anchorCtr="0">
                        <a:spAutoFit/>
                      </wps:bodyPr>
                    </wps:wsp>
                  </a:graphicData>
                </a:graphic>
                <wp14:sizeRelH relativeFrom="margin">
                  <wp14:pctWidth>0</wp14:pctWidth>
                </wp14:sizeRelH>
                <wp14:sizeRelV relativeFrom="margin">
                  <wp14:pctHeight>0</wp14:pctHeight>
                </wp14:sizeRelV>
              </wp:anchor>
            </w:drawing>
          </mc:Choice>
          <mc:Fallback>
            <w:pict>
              <v:shape w14:anchorId="00D6D073" id="_x0000_s1033" type="#_x0000_t202" style="position:absolute;left:0;text-align:left;margin-left:189.7pt;margin-top:481.7pt;width:240.9pt;height:220.4pt;z-index:251807744;visibility:visible;mso-wrap-style:square;mso-width-percent:0;mso-height-percent:0;mso-wrap-distance-left:9pt;mso-wrap-distance-top:11.9pt;mso-wrap-distance-right:9pt;mso-wrap-distance-bottom:11.9pt;mso-position-horizontal:right;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" filled="f" stroked="f">
                <v:textbox style="mso-fit-shape-to-text:t" inset="0,0,0,0">
                  <w:txbxContent>
                    <w:p w14:paraId="58608F67" w14:textId="77777777" w:rsidR="002B6B23" w:rsidRDefault="002B6B23" w:rsidP="00301991">
                      <w:pPr>
                        <w:pStyle w:val="Bezmezer"/>
                      </w:pPr>
                      <w:r w:rsidRPr="003F29D5">
                        <w:t>Důchody z přímých investic</w:t>
                      </w:r>
                      <w:r>
                        <w:t xml:space="preserve"> zachytávající </w:t>
                      </w:r>
                      <w:r w:rsidRPr="003F29D5">
                        <w:t>přímý odliv div</w:t>
                      </w:r>
                      <w:r>
                        <w:t>i</w:t>
                      </w:r>
                      <w:r w:rsidRPr="003F29D5">
                        <w:t>dend do zahraničí</w:t>
                      </w:r>
                    </w:p>
                    <w:p w14:paraId="0B6A4E18" w14:textId="77777777" w:rsidR="002B6B23" w:rsidRPr="00C872A3" w:rsidRDefault="002B6B23" w:rsidP="002B6B23">
                      <w:pPr>
                        <w:pStyle w:val="Bezmezer"/>
                        <w:keepNext/>
                        <w:widowControl w:val="0"/>
                        <w:pBdr>
                          <w:bottom w:val="single" w:sz="4" w:space="1" w:color="auto"/>
                        </w:pBdr>
                        <w:rPr>
                          <w:kern w:val="2"/>
                          <w:szCs w:val="16"/>
                        </w:rPr>
                      </w:pPr>
                      <w:r>
                        <w:rPr>
                          <w:kern w:val="2"/>
                          <w:sz w:val="16"/>
                          <w:szCs w:val="12"/>
                        </w:rPr>
                        <w:t>(</w:t>
                      </w:r>
                      <w:r w:rsidRPr="002B59D0">
                        <w:rPr>
                          <w:kern w:val="2"/>
                          <w:sz w:val="16"/>
                          <w:szCs w:val="12"/>
                        </w:rPr>
                        <w:t xml:space="preserve">v </w:t>
                      </w:r>
                      <w:r>
                        <w:rPr>
                          <w:kern w:val="2"/>
                          <w:sz w:val="16"/>
                          <w:szCs w:val="12"/>
                        </w:rPr>
                        <w:t>mld. Kč)</w:t>
                      </w:r>
                    </w:p>
                    <w:p w14:paraId="0842A2DF" w14:textId="77777777" w:rsidR="002B6B23" w:rsidRPr="003514B1" w:rsidRDefault="002B6B23" w:rsidP="002B6B23">
                      <w:pPr>
                        <w:pStyle w:val="Bezmezer"/>
                        <w:keepNext/>
                        <w:widowControl w:val="0"/>
                        <w:rPr>
                          <w:kern w:val="2"/>
                          <w:sz w:val="18"/>
                          <w:szCs w:val="16"/>
                        </w:rPr>
                      </w:pPr>
                      <w:r>
                        <w:rPr>
                          <w:noProof/>
                          <w:lang w:eastAsia="cs-CZ"/>
                        </w:rPr>
                        <w:drawing>
                          <wp:inline distT="0" distB="0" distL="0" distR="0" wp14:anchorId="3316488D" wp14:editId="78EA2994">
                            <wp:extent cx="3050540" cy="2209800"/>
                            <wp:effectExtent l="0" t="0" r="0" b="0"/>
                            <wp:docPr id="12" name="Graf 12">
                              <a:extLst xmlns:a="http://schemas.openxmlformats.org/drawingml/2006/main">
                                <a:ext uri="{FF2B5EF4-FFF2-40B4-BE49-F238E27FC236}">
                                  <a16:creationId xmlns:a16="http://schemas.microsoft.com/office/drawing/2014/main" id="{78533CA3-D001-46CA-8F79-8BD37D22F2F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7F6F08AB" w14:textId="3A829333" w:rsidR="002B6B23" w:rsidRDefault="002B6B23" w:rsidP="002B6B23">
                      <w:pPr>
                        <w:widowControl w:val="0"/>
                        <w:pBdr>
                          <w:top w:val="single" w:sz="4" w:space="1" w:color="auto"/>
                        </w:pBdr>
                        <w:spacing w:after="0"/>
                        <w:rPr>
                          <w:kern w:val="2"/>
                          <w:sz w:val="14"/>
                          <w:szCs w:val="16"/>
                        </w:rPr>
                      </w:pPr>
                      <w:r w:rsidRPr="007B5A7A">
                        <w:rPr>
                          <w:kern w:val="2"/>
                          <w:sz w:val="14"/>
                          <w:szCs w:val="16"/>
                        </w:rPr>
                        <w:t>Pramen: data</w:t>
                      </w:r>
                      <w:r>
                        <w:rPr>
                          <w:kern w:val="2"/>
                          <w:sz w:val="14"/>
                          <w:szCs w:val="16"/>
                        </w:rPr>
                        <w:t xml:space="preserve"> ČNB </w:t>
                      </w:r>
                      <w:r w:rsidR="007C73F5">
                        <w:rPr>
                          <w:kern w:val="2"/>
                          <w:sz w:val="14"/>
                          <w:szCs w:val="16"/>
                        </w:rPr>
                        <w:t>(p</w:t>
                      </w:r>
                      <w:r>
                        <w:rPr>
                          <w:kern w:val="2"/>
                          <w:sz w:val="14"/>
                          <w:szCs w:val="16"/>
                        </w:rPr>
                        <w:t>latební</w:t>
                      </w:r>
                      <w:r w:rsidRPr="003F29D5">
                        <w:rPr>
                          <w:kern w:val="2"/>
                          <w:sz w:val="14"/>
                          <w:szCs w:val="16"/>
                        </w:rPr>
                        <w:t xml:space="preserve"> bilance</w:t>
                      </w:r>
                      <w:r w:rsidR="007C73F5">
                        <w:rPr>
                          <w:kern w:val="2"/>
                          <w:sz w:val="14"/>
                          <w:szCs w:val="16"/>
                        </w:rPr>
                        <w:t>)</w:t>
                      </w:r>
                      <w:r>
                        <w:rPr>
                          <w:kern w:val="2"/>
                          <w:sz w:val="14"/>
                          <w:szCs w:val="16"/>
                        </w:rPr>
                        <w:t>;</w:t>
                      </w:r>
                      <w:r w:rsidRPr="007B5A7A">
                        <w:rPr>
                          <w:kern w:val="2"/>
                          <w:sz w:val="14"/>
                          <w:szCs w:val="16"/>
                        </w:rPr>
                        <w:t xml:space="preserve"> graf</w:t>
                      </w:r>
                      <w:r>
                        <w:rPr>
                          <w:kern w:val="2"/>
                          <w:sz w:val="14"/>
                          <w:szCs w:val="16"/>
                        </w:rPr>
                        <w:t xml:space="preserve"> MPO</w:t>
                      </w:r>
                    </w:p>
                  </w:txbxContent>
                </v:textbox>
                <w10:wrap type="square" anchorx="margin" anchory="margin"/>
              </v:shape>
            </w:pict>
          </mc:Fallback>
        </mc:AlternateContent>
      </w:r>
      <w:r w:rsidRPr="00D67550">
        <w:rPr>
          <w:noProof/>
          <w:lang w:eastAsia="cs-CZ"/>
        </w:rPr>
        <mc:AlternateContent>
          <mc:Choice Requires="wps">
            <w:drawing>
              <wp:anchor distT="151130" distB="151130" distL="114300" distR="114300" simplePos="0" relativeHeight="251810816" behindDoc="0" locked="0" layoutInCell="1" allowOverlap="1" wp14:anchorId="54736BC3" wp14:editId="6AFA02E9">
                <wp:simplePos x="0" y="0"/>
                <wp:positionH relativeFrom="margin">
                  <wp:align>right</wp:align>
                </wp:positionH>
                <wp:positionV relativeFrom="margin">
                  <wp:posOffset>3175610</wp:posOffset>
                </wp:positionV>
                <wp:extent cx="3059430" cy="2937510"/>
                <wp:effectExtent l="0" t="0" r="7620" b="3810"/>
                <wp:wrapSquare wrapText="bothSides"/>
                <wp:docPr id="91"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59430" cy="2937510"/>
                        </a:xfrm>
                        <a:prstGeom prst="rect">
                          <a:avLst/>
                        </a:prstGeom>
                        <a:noFill/>
                        <a:ln w="9525">
                          <a:noFill/>
                          <a:miter lim="800000"/>
                          <a:headEnd/>
                          <a:tailEnd/>
                        </a:ln>
                      </wps:spPr>
                      <wps:txbx>
                        <w:txbxContent>
                          <w:p w14:paraId="4A4A033C" w14:textId="77777777" w:rsidR="002B6B23" w:rsidRDefault="002B6B23" w:rsidP="00301991">
                            <w:pPr>
                              <w:pStyle w:val="Bezmezer"/>
                            </w:pPr>
                            <w:r w:rsidRPr="00EB09FF">
                              <w:t>Vládní dluh</w:t>
                            </w:r>
                          </w:p>
                          <w:p w14:paraId="146AE100" w14:textId="77777777" w:rsidR="002B6B23" w:rsidRPr="00C872A3" w:rsidRDefault="002B6B23" w:rsidP="002B6B23">
                            <w:pPr>
                              <w:pStyle w:val="Bezmezer"/>
                              <w:keepNext/>
                              <w:widowControl w:val="0"/>
                              <w:pBdr>
                                <w:bottom w:val="single" w:sz="4" w:space="1" w:color="auto"/>
                              </w:pBdr>
                              <w:rPr>
                                <w:kern w:val="2"/>
                                <w:szCs w:val="16"/>
                              </w:rPr>
                            </w:pPr>
                            <w:r>
                              <w:rPr>
                                <w:kern w:val="2"/>
                                <w:sz w:val="16"/>
                                <w:szCs w:val="12"/>
                              </w:rPr>
                              <w:t>(</w:t>
                            </w:r>
                            <w:r w:rsidRPr="002B59D0">
                              <w:rPr>
                                <w:kern w:val="2"/>
                                <w:sz w:val="16"/>
                                <w:szCs w:val="12"/>
                              </w:rPr>
                              <w:t>%</w:t>
                            </w:r>
                            <w:r>
                              <w:rPr>
                                <w:kern w:val="2"/>
                                <w:sz w:val="16"/>
                                <w:szCs w:val="12"/>
                              </w:rPr>
                              <w:t xml:space="preserve"> HDP)</w:t>
                            </w:r>
                          </w:p>
                          <w:p w14:paraId="63468C6C" w14:textId="77777777" w:rsidR="002B6B23" w:rsidRPr="003514B1" w:rsidRDefault="002B6B23" w:rsidP="002B6B23">
                            <w:pPr>
                              <w:pStyle w:val="Bezmezer"/>
                              <w:keepNext/>
                              <w:widowControl w:val="0"/>
                              <w:rPr>
                                <w:kern w:val="2"/>
                                <w:sz w:val="18"/>
                                <w:szCs w:val="16"/>
                              </w:rPr>
                            </w:pPr>
                            <w:r>
                              <w:rPr>
                                <w:noProof/>
                                <w:lang w:eastAsia="cs-CZ"/>
                              </w:rPr>
                              <w:drawing>
                                <wp:inline distT="0" distB="0" distL="0" distR="0" wp14:anchorId="092B999E" wp14:editId="68B104EF">
                                  <wp:extent cx="3050540" cy="2194560"/>
                                  <wp:effectExtent l="0" t="0" r="0" b="0"/>
                                  <wp:docPr id="13" name="Graf 13">
                                    <a:extLst xmlns:a="http://schemas.openxmlformats.org/drawingml/2006/main">
                                      <a:ext uri="{FF2B5EF4-FFF2-40B4-BE49-F238E27FC236}">
                                        <a16:creationId xmlns:a16="http://schemas.microsoft.com/office/drawing/2014/main" id="{E41E41F8-74FD-4D47-88D3-00C338BABD9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2485F9C1" w14:textId="77777777" w:rsidR="002B6B23" w:rsidRDefault="002B6B23" w:rsidP="002B6B23">
                            <w:pPr>
                              <w:widowControl w:val="0"/>
                              <w:pBdr>
                                <w:top w:val="single" w:sz="4" w:space="1" w:color="auto"/>
                              </w:pBdr>
                              <w:spacing w:after="0"/>
                              <w:rPr>
                                <w:kern w:val="2"/>
                                <w:sz w:val="14"/>
                                <w:szCs w:val="16"/>
                              </w:rPr>
                            </w:pPr>
                            <w:r w:rsidRPr="007B5A7A">
                              <w:rPr>
                                <w:kern w:val="2"/>
                                <w:sz w:val="14"/>
                                <w:szCs w:val="16"/>
                              </w:rPr>
                              <w:t>Pramen: data</w:t>
                            </w:r>
                            <w:r>
                              <w:rPr>
                                <w:kern w:val="2"/>
                                <w:sz w:val="14"/>
                                <w:szCs w:val="16"/>
                              </w:rPr>
                              <w:t xml:space="preserve"> Eurostat;</w:t>
                            </w:r>
                            <w:r w:rsidRPr="007B5A7A">
                              <w:rPr>
                                <w:kern w:val="2"/>
                                <w:sz w:val="14"/>
                                <w:szCs w:val="16"/>
                              </w:rPr>
                              <w:t xml:space="preserve"> graf</w:t>
                            </w:r>
                            <w:r>
                              <w:rPr>
                                <w:kern w:val="2"/>
                                <w:sz w:val="14"/>
                                <w:szCs w:val="16"/>
                              </w:rPr>
                              <w:t xml:space="preserve"> MPO</w:t>
                            </w:r>
                          </w:p>
                        </w:txbxContent>
                      </wps:txbx>
                      <wps:bodyPr rot="0" vert="horz" wrap="square" lIns="0" tIns="0" rIns="0" bIns="0" anchor="t" anchorCtr="0">
                        <a:spAutoFit/>
                      </wps:bodyPr>
                    </wps:wsp>
                  </a:graphicData>
                </a:graphic>
                <wp14:sizeRelH relativeFrom="margin">
                  <wp14:pctWidth>0</wp14:pctWidth>
                </wp14:sizeRelH>
                <wp14:sizeRelV relativeFrom="margin">
                  <wp14:pctHeight>0</wp14:pctHeight>
                </wp14:sizeRelV>
              </wp:anchor>
            </w:drawing>
          </mc:Choice>
          <mc:Fallback>
            <w:pict>
              <v:shape w14:anchorId="54736BC3" id="_x0000_s1034" type="#_x0000_t202" style="position:absolute;left:0;text-align:left;margin-left:189.7pt;margin-top:250.05pt;width:240.9pt;height:231.3pt;z-index:251810816;visibility:visible;mso-wrap-style:square;mso-width-percent:0;mso-height-percent:0;mso-wrap-distance-left:9pt;mso-wrap-distance-top:11.9pt;mso-wrap-distance-right:9pt;mso-wrap-distance-bottom:11.9pt;mso-position-horizontal:right;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" filled="f" stroked="f">
                <v:textbox style="mso-fit-shape-to-text:t" inset="0,0,0,0">
                  <w:txbxContent>
                    <w:p w14:paraId="4A4A033C" w14:textId="77777777" w:rsidR="002B6B23" w:rsidRDefault="002B6B23" w:rsidP="00301991">
                      <w:pPr>
                        <w:pStyle w:val="Bezmezer"/>
                      </w:pPr>
                      <w:r w:rsidRPr="00EB09FF">
                        <w:t>Vládní dluh</w:t>
                      </w:r>
                    </w:p>
                    <w:p w14:paraId="146AE100" w14:textId="77777777" w:rsidR="002B6B23" w:rsidRPr="00C872A3" w:rsidRDefault="002B6B23" w:rsidP="002B6B23">
                      <w:pPr>
                        <w:pStyle w:val="Bezmezer"/>
                        <w:keepNext/>
                        <w:widowControl w:val="0"/>
                        <w:pBdr>
                          <w:bottom w:val="single" w:sz="4" w:space="1" w:color="auto"/>
                        </w:pBdr>
                        <w:rPr>
                          <w:kern w:val="2"/>
                          <w:szCs w:val="16"/>
                        </w:rPr>
                      </w:pPr>
                      <w:r>
                        <w:rPr>
                          <w:kern w:val="2"/>
                          <w:sz w:val="16"/>
                          <w:szCs w:val="12"/>
                        </w:rPr>
                        <w:t>(</w:t>
                      </w:r>
                      <w:r w:rsidRPr="002B59D0">
                        <w:rPr>
                          <w:kern w:val="2"/>
                          <w:sz w:val="16"/>
                          <w:szCs w:val="12"/>
                        </w:rPr>
                        <w:t>%</w:t>
                      </w:r>
                      <w:r>
                        <w:rPr>
                          <w:kern w:val="2"/>
                          <w:sz w:val="16"/>
                          <w:szCs w:val="12"/>
                        </w:rPr>
                        <w:t xml:space="preserve"> HDP)</w:t>
                      </w:r>
                    </w:p>
                    <w:p w14:paraId="63468C6C" w14:textId="77777777" w:rsidR="002B6B23" w:rsidRPr="003514B1" w:rsidRDefault="002B6B23" w:rsidP="002B6B23">
                      <w:pPr>
                        <w:pStyle w:val="Bezmezer"/>
                        <w:keepNext/>
                        <w:widowControl w:val="0"/>
                        <w:rPr>
                          <w:kern w:val="2"/>
                          <w:sz w:val="18"/>
                          <w:szCs w:val="16"/>
                        </w:rPr>
                      </w:pPr>
                      <w:r>
                        <w:rPr>
                          <w:noProof/>
                          <w:lang w:eastAsia="cs-CZ"/>
                        </w:rPr>
                        <w:drawing>
                          <wp:inline distT="0" distB="0" distL="0" distR="0" wp14:anchorId="092B999E" wp14:editId="68B104EF">
                            <wp:extent cx="3050540" cy="2194560"/>
                            <wp:effectExtent l="0" t="0" r="0" b="0"/>
                            <wp:docPr id="13" name="Graf 13">
                              <a:extLst xmlns:a="http://schemas.openxmlformats.org/drawingml/2006/main">
                                <a:ext uri="{FF2B5EF4-FFF2-40B4-BE49-F238E27FC236}">
                                  <a16:creationId xmlns:a16="http://schemas.microsoft.com/office/drawing/2014/main" id="{E41E41F8-74FD-4D47-88D3-00C338BABD9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2485F9C1" w14:textId="77777777" w:rsidR="002B6B23" w:rsidRDefault="002B6B23" w:rsidP="002B6B23">
                      <w:pPr>
                        <w:widowControl w:val="0"/>
                        <w:pBdr>
                          <w:top w:val="single" w:sz="4" w:space="1" w:color="auto"/>
                        </w:pBdr>
                        <w:spacing w:after="0"/>
                        <w:rPr>
                          <w:kern w:val="2"/>
                          <w:sz w:val="14"/>
                          <w:szCs w:val="16"/>
                        </w:rPr>
                      </w:pPr>
                      <w:r w:rsidRPr="007B5A7A">
                        <w:rPr>
                          <w:kern w:val="2"/>
                          <w:sz w:val="14"/>
                          <w:szCs w:val="16"/>
                        </w:rPr>
                        <w:t>Pramen: data</w:t>
                      </w:r>
                      <w:r>
                        <w:rPr>
                          <w:kern w:val="2"/>
                          <w:sz w:val="14"/>
                          <w:szCs w:val="16"/>
                        </w:rPr>
                        <w:t xml:space="preserve"> Eurostat;</w:t>
                      </w:r>
                      <w:r w:rsidRPr="007B5A7A">
                        <w:rPr>
                          <w:kern w:val="2"/>
                          <w:sz w:val="14"/>
                          <w:szCs w:val="16"/>
                        </w:rPr>
                        <w:t xml:space="preserve"> graf</w:t>
                      </w:r>
                      <w:r>
                        <w:rPr>
                          <w:kern w:val="2"/>
                          <w:sz w:val="14"/>
                          <w:szCs w:val="16"/>
                        </w:rPr>
                        <w:t xml:space="preserve"> MPO</w:t>
                      </w:r>
                    </w:p>
                  </w:txbxContent>
                </v:textbox>
                <w10:wrap type="square" anchorx="margin" anchory="margin"/>
              </v:shape>
            </w:pict>
          </mc:Fallback>
        </mc:AlternateContent>
      </w:r>
      <w:r w:rsidRPr="002802F3">
        <w:rPr>
          <w:noProof/>
          <w:highlight w:val="yellow"/>
          <w:lang w:eastAsia="cs-CZ"/>
        </w:rPr>
        <mc:AlternateContent>
          <mc:Choice Requires="wps">
            <w:drawing>
              <wp:anchor distT="151130" distB="151130" distL="114300" distR="114300" simplePos="0" relativeHeight="251815936" behindDoc="0" locked="0" layoutInCell="1" allowOverlap="1" wp14:anchorId="144E9424" wp14:editId="2595E758">
                <wp:simplePos x="0" y="0"/>
                <wp:positionH relativeFrom="margin">
                  <wp:align>right</wp:align>
                </wp:positionH>
                <wp:positionV relativeFrom="margin">
                  <wp:posOffset>-18103</wp:posOffset>
                </wp:positionV>
                <wp:extent cx="3059430" cy="2651125"/>
                <wp:effectExtent l="0" t="0" r="7620" b="0"/>
                <wp:wrapSquare wrapText="bothSides"/>
                <wp:docPr id="92"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59430" cy="2651125"/>
                        </a:xfrm>
                        <a:prstGeom prst="rect">
                          <a:avLst/>
                        </a:prstGeom>
                        <a:noFill/>
                        <a:ln w="9525">
                          <a:noFill/>
                          <a:miter lim="800000"/>
                          <a:headEnd/>
                          <a:tailEnd/>
                        </a:ln>
                      </wps:spPr>
                      <wps:txbx>
                        <w:txbxContent>
                          <w:p w14:paraId="6A172A0D" w14:textId="5F4C4FCC" w:rsidR="002B6B23" w:rsidRDefault="002B6B23" w:rsidP="00301991">
                            <w:pPr>
                              <w:pStyle w:val="Bezmezer"/>
                            </w:pPr>
                            <w:r w:rsidRPr="00935536">
                              <w:t>Vývoj hospodaření veřejných rozpočtů v</w:t>
                            </w:r>
                            <w:r>
                              <w:t> </w:t>
                            </w:r>
                            <w:r w:rsidR="0019214C">
                              <w:t>České republice</w:t>
                            </w:r>
                          </w:p>
                          <w:p w14:paraId="15B51DC6" w14:textId="77777777" w:rsidR="002B6B23" w:rsidRPr="00C872A3" w:rsidRDefault="002B6B23" w:rsidP="002B6B23">
                            <w:pPr>
                              <w:pStyle w:val="Bezmezer"/>
                              <w:keepNext/>
                              <w:widowControl w:val="0"/>
                              <w:pBdr>
                                <w:bottom w:val="single" w:sz="4" w:space="1" w:color="auto"/>
                              </w:pBdr>
                              <w:rPr>
                                <w:kern w:val="2"/>
                                <w:szCs w:val="16"/>
                              </w:rPr>
                            </w:pPr>
                            <w:r w:rsidRPr="00CD7BA4">
                              <w:rPr>
                                <w:kern w:val="2"/>
                                <w:sz w:val="16"/>
                                <w:szCs w:val="12"/>
                              </w:rPr>
                              <w:t>(v ml</w:t>
                            </w:r>
                            <w:r>
                              <w:rPr>
                                <w:kern w:val="2"/>
                                <w:sz w:val="16"/>
                                <w:szCs w:val="12"/>
                              </w:rPr>
                              <w:t>d</w:t>
                            </w:r>
                            <w:r w:rsidRPr="00CD7BA4">
                              <w:rPr>
                                <w:kern w:val="2"/>
                                <w:sz w:val="16"/>
                                <w:szCs w:val="12"/>
                              </w:rPr>
                              <w:t>. Kč</w:t>
                            </w:r>
                            <w:r>
                              <w:rPr>
                                <w:kern w:val="2"/>
                                <w:sz w:val="16"/>
                                <w:szCs w:val="12"/>
                              </w:rPr>
                              <w:t>)</w:t>
                            </w:r>
                          </w:p>
                          <w:p w14:paraId="604401BB" w14:textId="77777777" w:rsidR="002B6B23" w:rsidRPr="003514B1" w:rsidRDefault="002B6B23" w:rsidP="002B6B23">
                            <w:pPr>
                              <w:pStyle w:val="Bezmezer"/>
                              <w:keepNext/>
                              <w:widowControl w:val="0"/>
                              <w:rPr>
                                <w:kern w:val="2"/>
                                <w:sz w:val="18"/>
                                <w:szCs w:val="16"/>
                              </w:rPr>
                            </w:pPr>
                            <w:r>
                              <w:rPr>
                                <w:noProof/>
                              </w:rPr>
                              <w:drawing>
                                <wp:inline distT="0" distB="0" distL="0" distR="0" wp14:anchorId="0D8BEA2B" wp14:editId="4BA33E53">
                                  <wp:extent cx="3050540" cy="2477506"/>
                                  <wp:effectExtent l="0" t="0" r="0" b="0"/>
                                  <wp:docPr id="14" name="Graf 14">
                                    <a:extLst xmlns:a="http://schemas.openxmlformats.org/drawingml/2006/main">
                                      <a:ext uri="{FF2B5EF4-FFF2-40B4-BE49-F238E27FC236}">
                                        <a16:creationId xmlns:a16="http://schemas.microsoft.com/office/drawing/2014/main" id="{16C8E10E-0999-42E4-AD7B-5BE2D5585D4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2C0343BE" w14:textId="77777777" w:rsidR="002B6B23" w:rsidRDefault="002B6B23" w:rsidP="002B6B23">
                            <w:pPr>
                              <w:widowControl w:val="0"/>
                              <w:pBdr>
                                <w:top w:val="single" w:sz="4" w:space="1" w:color="auto"/>
                              </w:pBdr>
                              <w:spacing w:after="0"/>
                              <w:rPr>
                                <w:kern w:val="2"/>
                                <w:sz w:val="14"/>
                                <w:szCs w:val="16"/>
                              </w:rPr>
                            </w:pPr>
                            <w:r w:rsidRPr="00A812C4">
                              <w:rPr>
                                <w:kern w:val="2"/>
                                <w:sz w:val="14"/>
                                <w:szCs w:val="16"/>
                              </w:rPr>
                              <w:t xml:space="preserve">Pramen: </w:t>
                            </w:r>
                            <w:r>
                              <w:rPr>
                                <w:kern w:val="2"/>
                                <w:sz w:val="14"/>
                                <w:szCs w:val="16"/>
                              </w:rPr>
                              <w:t xml:space="preserve">data </w:t>
                            </w:r>
                            <w:r w:rsidRPr="00A812C4">
                              <w:rPr>
                                <w:kern w:val="2"/>
                                <w:sz w:val="14"/>
                                <w:szCs w:val="16"/>
                              </w:rPr>
                              <w:t>Eurostat</w:t>
                            </w:r>
                            <w:r>
                              <w:rPr>
                                <w:kern w:val="2"/>
                                <w:sz w:val="14"/>
                                <w:szCs w:val="16"/>
                              </w:rPr>
                              <w:t>, graf MPO</w:t>
                            </w:r>
                          </w:p>
                        </w:txbxContent>
                      </wps:txbx>
                      <wps:bodyPr rot="0" vert="horz" wrap="square" lIns="0" tIns="0" rIns="0" bIns="0" anchor="t" anchorCtr="0">
                        <a:spAutoFit/>
                      </wps:bodyPr>
                    </wps:wsp>
                  </a:graphicData>
                </a:graphic>
                <wp14:sizeRelH relativeFrom="margin">
                  <wp14:pctWidth>0</wp14:pctWidth>
                </wp14:sizeRelH>
                <wp14:sizeRelV relativeFrom="margin">
                  <wp14:pctHeight>0</wp14:pctHeight>
                </wp14:sizeRelV>
              </wp:anchor>
            </w:drawing>
          </mc:Choice>
          <mc:Fallback>
            <w:pict>
              <v:shape w14:anchorId="144E9424" id="_x0000_s1035" type="#_x0000_t202" style="position:absolute;left:0;text-align:left;margin-left:189.7pt;margin-top:-1.45pt;width:240.9pt;height:208.75pt;z-index:251815936;visibility:visible;mso-wrap-style:square;mso-width-percent:0;mso-height-percent:0;mso-wrap-distance-left:9pt;mso-wrap-distance-top:11.9pt;mso-wrap-distance-right:9pt;mso-wrap-distance-bottom:11.9pt;mso-position-horizontal:right;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" filled="f" stroked="f">
                <v:textbox style="mso-fit-shape-to-text:t" inset="0,0,0,0">
                  <w:txbxContent>
                    <w:p w14:paraId="6A172A0D" w14:textId="5F4C4FCC" w:rsidR="002B6B23" w:rsidRDefault="002B6B23" w:rsidP="00301991">
                      <w:pPr>
                        <w:pStyle w:val="Bezmezer"/>
                      </w:pPr>
                      <w:r w:rsidRPr="00935536">
                        <w:t>Vývoj hospodaření veřejných rozpočtů v</w:t>
                      </w:r>
                      <w:r>
                        <w:t> </w:t>
                      </w:r>
                      <w:r w:rsidR="0019214C">
                        <w:t>České republice</w:t>
                      </w:r>
                    </w:p>
                    <w:p w14:paraId="15B51DC6" w14:textId="77777777" w:rsidR="002B6B23" w:rsidRPr="00C872A3" w:rsidRDefault="002B6B23" w:rsidP="002B6B23">
                      <w:pPr>
                        <w:pStyle w:val="Bezmezer"/>
                        <w:keepNext/>
                        <w:widowControl w:val="0"/>
                        <w:pBdr>
                          <w:bottom w:val="single" w:sz="4" w:space="1" w:color="auto"/>
                        </w:pBdr>
                        <w:rPr>
                          <w:kern w:val="2"/>
                          <w:szCs w:val="16"/>
                        </w:rPr>
                      </w:pPr>
                      <w:r w:rsidRPr="00CD7BA4">
                        <w:rPr>
                          <w:kern w:val="2"/>
                          <w:sz w:val="16"/>
                          <w:szCs w:val="12"/>
                        </w:rPr>
                        <w:t>(v ml</w:t>
                      </w:r>
                      <w:r>
                        <w:rPr>
                          <w:kern w:val="2"/>
                          <w:sz w:val="16"/>
                          <w:szCs w:val="12"/>
                        </w:rPr>
                        <w:t>d</w:t>
                      </w:r>
                      <w:r w:rsidRPr="00CD7BA4">
                        <w:rPr>
                          <w:kern w:val="2"/>
                          <w:sz w:val="16"/>
                          <w:szCs w:val="12"/>
                        </w:rPr>
                        <w:t>. Kč</w:t>
                      </w:r>
                      <w:r>
                        <w:rPr>
                          <w:kern w:val="2"/>
                          <w:sz w:val="16"/>
                          <w:szCs w:val="12"/>
                        </w:rPr>
                        <w:t>)</w:t>
                      </w:r>
                    </w:p>
                    <w:p w14:paraId="604401BB" w14:textId="77777777" w:rsidR="002B6B23" w:rsidRPr="003514B1" w:rsidRDefault="002B6B23" w:rsidP="002B6B23">
                      <w:pPr>
                        <w:pStyle w:val="Bezmezer"/>
                        <w:keepNext/>
                        <w:widowControl w:val="0"/>
                        <w:rPr>
                          <w:kern w:val="2"/>
                          <w:sz w:val="18"/>
                          <w:szCs w:val="16"/>
                        </w:rPr>
                      </w:pPr>
                      <w:r>
                        <w:rPr>
                          <w:noProof/>
                        </w:rPr>
                        <w:drawing>
                          <wp:inline distT="0" distB="0" distL="0" distR="0" wp14:anchorId="0D8BEA2B" wp14:editId="4BA33E53">
                            <wp:extent cx="3050540" cy="2477506"/>
                            <wp:effectExtent l="0" t="0" r="0" b="0"/>
                            <wp:docPr id="14" name="Graf 14">
                              <a:extLst xmlns:a="http://schemas.openxmlformats.org/drawingml/2006/main">
                                <a:ext uri="{FF2B5EF4-FFF2-40B4-BE49-F238E27FC236}">
                                  <a16:creationId xmlns:a16="http://schemas.microsoft.com/office/drawing/2014/main" id="{16C8E10E-0999-42E4-AD7B-5BE2D5585D4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2C0343BE" w14:textId="77777777" w:rsidR="002B6B23" w:rsidRDefault="002B6B23" w:rsidP="002B6B23">
                      <w:pPr>
                        <w:widowControl w:val="0"/>
                        <w:pBdr>
                          <w:top w:val="single" w:sz="4" w:space="1" w:color="auto"/>
                        </w:pBdr>
                        <w:spacing w:after="0"/>
                        <w:rPr>
                          <w:kern w:val="2"/>
                          <w:sz w:val="14"/>
                          <w:szCs w:val="16"/>
                        </w:rPr>
                      </w:pPr>
                      <w:r w:rsidRPr="00A812C4">
                        <w:rPr>
                          <w:kern w:val="2"/>
                          <w:sz w:val="14"/>
                          <w:szCs w:val="16"/>
                        </w:rPr>
                        <w:t xml:space="preserve">Pramen: </w:t>
                      </w:r>
                      <w:r>
                        <w:rPr>
                          <w:kern w:val="2"/>
                          <w:sz w:val="14"/>
                          <w:szCs w:val="16"/>
                        </w:rPr>
                        <w:t xml:space="preserve">data </w:t>
                      </w:r>
                      <w:r w:rsidRPr="00A812C4">
                        <w:rPr>
                          <w:kern w:val="2"/>
                          <w:sz w:val="14"/>
                          <w:szCs w:val="16"/>
                        </w:rPr>
                        <w:t>Eurostat</w:t>
                      </w:r>
                      <w:r>
                        <w:rPr>
                          <w:kern w:val="2"/>
                          <w:sz w:val="14"/>
                          <w:szCs w:val="16"/>
                        </w:rPr>
                        <w:t>, graf MPO</w:t>
                      </w:r>
                    </w:p>
                  </w:txbxContent>
                </v:textbox>
                <w10:wrap type="square" anchorx="margin" anchory="margin"/>
              </v:shape>
            </w:pict>
          </mc:Fallback>
        </mc:AlternateContent>
      </w:r>
      <w:r w:rsidRPr="00F671CB">
        <w:rPr>
          <w:noProof/>
          <w:lang w:eastAsia="cs-CZ"/>
        </w:rPr>
        <mc:AlternateContent>
          <mc:Choice Requires="wps">
            <w:drawing>
              <wp:anchor distT="151130" distB="151130" distL="114300" distR="114300" simplePos="0" relativeHeight="251819008" behindDoc="0" locked="0" layoutInCell="1" allowOverlap="1" wp14:anchorId="02D8F2A4" wp14:editId="57E11E9F">
                <wp:simplePos x="0" y="0"/>
                <wp:positionH relativeFrom="margin">
                  <wp:align>left</wp:align>
                </wp:positionH>
                <wp:positionV relativeFrom="margin">
                  <wp:posOffset>6274676</wp:posOffset>
                </wp:positionV>
                <wp:extent cx="3059430" cy="2567940"/>
                <wp:effectExtent l="0" t="0" r="7620" b="3810"/>
                <wp:wrapSquare wrapText="bothSides"/>
                <wp:docPr id="95"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59430" cy="2567940"/>
                        </a:xfrm>
                        <a:prstGeom prst="rect">
                          <a:avLst/>
                        </a:prstGeom>
                        <a:noFill/>
                        <a:ln w="9525">
                          <a:noFill/>
                          <a:miter lim="800000"/>
                          <a:headEnd/>
                          <a:tailEnd/>
                        </a:ln>
                      </wps:spPr>
                      <wps:txbx>
                        <w:txbxContent>
                          <w:p w14:paraId="509AD3AA" w14:textId="0F281617" w:rsidR="002B6B23" w:rsidRDefault="002B6B23" w:rsidP="00301991">
                            <w:pPr>
                              <w:pStyle w:val="Bezmezer"/>
                            </w:pPr>
                            <w:r>
                              <w:t>Vývoj průměrné míry inflace v </w:t>
                            </w:r>
                            <w:r w:rsidR="0019214C">
                              <w:t>České republice</w:t>
                            </w:r>
                          </w:p>
                          <w:p w14:paraId="5EB6EE9B" w14:textId="77777777" w:rsidR="002B6B23" w:rsidRPr="00CD7BA4" w:rsidRDefault="002B6B23" w:rsidP="002B6B23">
                            <w:pPr>
                              <w:pStyle w:val="Bezmezer"/>
                              <w:keepNext/>
                              <w:widowControl w:val="0"/>
                              <w:pBdr>
                                <w:bottom w:val="single" w:sz="4" w:space="1" w:color="auto"/>
                              </w:pBdr>
                              <w:rPr>
                                <w:kern w:val="2"/>
                                <w:sz w:val="16"/>
                                <w:szCs w:val="16"/>
                              </w:rPr>
                            </w:pPr>
                            <w:r w:rsidRPr="00CD7BA4">
                              <w:rPr>
                                <w:kern w:val="2"/>
                                <w:sz w:val="16"/>
                                <w:szCs w:val="16"/>
                              </w:rPr>
                              <w:t>(v %)</w:t>
                            </w:r>
                          </w:p>
                          <w:p w14:paraId="2AECA5F3" w14:textId="77777777" w:rsidR="002B6B23" w:rsidRPr="003514B1" w:rsidRDefault="002B6B23" w:rsidP="002B6B23">
                            <w:pPr>
                              <w:pStyle w:val="Bezmezer"/>
                              <w:keepNext/>
                              <w:widowControl w:val="0"/>
                              <w:rPr>
                                <w:kern w:val="2"/>
                                <w:sz w:val="18"/>
                                <w:szCs w:val="16"/>
                              </w:rPr>
                            </w:pPr>
                            <w:r>
                              <w:rPr>
                                <w:noProof/>
                              </w:rPr>
                              <w:drawing>
                                <wp:inline distT="0" distB="0" distL="0" distR="0" wp14:anchorId="65A3D991" wp14:editId="59DE7F9E">
                                  <wp:extent cx="3059430" cy="2201875"/>
                                  <wp:effectExtent l="0" t="0" r="7620" b="8255"/>
                                  <wp:docPr id="15" name="Graf 15">
                                    <a:extLst xmlns:a="http://schemas.openxmlformats.org/drawingml/2006/main">
                                      <a:ext uri="{FF2B5EF4-FFF2-40B4-BE49-F238E27FC236}">
                                        <a16:creationId xmlns:a16="http://schemas.microsoft.com/office/drawing/2014/main" id="{CF0D2161-71D8-40D8-8DAB-49A555708F9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53A7157F" w14:textId="77777777" w:rsidR="002B6B23" w:rsidRDefault="002B6B23" w:rsidP="002B6B23">
                            <w:pPr>
                              <w:widowControl w:val="0"/>
                              <w:pBdr>
                                <w:top w:val="single" w:sz="4" w:space="1" w:color="auto"/>
                              </w:pBdr>
                              <w:spacing w:after="0"/>
                              <w:rPr>
                                <w:kern w:val="2"/>
                                <w:sz w:val="14"/>
                                <w:szCs w:val="16"/>
                              </w:rPr>
                            </w:pPr>
                            <w:r w:rsidRPr="007B5A7A">
                              <w:rPr>
                                <w:kern w:val="2"/>
                                <w:sz w:val="14"/>
                                <w:szCs w:val="16"/>
                              </w:rPr>
                              <w:t>Pramen: data</w:t>
                            </w:r>
                            <w:r>
                              <w:rPr>
                                <w:kern w:val="2"/>
                                <w:sz w:val="14"/>
                                <w:szCs w:val="16"/>
                              </w:rPr>
                              <w:t xml:space="preserve"> ČSÚ;</w:t>
                            </w:r>
                            <w:r w:rsidRPr="007B5A7A">
                              <w:rPr>
                                <w:kern w:val="2"/>
                                <w:sz w:val="14"/>
                                <w:szCs w:val="16"/>
                              </w:rPr>
                              <w:t xml:space="preserve"> graf</w:t>
                            </w:r>
                            <w:r>
                              <w:rPr>
                                <w:kern w:val="2"/>
                                <w:sz w:val="14"/>
                                <w:szCs w:val="16"/>
                              </w:rPr>
                              <w:t xml:space="preserve"> MPO</w:t>
                            </w:r>
                          </w:p>
                        </w:txbxContent>
                      </wps:txbx>
                      <wps:bodyPr rot="0" vert="horz" wrap="square" lIns="0" tIns="0" rIns="0" bIns="0" anchor="t" anchorCtr="0">
                        <a:spAutoFit/>
                      </wps:bodyPr>
                    </wps:wsp>
                  </a:graphicData>
                </a:graphic>
                <wp14:sizeRelH relativeFrom="margin">
                  <wp14:pctWidth>0</wp14:pctWidth>
                </wp14:sizeRelH>
                <wp14:sizeRelV relativeFrom="margin">
                  <wp14:pctHeight>0</wp14:pctHeight>
                </wp14:sizeRelV>
              </wp:anchor>
            </w:drawing>
          </mc:Choice>
          <mc:Fallback>
            <w:pict>
              <v:shape w14:anchorId="02D8F2A4" id="_x0000_s1036" type="#_x0000_t202" style="position:absolute;left:0;text-align:left;margin-left:0;margin-top:494.05pt;width:240.9pt;height:202.2pt;z-index:251819008;visibility:visible;mso-wrap-style:square;mso-width-percent:0;mso-height-percent:0;mso-wrap-distance-left:9pt;mso-wrap-distance-top:11.9pt;mso-wrap-distance-right:9pt;mso-wrap-distance-bottom:11.9pt;mso-position-horizontal:left;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" filled="f" stroked="f">
                <v:textbox style="mso-fit-shape-to-text:t" inset="0,0,0,0">
                  <w:txbxContent>
                    <w:p w14:paraId="509AD3AA" w14:textId="0F281617" w:rsidR="002B6B23" w:rsidRDefault="002B6B23" w:rsidP="00301991">
                      <w:pPr>
                        <w:pStyle w:val="Bezmezer"/>
                      </w:pPr>
                      <w:r>
                        <w:t>Vývoj průměrné míry inflace v </w:t>
                      </w:r>
                      <w:r w:rsidR="0019214C">
                        <w:t>České republice</w:t>
                      </w:r>
                    </w:p>
                    <w:p w14:paraId="5EB6EE9B" w14:textId="77777777" w:rsidR="002B6B23" w:rsidRPr="00CD7BA4" w:rsidRDefault="002B6B23" w:rsidP="002B6B23">
                      <w:pPr>
                        <w:pStyle w:val="Bezmezer"/>
                        <w:keepNext/>
                        <w:widowControl w:val="0"/>
                        <w:pBdr>
                          <w:bottom w:val="single" w:sz="4" w:space="1" w:color="auto"/>
                        </w:pBdr>
                        <w:rPr>
                          <w:kern w:val="2"/>
                          <w:sz w:val="16"/>
                          <w:szCs w:val="16"/>
                        </w:rPr>
                      </w:pPr>
                      <w:r w:rsidRPr="00CD7BA4">
                        <w:rPr>
                          <w:kern w:val="2"/>
                          <w:sz w:val="16"/>
                          <w:szCs w:val="16"/>
                        </w:rPr>
                        <w:t>(v %)</w:t>
                      </w:r>
                    </w:p>
                    <w:p w14:paraId="2AECA5F3" w14:textId="77777777" w:rsidR="002B6B23" w:rsidRPr="003514B1" w:rsidRDefault="002B6B23" w:rsidP="002B6B23">
                      <w:pPr>
                        <w:pStyle w:val="Bezmezer"/>
                        <w:keepNext/>
                        <w:widowControl w:val="0"/>
                        <w:rPr>
                          <w:kern w:val="2"/>
                          <w:sz w:val="18"/>
                          <w:szCs w:val="16"/>
                        </w:rPr>
                      </w:pPr>
                      <w:r>
                        <w:rPr>
                          <w:noProof/>
                        </w:rPr>
                        <w:drawing>
                          <wp:inline distT="0" distB="0" distL="0" distR="0" wp14:anchorId="65A3D991" wp14:editId="59DE7F9E">
                            <wp:extent cx="3059430" cy="2201875"/>
                            <wp:effectExtent l="0" t="0" r="7620" b="8255"/>
                            <wp:docPr id="15" name="Graf 15">
                              <a:extLst xmlns:a="http://schemas.openxmlformats.org/drawingml/2006/main">
                                <a:ext uri="{FF2B5EF4-FFF2-40B4-BE49-F238E27FC236}">
                                  <a16:creationId xmlns:a16="http://schemas.microsoft.com/office/drawing/2014/main" id="{CF0D2161-71D8-40D8-8DAB-49A555708F9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53A7157F" w14:textId="77777777" w:rsidR="002B6B23" w:rsidRDefault="002B6B23" w:rsidP="002B6B23">
                      <w:pPr>
                        <w:widowControl w:val="0"/>
                        <w:pBdr>
                          <w:top w:val="single" w:sz="4" w:space="1" w:color="auto"/>
                        </w:pBdr>
                        <w:spacing w:after="0"/>
                        <w:rPr>
                          <w:kern w:val="2"/>
                          <w:sz w:val="14"/>
                          <w:szCs w:val="16"/>
                        </w:rPr>
                      </w:pPr>
                      <w:r w:rsidRPr="007B5A7A">
                        <w:rPr>
                          <w:kern w:val="2"/>
                          <w:sz w:val="14"/>
                          <w:szCs w:val="16"/>
                        </w:rPr>
                        <w:t>Pramen: data</w:t>
                      </w:r>
                      <w:r>
                        <w:rPr>
                          <w:kern w:val="2"/>
                          <w:sz w:val="14"/>
                          <w:szCs w:val="16"/>
                        </w:rPr>
                        <w:t xml:space="preserve"> ČSÚ;</w:t>
                      </w:r>
                      <w:r w:rsidRPr="007B5A7A">
                        <w:rPr>
                          <w:kern w:val="2"/>
                          <w:sz w:val="14"/>
                          <w:szCs w:val="16"/>
                        </w:rPr>
                        <w:t xml:space="preserve"> graf</w:t>
                      </w:r>
                      <w:r>
                        <w:rPr>
                          <w:kern w:val="2"/>
                          <w:sz w:val="14"/>
                          <w:szCs w:val="16"/>
                        </w:rPr>
                        <w:t xml:space="preserve"> MPO</w:t>
                      </w:r>
                    </w:p>
                  </w:txbxContent>
                </v:textbox>
                <w10:wrap type="square" anchorx="margin" anchory="margin"/>
              </v:shape>
            </w:pict>
          </mc:Fallback>
        </mc:AlternateContent>
      </w:r>
      <w:r w:rsidRPr="00D67550">
        <w:rPr>
          <w:noProof/>
          <w:lang w:eastAsia="cs-CZ"/>
        </w:rPr>
        <mc:AlternateContent>
          <mc:Choice Requires="wps">
            <w:drawing>
              <wp:anchor distT="151130" distB="151130" distL="114300" distR="114300" simplePos="0" relativeHeight="251808768" behindDoc="0" locked="0" layoutInCell="1" allowOverlap="1" wp14:anchorId="72609792" wp14:editId="7EA3BCC3">
                <wp:simplePos x="0" y="0"/>
                <wp:positionH relativeFrom="margin">
                  <wp:align>left</wp:align>
                </wp:positionH>
                <wp:positionV relativeFrom="margin">
                  <wp:align>center</wp:align>
                </wp:positionV>
                <wp:extent cx="3059430" cy="3020060"/>
                <wp:effectExtent l="0" t="0" r="7620" b="11430"/>
                <wp:wrapSquare wrapText="bothSides"/>
                <wp:docPr id="96"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59430" cy="3020060"/>
                        </a:xfrm>
                        <a:prstGeom prst="rect">
                          <a:avLst/>
                        </a:prstGeom>
                        <a:noFill/>
                        <a:ln w="9525">
                          <a:noFill/>
                          <a:miter lim="800000"/>
                          <a:headEnd/>
                          <a:tailEnd/>
                        </a:ln>
                      </wps:spPr>
                      <wps:txbx>
                        <w:txbxContent>
                          <w:p w14:paraId="47D2B879" w14:textId="77777777" w:rsidR="002B6B23" w:rsidRDefault="002B6B23" w:rsidP="00301991">
                            <w:pPr>
                              <w:pStyle w:val="Bezmezer"/>
                            </w:pPr>
                            <w:r>
                              <w:t>Celkové přímé zahraniční investice</w:t>
                            </w:r>
                          </w:p>
                          <w:p w14:paraId="79FBDF42" w14:textId="77777777" w:rsidR="002B6B23" w:rsidRPr="00C872A3" w:rsidRDefault="002B6B23" w:rsidP="002B6B23">
                            <w:pPr>
                              <w:pStyle w:val="Bezmezer"/>
                              <w:keepNext/>
                              <w:widowControl w:val="0"/>
                              <w:pBdr>
                                <w:bottom w:val="single" w:sz="4" w:space="1" w:color="auto"/>
                              </w:pBdr>
                              <w:rPr>
                                <w:kern w:val="2"/>
                                <w:szCs w:val="16"/>
                              </w:rPr>
                            </w:pPr>
                            <w:r>
                              <w:rPr>
                                <w:kern w:val="2"/>
                                <w:sz w:val="16"/>
                                <w:szCs w:val="12"/>
                              </w:rPr>
                              <w:t>(</w:t>
                            </w:r>
                            <w:r w:rsidRPr="002B59D0">
                              <w:rPr>
                                <w:kern w:val="2"/>
                                <w:sz w:val="16"/>
                                <w:szCs w:val="12"/>
                              </w:rPr>
                              <w:t>%</w:t>
                            </w:r>
                            <w:r>
                              <w:rPr>
                                <w:kern w:val="2"/>
                                <w:sz w:val="16"/>
                                <w:szCs w:val="12"/>
                              </w:rPr>
                              <w:t xml:space="preserve"> HDP)</w:t>
                            </w:r>
                          </w:p>
                          <w:p w14:paraId="4EB0D6FE" w14:textId="77777777" w:rsidR="002B6B23" w:rsidRPr="003514B1" w:rsidRDefault="002B6B23" w:rsidP="002B6B23">
                            <w:pPr>
                              <w:pStyle w:val="Bezmezer"/>
                              <w:keepNext/>
                              <w:widowControl w:val="0"/>
                              <w:rPr>
                                <w:kern w:val="2"/>
                                <w:sz w:val="18"/>
                                <w:szCs w:val="16"/>
                              </w:rPr>
                            </w:pPr>
                            <w:r>
                              <w:rPr>
                                <w:noProof/>
                                <w:lang w:eastAsia="cs-CZ"/>
                              </w:rPr>
                              <w:drawing>
                                <wp:inline distT="0" distB="0" distL="0" distR="0" wp14:anchorId="4420E57E" wp14:editId="3D10FA1A">
                                  <wp:extent cx="3050540" cy="2194560"/>
                                  <wp:effectExtent l="0" t="0" r="0" b="0"/>
                                  <wp:docPr id="16" name="Graf 16">
                                    <a:extLst xmlns:a="http://schemas.openxmlformats.org/drawingml/2006/main">
                                      <a:ext uri="{FF2B5EF4-FFF2-40B4-BE49-F238E27FC236}">
                                        <a16:creationId xmlns:a16="http://schemas.microsoft.com/office/drawing/2014/main" id="{16708816-7E8E-47C8-9984-C7F1D182C53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7134BD64" w14:textId="77777777" w:rsidR="002B6B23" w:rsidRDefault="002B6B23" w:rsidP="002B6B23">
                            <w:pPr>
                              <w:widowControl w:val="0"/>
                              <w:pBdr>
                                <w:top w:val="single" w:sz="4" w:space="1" w:color="auto"/>
                              </w:pBdr>
                              <w:spacing w:after="0"/>
                              <w:rPr>
                                <w:kern w:val="2"/>
                                <w:sz w:val="14"/>
                                <w:szCs w:val="16"/>
                              </w:rPr>
                            </w:pPr>
                            <w:r w:rsidRPr="007B5A7A">
                              <w:rPr>
                                <w:kern w:val="2"/>
                                <w:sz w:val="14"/>
                                <w:szCs w:val="16"/>
                              </w:rPr>
                              <w:t>Pramen: data</w:t>
                            </w:r>
                            <w:r>
                              <w:rPr>
                                <w:kern w:val="2"/>
                                <w:sz w:val="14"/>
                                <w:szCs w:val="16"/>
                              </w:rPr>
                              <w:t xml:space="preserve"> Eurostat;</w:t>
                            </w:r>
                            <w:r w:rsidRPr="007B5A7A">
                              <w:rPr>
                                <w:kern w:val="2"/>
                                <w:sz w:val="14"/>
                                <w:szCs w:val="16"/>
                              </w:rPr>
                              <w:t xml:space="preserve"> graf</w:t>
                            </w:r>
                            <w:r>
                              <w:rPr>
                                <w:kern w:val="2"/>
                                <w:sz w:val="14"/>
                                <w:szCs w:val="16"/>
                              </w:rPr>
                              <w:t xml:space="preserve"> MPO</w:t>
                            </w:r>
                          </w:p>
                          <w:p w14:paraId="0F528D7B" w14:textId="77777777" w:rsidR="002B6B23" w:rsidRDefault="002B6B23" w:rsidP="002B6B23">
                            <w:pPr>
                              <w:widowControl w:val="0"/>
                              <w:pBdr>
                                <w:top w:val="single" w:sz="4" w:space="1" w:color="auto"/>
                              </w:pBdr>
                              <w:spacing w:after="0"/>
                              <w:rPr>
                                <w:kern w:val="2"/>
                                <w:sz w:val="14"/>
                                <w:szCs w:val="16"/>
                              </w:rPr>
                            </w:pPr>
                            <w:r>
                              <w:rPr>
                                <w:kern w:val="2"/>
                                <w:sz w:val="14"/>
                                <w:szCs w:val="16"/>
                              </w:rPr>
                              <w:t>Pozn: v případě Lucemburska hodnoty přesahují 4000 %, v případě Kypru a Malty 850 %, v případě Nizozemska a Irska 250 %.</w:t>
                            </w:r>
                          </w:p>
                        </w:txbxContent>
                      </wps:txbx>
                      <wps:bodyPr rot="0" vert="horz" wrap="square" lIns="0" tIns="0" rIns="0" bIns="0" anchor="t" anchorCtr="0">
                        <a:spAutoFit/>
                      </wps:bodyPr>
                    </wps:wsp>
                  </a:graphicData>
                </a:graphic>
                <wp14:sizeRelH relativeFrom="margin">
                  <wp14:pctWidth>0</wp14:pctWidth>
                </wp14:sizeRelH>
                <wp14:sizeRelV relativeFrom="margin">
                  <wp14:pctHeight>0</wp14:pctHeight>
                </wp14:sizeRelV>
              </wp:anchor>
            </w:drawing>
          </mc:Choice>
          <mc:Fallback>
            <w:pict>
              <v:shape w14:anchorId="72609792" id="_x0000_s1037" type="#_x0000_t202" style="position:absolute;left:0;text-align:left;margin-left:0;margin-top:0;width:240.9pt;height:237.8pt;z-index:251808768;visibility:visible;mso-wrap-style:square;mso-width-percent:0;mso-height-percent:0;mso-wrap-distance-left:9pt;mso-wrap-distance-top:11.9pt;mso-wrap-distance-right:9pt;mso-wrap-distance-bottom:11.9pt;mso-position-horizontal:left;mso-position-horizontal-relative:margin;mso-position-vertical:center;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" filled="f" stroked="f">
                <v:textbox style="mso-fit-shape-to-text:t" inset="0,0,0,0">
                  <w:txbxContent>
                    <w:p w14:paraId="47D2B879" w14:textId="77777777" w:rsidR="002B6B23" w:rsidRDefault="002B6B23" w:rsidP="00301991">
                      <w:pPr>
                        <w:pStyle w:val="Bezmezer"/>
                      </w:pPr>
                      <w:r>
                        <w:t>Celkové přímé zahraniční investice</w:t>
                      </w:r>
                    </w:p>
                    <w:p w14:paraId="79FBDF42" w14:textId="77777777" w:rsidR="002B6B23" w:rsidRPr="00C872A3" w:rsidRDefault="002B6B23" w:rsidP="002B6B23">
                      <w:pPr>
                        <w:pStyle w:val="Bezmezer"/>
                        <w:keepNext/>
                        <w:widowControl w:val="0"/>
                        <w:pBdr>
                          <w:bottom w:val="single" w:sz="4" w:space="1" w:color="auto"/>
                        </w:pBdr>
                        <w:rPr>
                          <w:kern w:val="2"/>
                          <w:szCs w:val="16"/>
                        </w:rPr>
                      </w:pPr>
                      <w:r>
                        <w:rPr>
                          <w:kern w:val="2"/>
                          <w:sz w:val="16"/>
                          <w:szCs w:val="12"/>
                        </w:rPr>
                        <w:t>(</w:t>
                      </w:r>
                      <w:r w:rsidRPr="002B59D0">
                        <w:rPr>
                          <w:kern w:val="2"/>
                          <w:sz w:val="16"/>
                          <w:szCs w:val="12"/>
                        </w:rPr>
                        <w:t>%</w:t>
                      </w:r>
                      <w:r>
                        <w:rPr>
                          <w:kern w:val="2"/>
                          <w:sz w:val="16"/>
                          <w:szCs w:val="12"/>
                        </w:rPr>
                        <w:t xml:space="preserve"> HDP)</w:t>
                      </w:r>
                    </w:p>
                    <w:p w14:paraId="4EB0D6FE" w14:textId="77777777" w:rsidR="002B6B23" w:rsidRPr="003514B1" w:rsidRDefault="002B6B23" w:rsidP="002B6B23">
                      <w:pPr>
                        <w:pStyle w:val="Bezmezer"/>
                        <w:keepNext/>
                        <w:widowControl w:val="0"/>
                        <w:rPr>
                          <w:kern w:val="2"/>
                          <w:sz w:val="18"/>
                          <w:szCs w:val="16"/>
                        </w:rPr>
                      </w:pPr>
                      <w:r>
                        <w:rPr>
                          <w:noProof/>
                          <w:lang w:eastAsia="cs-CZ"/>
                        </w:rPr>
                        <w:drawing>
                          <wp:inline distT="0" distB="0" distL="0" distR="0" wp14:anchorId="4420E57E" wp14:editId="3D10FA1A">
                            <wp:extent cx="3050540" cy="2194560"/>
                            <wp:effectExtent l="0" t="0" r="0" b="0"/>
                            <wp:docPr id="16" name="Graf 16">
                              <a:extLst xmlns:a="http://schemas.openxmlformats.org/drawingml/2006/main">
                                <a:ext uri="{FF2B5EF4-FFF2-40B4-BE49-F238E27FC236}">
                                  <a16:creationId xmlns:a16="http://schemas.microsoft.com/office/drawing/2014/main" id="{16708816-7E8E-47C8-9984-C7F1D182C53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7134BD64" w14:textId="77777777" w:rsidR="002B6B23" w:rsidRDefault="002B6B23" w:rsidP="002B6B23">
                      <w:pPr>
                        <w:widowControl w:val="0"/>
                        <w:pBdr>
                          <w:top w:val="single" w:sz="4" w:space="1" w:color="auto"/>
                        </w:pBdr>
                        <w:spacing w:after="0"/>
                        <w:rPr>
                          <w:kern w:val="2"/>
                          <w:sz w:val="14"/>
                          <w:szCs w:val="16"/>
                        </w:rPr>
                      </w:pPr>
                      <w:r w:rsidRPr="007B5A7A">
                        <w:rPr>
                          <w:kern w:val="2"/>
                          <w:sz w:val="14"/>
                          <w:szCs w:val="16"/>
                        </w:rPr>
                        <w:t>Pramen: data</w:t>
                      </w:r>
                      <w:r>
                        <w:rPr>
                          <w:kern w:val="2"/>
                          <w:sz w:val="14"/>
                          <w:szCs w:val="16"/>
                        </w:rPr>
                        <w:t xml:space="preserve"> Eurostat;</w:t>
                      </w:r>
                      <w:r w:rsidRPr="007B5A7A">
                        <w:rPr>
                          <w:kern w:val="2"/>
                          <w:sz w:val="14"/>
                          <w:szCs w:val="16"/>
                        </w:rPr>
                        <w:t xml:space="preserve"> graf</w:t>
                      </w:r>
                      <w:r>
                        <w:rPr>
                          <w:kern w:val="2"/>
                          <w:sz w:val="14"/>
                          <w:szCs w:val="16"/>
                        </w:rPr>
                        <w:t xml:space="preserve"> MPO</w:t>
                      </w:r>
                    </w:p>
                    <w:p w14:paraId="0F528D7B" w14:textId="77777777" w:rsidR="002B6B23" w:rsidRDefault="002B6B23" w:rsidP="002B6B23">
                      <w:pPr>
                        <w:widowControl w:val="0"/>
                        <w:pBdr>
                          <w:top w:val="single" w:sz="4" w:space="1" w:color="auto"/>
                        </w:pBdr>
                        <w:spacing w:after="0"/>
                        <w:rPr>
                          <w:kern w:val="2"/>
                          <w:sz w:val="14"/>
                          <w:szCs w:val="16"/>
                        </w:rPr>
                      </w:pPr>
                      <w:r>
                        <w:rPr>
                          <w:kern w:val="2"/>
                          <w:sz w:val="14"/>
                          <w:szCs w:val="16"/>
                        </w:rPr>
                        <w:t>Pozn: v případě Lucemburska hodnoty přesahují 4000 %, v případě Kypru a Malty 850 %, v případě Nizozemska a Irska 250 %.</w:t>
                      </w:r>
                    </w:p>
                  </w:txbxContent>
                </v:textbox>
                <w10:wrap type="square" anchorx="margin" anchory="margin"/>
              </v:shape>
            </w:pict>
          </mc:Fallback>
        </mc:AlternateContent>
      </w:r>
      <w:r w:rsidRPr="00D67550">
        <w:rPr>
          <w:noProof/>
          <w:lang w:eastAsia="cs-CZ"/>
        </w:rPr>
        <mc:AlternateContent>
          <mc:Choice Requires="wps">
            <w:drawing>
              <wp:anchor distT="151130" distB="151130" distL="114300" distR="114300" simplePos="0" relativeHeight="251804672" behindDoc="0" locked="0" layoutInCell="1" allowOverlap="1" wp14:anchorId="6A8D8770" wp14:editId="5291C49B">
                <wp:simplePos x="0" y="0"/>
                <wp:positionH relativeFrom="margin">
                  <wp:align>left</wp:align>
                </wp:positionH>
                <wp:positionV relativeFrom="margin">
                  <wp:posOffset>-12700</wp:posOffset>
                </wp:positionV>
                <wp:extent cx="3059430" cy="2910840"/>
                <wp:effectExtent l="0" t="0" r="7620" b="3810"/>
                <wp:wrapSquare wrapText="bothSides"/>
                <wp:docPr id="97"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59430" cy="2910840"/>
                        </a:xfrm>
                        <a:prstGeom prst="rect">
                          <a:avLst/>
                        </a:prstGeom>
                        <a:noFill/>
                        <a:ln w="9525">
                          <a:noFill/>
                          <a:miter lim="800000"/>
                          <a:headEnd/>
                          <a:tailEnd/>
                        </a:ln>
                      </wps:spPr>
                      <wps:txbx>
                        <w:txbxContent>
                          <w:p w14:paraId="4F577D6D" w14:textId="77777777" w:rsidR="002B6B23" w:rsidRDefault="002B6B23" w:rsidP="00301991">
                            <w:pPr>
                              <w:pStyle w:val="Bezmezer"/>
                            </w:pPr>
                            <w:r w:rsidRPr="0077698F">
                              <w:t xml:space="preserve">Zdroje hrubé </w:t>
                            </w:r>
                            <w:r>
                              <w:t>přidané hodnoty</w:t>
                            </w:r>
                          </w:p>
                          <w:p w14:paraId="6A73B176" w14:textId="77777777" w:rsidR="002B6B23" w:rsidRPr="00C872A3" w:rsidRDefault="002B6B23" w:rsidP="002B6B23">
                            <w:pPr>
                              <w:pStyle w:val="Bezmezer"/>
                              <w:keepNext/>
                              <w:widowControl w:val="0"/>
                              <w:pBdr>
                                <w:bottom w:val="single" w:sz="4" w:space="1" w:color="auto"/>
                              </w:pBdr>
                              <w:rPr>
                                <w:kern w:val="2"/>
                                <w:szCs w:val="16"/>
                              </w:rPr>
                            </w:pPr>
                            <w:r w:rsidRPr="00A26C1F">
                              <w:rPr>
                                <w:kern w:val="2"/>
                                <w:sz w:val="16"/>
                                <w:szCs w:val="12"/>
                              </w:rPr>
                              <w:t>(</w:t>
                            </w:r>
                            <w:r>
                              <w:rPr>
                                <w:kern w:val="2"/>
                                <w:sz w:val="16"/>
                                <w:szCs w:val="12"/>
                              </w:rPr>
                              <w:t xml:space="preserve">v </w:t>
                            </w:r>
                            <w:r w:rsidRPr="00A26C1F">
                              <w:rPr>
                                <w:kern w:val="2"/>
                                <w:sz w:val="16"/>
                                <w:szCs w:val="12"/>
                              </w:rPr>
                              <w:t>%)</w:t>
                            </w:r>
                          </w:p>
                          <w:p w14:paraId="736BE729" w14:textId="77777777" w:rsidR="002B6B23" w:rsidRPr="003514B1" w:rsidRDefault="002B6B23" w:rsidP="002B6B23">
                            <w:pPr>
                              <w:pStyle w:val="Bezmezer"/>
                              <w:keepNext/>
                              <w:widowControl w:val="0"/>
                              <w:rPr>
                                <w:kern w:val="2"/>
                                <w:sz w:val="18"/>
                                <w:szCs w:val="16"/>
                              </w:rPr>
                            </w:pPr>
                            <w:r>
                              <w:rPr>
                                <w:noProof/>
                                <w:lang w:eastAsia="cs-CZ"/>
                              </w:rPr>
                              <w:drawing>
                                <wp:inline distT="0" distB="0" distL="0" distR="0" wp14:anchorId="76E4AF3F" wp14:editId="3E24097C">
                                  <wp:extent cx="3050540" cy="2468880"/>
                                  <wp:effectExtent l="0" t="0" r="0" b="7620"/>
                                  <wp:docPr id="17" name="Graf 17">
                                    <a:extLst xmlns:a="http://schemas.openxmlformats.org/drawingml/2006/main">
                                      <a:ext uri="{FF2B5EF4-FFF2-40B4-BE49-F238E27FC236}">
                                        <a16:creationId xmlns:a16="http://schemas.microsoft.com/office/drawing/2014/main" id="{D5E7DDCF-58A8-403C-ACB0-ACB86087F00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0D90144C" w14:textId="77777777" w:rsidR="002B6B23" w:rsidRDefault="002B6B23" w:rsidP="002B6B23">
                            <w:pPr>
                              <w:widowControl w:val="0"/>
                              <w:pBdr>
                                <w:top w:val="single" w:sz="4" w:space="1" w:color="auto"/>
                              </w:pBdr>
                              <w:spacing w:after="0"/>
                              <w:rPr>
                                <w:kern w:val="2"/>
                                <w:sz w:val="14"/>
                                <w:szCs w:val="16"/>
                              </w:rPr>
                            </w:pPr>
                            <w:r w:rsidRPr="007B5A7A">
                              <w:rPr>
                                <w:kern w:val="2"/>
                                <w:sz w:val="14"/>
                                <w:szCs w:val="16"/>
                              </w:rPr>
                              <w:t>Pramen: data</w:t>
                            </w:r>
                            <w:r>
                              <w:rPr>
                                <w:kern w:val="2"/>
                                <w:sz w:val="14"/>
                                <w:szCs w:val="16"/>
                              </w:rPr>
                              <w:t xml:space="preserve"> ČNB;</w:t>
                            </w:r>
                            <w:r w:rsidRPr="007B5A7A">
                              <w:rPr>
                                <w:kern w:val="2"/>
                                <w:sz w:val="14"/>
                                <w:szCs w:val="16"/>
                              </w:rPr>
                              <w:t xml:space="preserve"> graf</w:t>
                            </w:r>
                            <w:r>
                              <w:rPr>
                                <w:kern w:val="2"/>
                                <w:sz w:val="14"/>
                                <w:szCs w:val="16"/>
                              </w:rPr>
                              <w:t xml:space="preserve"> MPO</w:t>
                            </w:r>
                          </w:p>
                        </w:txbxContent>
                      </wps:txbx>
                      <wps:bodyPr rot="0" vert="horz" wrap="square" lIns="0" tIns="0" rIns="0" bIns="0" anchor="t" anchorCtr="0">
                        <a:spAutoFit/>
                      </wps:bodyPr>
                    </wps:wsp>
                  </a:graphicData>
                </a:graphic>
                <wp14:sizeRelH relativeFrom="margin">
                  <wp14:pctWidth>0</wp14:pctWidth>
                </wp14:sizeRelH>
                <wp14:sizeRelV relativeFrom="margin">
                  <wp14:pctHeight>0</wp14:pctHeight>
                </wp14:sizeRelV>
              </wp:anchor>
            </w:drawing>
          </mc:Choice>
          <mc:Fallback>
            <w:pict>
              <v:shape w14:anchorId="6A8D8770" id="_x0000_s1038" type="#_x0000_t202" style="position:absolute;left:0;text-align:left;margin-left:0;margin-top:-1pt;width:240.9pt;height:229.2pt;z-index:251804672;visibility:visible;mso-wrap-style:square;mso-width-percent:0;mso-height-percent:0;mso-wrap-distance-left:9pt;mso-wrap-distance-top:11.9pt;mso-wrap-distance-right:9pt;mso-wrap-distance-bottom:11.9pt;mso-position-horizontal:left;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" filled="f" stroked="f">
                <v:textbox style="mso-fit-shape-to-text:t" inset="0,0,0,0">
                  <w:txbxContent>
                    <w:p w14:paraId="4F577D6D" w14:textId="77777777" w:rsidR="002B6B23" w:rsidRDefault="002B6B23" w:rsidP="00301991">
                      <w:pPr>
                        <w:pStyle w:val="Bezmezer"/>
                      </w:pPr>
                      <w:r w:rsidRPr="0077698F">
                        <w:t xml:space="preserve">Zdroje hrubé </w:t>
                      </w:r>
                      <w:r>
                        <w:t>přidané hodnoty</w:t>
                      </w:r>
                    </w:p>
                    <w:p w14:paraId="6A73B176" w14:textId="77777777" w:rsidR="002B6B23" w:rsidRPr="00C872A3" w:rsidRDefault="002B6B23" w:rsidP="002B6B23">
                      <w:pPr>
                        <w:pStyle w:val="Bezmezer"/>
                        <w:keepNext/>
                        <w:widowControl w:val="0"/>
                        <w:pBdr>
                          <w:bottom w:val="single" w:sz="4" w:space="1" w:color="auto"/>
                        </w:pBdr>
                        <w:rPr>
                          <w:kern w:val="2"/>
                          <w:szCs w:val="16"/>
                        </w:rPr>
                      </w:pPr>
                      <w:r w:rsidRPr="00A26C1F">
                        <w:rPr>
                          <w:kern w:val="2"/>
                          <w:sz w:val="16"/>
                          <w:szCs w:val="12"/>
                        </w:rPr>
                        <w:t>(</w:t>
                      </w:r>
                      <w:r>
                        <w:rPr>
                          <w:kern w:val="2"/>
                          <w:sz w:val="16"/>
                          <w:szCs w:val="12"/>
                        </w:rPr>
                        <w:t xml:space="preserve">v </w:t>
                      </w:r>
                      <w:r w:rsidRPr="00A26C1F">
                        <w:rPr>
                          <w:kern w:val="2"/>
                          <w:sz w:val="16"/>
                          <w:szCs w:val="12"/>
                        </w:rPr>
                        <w:t>%)</w:t>
                      </w:r>
                    </w:p>
                    <w:p w14:paraId="736BE729" w14:textId="77777777" w:rsidR="002B6B23" w:rsidRPr="003514B1" w:rsidRDefault="002B6B23" w:rsidP="002B6B23">
                      <w:pPr>
                        <w:pStyle w:val="Bezmezer"/>
                        <w:keepNext/>
                        <w:widowControl w:val="0"/>
                        <w:rPr>
                          <w:kern w:val="2"/>
                          <w:sz w:val="18"/>
                          <w:szCs w:val="16"/>
                        </w:rPr>
                      </w:pPr>
                      <w:r>
                        <w:rPr>
                          <w:noProof/>
                          <w:lang w:eastAsia="cs-CZ"/>
                        </w:rPr>
                        <w:drawing>
                          <wp:inline distT="0" distB="0" distL="0" distR="0" wp14:anchorId="76E4AF3F" wp14:editId="3E24097C">
                            <wp:extent cx="3050540" cy="2468880"/>
                            <wp:effectExtent l="0" t="0" r="0" b="7620"/>
                            <wp:docPr id="17" name="Graf 17">
                              <a:extLst xmlns:a="http://schemas.openxmlformats.org/drawingml/2006/main">
                                <a:ext uri="{FF2B5EF4-FFF2-40B4-BE49-F238E27FC236}">
                                  <a16:creationId xmlns:a16="http://schemas.microsoft.com/office/drawing/2014/main" id="{D5E7DDCF-58A8-403C-ACB0-ACB86087F00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0D90144C" w14:textId="77777777" w:rsidR="002B6B23" w:rsidRDefault="002B6B23" w:rsidP="002B6B23">
                      <w:pPr>
                        <w:widowControl w:val="0"/>
                        <w:pBdr>
                          <w:top w:val="single" w:sz="4" w:space="1" w:color="auto"/>
                        </w:pBdr>
                        <w:spacing w:after="0"/>
                        <w:rPr>
                          <w:kern w:val="2"/>
                          <w:sz w:val="14"/>
                          <w:szCs w:val="16"/>
                        </w:rPr>
                      </w:pPr>
                      <w:r w:rsidRPr="007B5A7A">
                        <w:rPr>
                          <w:kern w:val="2"/>
                          <w:sz w:val="14"/>
                          <w:szCs w:val="16"/>
                        </w:rPr>
                        <w:t>Pramen: data</w:t>
                      </w:r>
                      <w:r>
                        <w:rPr>
                          <w:kern w:val="2"/>
                          <w:sz w:val="14"/>
                          <w:szCs w:val="16"/>
                        </w:rPr>
                        <w:t xml:space="preserve"> ČNB;</w:t>
                      </w:r>
                      <w:r w:rsidRPr="007B5A7A">
                        <w:rPr>
                          <w:kern w:val="2"/>
                          <w:sz w:val="14"/>
                          <w:szCs w:val="16"/>
                        </w:rPr>
                        <w:t xml:space="preserve"> graf</w:t>
                      </w:r>
                      <w:r>
                        <w:rPr>
                          <w:kern w:val="2"/>
                          <w:sz w:val="14"/>
                          <w:szCs w:val="16"/>
                        </w:rPr>
                        <w:t xml:space="preserve"> MPO</w:t>
                      </w:r>
                    </w:p>
                  </w:txbxContent>
                </v:textbox>
                <w10:wrap type="square" anchorx="margin" anchory="margin"/>
              </v:shape>
            </w:pict>
          </mc:Fallback>
        </mc:AlternateContent>
      </w:r>
      <w:r>
        <w:br w:type="page"/>
      </w:r>
    </w:p>
    <w:p w14:paraId="37343A27" w14:textId="6C961AD7" w:rsidR="002B6B23" w:rsidRDefault="00CD519E" w:rsidP="003C3221">
      <w:r w:rsidRPr="00D67550">
        <w:rPr>
          <w:noProof/>
          <w:lang w:eastAsia="cs-CZ"/>
        </w:rPr>
        <w:lastRenderedPageBreak/>
        <mc:AlternateContent>
          <mc:Choice Requires="wps">
            <w:drawing>
              <wp:anchor distT="151130" distB="151130" distL="114300" distR="114300" simplePos="0" relativeHeight="251846656" behindDoc="0" locked="0" layoutInCell="1" allowOverlap="1" wp14:anchorId="4BAC7EF8" wp14:editId="4496E7E4">
                <wp:simplePos x="0" y="0"/>
                <wp:positionH relativeFrom="margin">
                  <wp:align>right</wp:align>
                </wp:positionH>
                <wp:positionV relativeFrom="margin">
                  <wp:posOffset>6396923</wp:posOffset>
                </wp:positionV>
                <wp:extent cx="3059430" cy="3227705"/>
                <wp:effectExtent l="0" t="0" r="7620" b="1270"/>
                <wp:wrapSquare wrapText="bothSides"/>
                <wp:docPr id="11"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59430" cy="3227705"/>
                        </a:xfrm>
                        <a:prstGeom prst="rect">
                          <a:avLst/>
                        </a:prstGeom>
                        <a:noFill/>
                        <a:ln w="9525">
                          <a:noFill/>
                          <a:miter lim="800000"/>
                          <a:headEnd/>
                          <a:tailEnd/>
                        </a:ln>
                      </wps:spPr>
                      <wps:txbx>
                        <w:txbxContent>
                          <w:p w14:paraId="59385D5D" w14:textId="700BD284" w:rsidR="00CD519E" w:rsidRDefault="00CD519E" w:rsidP="00CD519E">
                            <w:pPr>
                              <w:pStyle w:val="Bezmezer"/>
                            </w:pPr>
                            <w:r w:rsidRPr="00FE6025">
                              <w:t xml:space="preserve">Poměr mezd a platů na hrubé přidané hodnotě za </w:t>
                            </w:r>
                            <w:r>
                              <w:t xml:space="preserve">odvětví </w:t>
                            </w:r>
                            <w:r w:rsidRPr="00CD519E">
                              <w:t>průmyslu bez stavebnictví</w:t>
                            </w:r>
                          </w:p>
                          <w:p w14:paraId="6262AB46" w14:textId="77777777" w:rsidR="00CD519E" w:rsidRPr="00C872A3" w:rsidRDefault="00CD519E" w:rsidP="00CD519E">
                            <w:pPr>
                              <w:pStyle w:val="Bezmezer"/>
                              <w:keepNext/>
                              <w:widowControl w:val="0"/>
                              <w:pBdr>
                                <w:bottom w:val="single" w:sz="4" w:space="1" w:color="auto"/>
                              </w:pBdr>
                              <w:rPr>
                                <w:kern w:val="2"/>
                                <w:szCs w:val="16"/>
                              </w:rPr>
                            </w:pPr>
                            <w:r>
                              <w:rPr>
                                <w:kern w:val="2"/>
                                <w:sz w:val="16"/>
                                <w:szCs w:val="12"/>
                              </w:rPr>
                              <w:t>(v %)</w:t>
                            </w:r>
                          </w:p>
                          <w:p w14:paraId="7E518B3F" w14:textId="6AE55A54" w:rsidR="00CD519E" w:rsidRPr="003514B1" w:rsidRDefault="00207D03" w:rsidP="00CD519E">
                            <w:pPr>
                              <w:pStyle w:val="Bezmezer"/>
                              <w:keepNext/>
                              <w:widowControl w:val="0"/>
                              <w:rPr>
                                <w:kern w:val="2"/>
                                <w:sz w:val="18"/>
                                <w:szCs w:val="16"/>
                              </w:rPr>
                            </w:pPr>
                            <w:r>
                              <w:rPr>
                                <w:noProof/>
                              </w:rPr>
                              <w:drawing>
                                <wp:inline distT="0" distB="0" distL="0" distR="0" wp14:anchorId="7BC74A97" wp14:editId="70B5BABB">
                                  <wp:extent cx="3050540" cy="2190466"/>
                                  <wp:effectExtent l="0" t="0" r="0" b="635"/>
                                  <wp:docPr id="18" name="Graf 18">
                                    <a:extLst xmlns:a="http://schemas.openxmlformats.org/drawingml/2006/main">
                                      <a:ext uri="{FF2B5EF4-FFF2-40B4-BE49-F238E27FC236}">
                                        <a16:creationId xmlns:a16="http://schemas.microsoft.com/office/drawing/2014/main" id="{174656FC-F5EC-4AE9-BED9-05B7013855E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1957E288" w14:textId="77777777" w:rsidR="00CD519E" w:rsidRDefault="00CD519E" w:rsidP="00CD519E">
                            <w:pPr>
                              <w:widowControl w:val="0"/>
                              <w:pBdr>
                                <w:top w:val="single" w:sz="4" w:space="1" w:color="auto"/>
                              </w:pBdr>
                              <w:spacing w:after="0"/>
                              <w:rPr>
                                <w:kern w:val="2"/>
                                <w:sz w:val="14"/>
                                <w:szCs w:val="16"/>
                              </w:rPr>
                            </w:pPr>
                            <w:r w:rsidRPr="007B5A7A">
                              <w:rPr>
                                <w:kern w:val="2"/>
                                <w:sz w:val="14"/>
                                <w:szCs w:val="16"/>
                              </w:rPr>
                              <w:t>Pramen: data</w:t>
                            </w:r>
                            <w:r>
                              <w:rPr>
                                <w:kern w:val="2"/>
                                <w:sz w:val="14"/>
                                <w:szCs w:val="16"/>
                              </w:rPr>
                              <w:t xml:space="preserve"> Eurostat;</w:t>
                            </w:r>
                            <w:r w:rsidRPr="007B5A7A">
                              <w:rPr>
                                <w:kern w:val="2"/>
                                <w:sz w:val="14"/>
                                <w:szCs w:val="16"/>
                              </w:rPr>
                              <w:t xml:space="preserve"> graf</w:t>
                            </w:r>
                            <w:r>
                              <w:rPr>
                                <w:kern w:val="2"/>
                                <w:sz w:val="14"/>
                                <w:szCs w:val="16"/>
                              </w:rPr>
                              <w:t xml:space="preserve"> MPO</w:t>
                            </w:r>
                          </w:p>
                        </w:txbxContent>
                      </wps:txbx>
                      <wps:bodyPr rot="0" vert="horz" wrap="square" lIns="0" tIns="0" rIns="0" bIns="0" anchor="t" anchorCtr="0">
                        <a:spAutoFit/>
                      </wps:bodyPr>
                    </wps:wsp>
                  </a:graphicData>
                </a:graphic>
                <wp14:sizeRelH relativeFrom="margin">
                  <wp14:pctWidth>0</wp14:pctWidth>
                </wp14:sizeRelH>
                <wp14:sizeRelV relativeFrom="margin">
                  <wp14:pctHeight>0</wp14:pctHeight>
                </wp14:sizeRelV>
              </wp:anchor>
            </w:drawing>
          </mc:Choice>
          <mc:Fallback>
            <w:pict>
              <v:shape w14:anchorId="4BAC7EF8" id="_x0000_s1039" type="#_x0000_t202" style="position:absolute;left:0;text-align:left;margin-left:189.7pt;margin-top:503.7pt;width:240.9pt;height:254.15pt;z-index:251846656;visibility:visible;mso-wrap-style:square;mso-width-percent:0;mso-height-percent:0;mso-wrap-distance-left:9pt;mso-wrap-distance-top:11.9pt;mso-wrap-distance-right:9pt;mso-wrap-distance-bottom:11.9pt;mso-position-horizontal:right;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" filled="f" stroked="f">
                <v:textbox style="mso-fit-shape-to-text:t" inset="0,0,0,0">
                  <w:txbxContent>
                    <w:p w14:paraId="59385D5D" w14:textId="700BD284" w:rsidR="00CD519E" w:rsidRDefault="00CD519E" w:rsidP="00CD519E">
                      <w:pPr>
                        <w:pStyle w:val="Bezmezer"/>
                      </w:pPr>
                      <w:r w:rsidRPr="00FE6025">
                        <w:t xml:space="preserve">Poměr mezd a platů na hrubé přidané hodnotě za </w:t>
                      </w:r>
                      <w:r>
                        <w:t xml:space="preserve">odvětví </w:t>
                      </w:r>
                      <w:r w:rsidRPr="00CD519E">
                        <w:t>průmyslu bez stavebnictví</w:t>
                      </w:r>
                    </w:p>
                    <w:p w14:paraId="6262AB46" w14:textId="77777777" w:rsidR="00CD519E" w:rsidRPr="00C872A3" w:rsidRDefault="00CD519E" w:rsidP="00CD519E">
                      <w:pPr>
                        <w:pStyle w:val="Bezmezer"/>
                        <w:keepNext/>
                        <w:widowControl w:val="0"/>
                        <w:pBdr>
                          <w:bottom w:val="single" w:sz="4" w:space="1" w:color="auto"/>
                        </w:pBdr>
                        <w:rPr>
                          <w:kern w:val="2"/>
                          <w:szCs w:val="16"/>
                        </w:rPr>
                      </w:pPr>
                      <w:r>
                        <w:rPr>
                          <w:kern w:val="2"/>
                          <w:sz w:val="16"/>
                          <w:szCs w:val="12"/>
                        </w:rPr>
                        <w:t>(v %)</w:t>
                      </w:r>
                    </w:p>
                    <w:p w14:paraId="7E518B3F" w14:textId="6AE55A54" w:rsidR="00CD519E" w:rsidRPr="003514B1" w:rsidRDefault="00207D03" w:rsidP="00CD519E">
                      <w:pPr>
                        <w:pStyle w:val="Bezmezer"/>
                        <w:keepNext/>
                        <w:widowControl w:val="0"/>
                        <w:rPr>
                          <w:kern w:val="2"/>
                          <w:sz w:val="18"/>
                          <w:szCs w:val="16"/>
                        </w:rPr>
                      </w:pPr>
                      <w:r>
                        <w:rPr>
                          <w:noProof/>
                        </w:rPr>
                        <w:drawing>
                          <wp:inline distT="0" distB="0" distL="0" distR="0" wp14:anchorId="7BC74A97" wp14:editId="70B5BABB">
                            <wp:extent cx="3050540" cy="2190466"/>
                            <wp:effectExtent l="0" t="0" r="0" b="635"/>
                            <wp:docPr id="18" name="Graf 18">
                              <a:extLst xmlns:a="http://schemas.openxmlformats.org/drawingml/2006/main">
                                <a:ext uri="{FF2B5EF4-FFF2-40B4-BE49-F238E27FC236}">
                                  <a16:creationId xmlns:a16="http://schemas.microsoft.com/office/drawing/2014/main" id="{174656FC-F5EC-4AE9-BED9-05B7013855E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1957E288" w14:textId="77777777" w:rsidR="00CD519E" w:rsidRDefault="00CD519E" w:rsidP="00CD519E">
                      <w:pPr>
                        <w:widowControl w:val="0"/>
                        <w:pBdr>
                          <w:top w:val="single" w:sz="4" w:space="1" w:color="auto"/>
                        </w:pBdr>
                        <w:spacing w:after="0"/>
                        <w:rPr>
                          <w:kern w:val="2"/>
                          <w:sz w:val="14"/>
                          <w:szCs w:val="16"/>
                        </w:rPr>
                      </w:pPr>
                      <w:r w:rsidRPr="007B5A7A">
                        <w:rPr>
                          <w:kern w:val="2"/>
                          <w:sz w:val="14"/>
                          <w:szCs w:val="16"/>
                        </w:rPr>
                        <w:t>Pramen: data</w:t>
                      </w:r>
                      <w:r>
                        <w:rPr>
                          <w:kern w:val="2"/>
                          <w:sz w:val="14"/>
                          <w:szCs w:val="16"/>
                        </w:rPr>
                        <w:t xml:space="preserve"> Eurostat;</w:t>
                      </w:r>
                      <w:r w:rsidRPr="007B5A7A">
                        <w:rPr>
                          <w:kern w:val="2"/>
                          <w:sz w:val="14"/>
                          <w:szCs w:val="16"/>
                        </w:rPr>
                        <w:t xml:space="preserve"> graf</w:t>
                      </w:r>
                      <w:r>
                        <w:rPr>
                          <w:kern w:val="2"/>
                          <w:sz w:val="14"/>
                          <w:szCs w:val="16"/>
                        </w:rPr>
                        <w:t xml:space="preserve"> MPO</w:t>
                      </w:r>
                    </w:p>
                  </w:txbxContent>
                </v:textbox>
                <w10:wrap type="square" anchorx="margin" anchory="margin"/>
              </v:shape>
            </w:pict>
          </mc:Fallback>
        </mc:AlternateContent>
      </w:r>
      <w:r w:rsidR="00DF6224" w:rsidRPr="00D67550">
        <w:rPr>
          <w:noProof/>
          <w:lang w:eastAsia="cs-CZ"/>
        </w:rPr>
        <mc:AlternateContent>
          <mc:Choice Requires="wps">
            <w:drawing>
              <wp:anchor distT="151130" distB="151130" distL="114300" distR="114300" simplePos="0" relativeHeight="251844608" behindDoc="0" locked="0" layoutInCell="1" allowOverlap="1" wp14:anchorId="11E0DA96" wp14:editId="66647BA8">
                <wp:simplePos x="0" y="0"/>
                <wp:positionH relativeFrom="margin">
                  <wp:align>left</wp:align>
                </wp:positionH>
                <wp:positionV relativeFrom="margin">
                  <wp:posOffset>6403368</wp:posOffset>
                </wp:positionV>
                <wp:extent cx="3059430" cy="3227705"/>
                <wp:effectExtent l="0" t="0" r="7620" b="9525"/>
                <wp:wrapSquare wrapText="bothSides"/>
                <wp:docPr id="3"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59430" cy="3227705"/>
                        </a:xfrm>
                        <a:prstGeom prst="rect">
                          <a:avLst/>
                        </a:prstGeom>
                        <a:noFill/>
                        <a:ln w="9525">
                          <a:noFill/>
                          <a:miter lim="800000"/>
                          <a:headEnd/>
                          <a:tailEnd/>
                        </a:ln>
                      </wps:spPr>
                      <wps:txbx>
                        <w:txbxContent>
                          <w:p w14:paraId="10E2801F" w14:textId="6789923B" w:rsidR="00DF6224" w:rsidRDefault="00FE6025" w:rsidP="00DF6224">
                            <w:pPr>
                              <w:pStyle w:val="Bezmezer"/>
                            </w:pPr>
                            <w:r w:rsidRPr="00FE6025">
                              <w:t>Poměr mezd a platů na hrubé přidané hodnotě za všechn</w:t>
                            </w:r>
                            <w:r w:rsidR="00EF69AF">
                              <w:t>a</w:t>
                            </w:r>
                            <w:r w:rsidRPr="00FE6025">
                              <w:t xml:space="preserve"> odvětví celkem</w:t>
                            </w:r>
                          </w:p>
                          <w:p w14:paraId="5C59EC11" w14:textId="2B6E3EF2" w:rsidR="00DF6224" w:rsidRPr="00C872A3" w:rsidRDefault="00DF6224" w:rsidP="00DF6224">
                            <w:pPr>
                              <w:pStyle w:val="Bezmezer"/>
                              <w:keepNext/>
                              <w:widowControl w:val="0"/>
                              <w:pBdr>
                                <w:bottom w:val="single" w:sz="4" w:space="1" w:color="auto"/>
                              </w:pBdr>
                              <w:rPr>
                                <w:kern w:val="2"/>
                                <w:szCs w:val="16"/>
                              </w:rPr>
                            </w:pPr>
                            <w:r>
                              <w:rPr>
                                <w:kern w:val="2"/>
                                <w:sz w:val="16"/>
                                <w:szCs w:val="12"/>
                              </w:rPr>
                              <w:t>(v %)</w:t>
                            </w:r>
                          </w:p>
                          <w:p w14:paraId="00C23AF8" w14:textId="02DCCA07" w:rsidR="00DF6224" w:rsidRPr="003514B1" w:rsidRDefault="00DF6224" w:rsidP="00DF6224">
                            <w:pPr>
                              <w:pStyle w:val="Bezmezer"/>
                              <w:keepNext/>
                              <w:widowControl w:val="0"/>
                              <w:rPr>
                                <w:kern w:val="2"/>
                                <w:sz w:val="18"/>
                                <w:szCs w:val="16"/>
                              </w:rPr>
                            </w:pPr>
                            <w:r>
                              <w:rPr>
                                <w:noProof/>
                              </w:rPr>
                              <w:drawing>
                                <wp:inline distT="0" distB="0" distL="0" distR="0" wp14:anchorId="6B3F313A" wp14:editId="592FE247">
                                  <wp:extent cx="3050540" cy="2155986"/>
                                  <wp:effectExtent l="0" t="0" r="0" b="0"/>
                                  <wp:docPr id="20" name="Graf 20">
                                    <a:extLst xmlns:a="http://schemas.openxmlformats.org/drawingml/2006/main">
                                      <a:ext uri="{FF2B5EF4-FFF2-40B4-BE49-F238E27FC236}">
                                        <a16:creationId xmlns:a16="http://schemas.microsoft.com/office/drawing/2014/main" id="{EF2A6296-4CCE-4E27-A69E-4743D074E03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27F1F39C" w14:textId="09B8E4C5" w:rsidR="00DF6224" w:rsidRDefault="00DF6224" w:rsidP="00DF6224">
                            <w:pPr>
                              <w:widowControl w:val="0"/>
                              <w:pBdr>
                                <w:top w:val="single" w:sz="4" w:space="1" w:color="auto"/>
                              </w:pBdr>
                              <w:spacing w:after="0"/>
                              <w:rPr>
                                <w:kern w:val="2"/>
                                <w:sz w:val="14"/>
                                <w:szCs w:val="16"/>
                              </w:rPr>
                            </w:pPr>
                            <w:r w:rsidRPr="007B5A7A">
                              <w:rPr>
                                <w:kern w:val="2"/>
                                <w:sz w:val="14"/>
                                <w:szCs w:val="16"/>
                              </w:rPr>
                              <w:t>Pramen: data</w:t>
                            </w:r>
                            <w:r>
                              <w:rPr>
                                <w:kern w:val="2"/>
                                <w:sz w:val="14"/>
                                <w:szCs w:val="16"/>
                              </w:rPr>
                              <w:t xml:space="preserve"> </w:t>
                            </w:r>
                            <w:r w:rsidR="00FE6025">
                              <w:rPr>
                                <w:kern w:val="2"/>
                                <w:sz w:val="14"/>
                                <w:szCs w:val="16"/>
                              </w:rPr>
                              <w:t>Eurostat</w:t>
                            </w:r>
                            <w:r>
                              <w:rPr>
                                <w:kern w:val="2"/>
                                <w:sz w:val="14"/>
                                <w:szCs w:val="16"/>
                              </w:rPr>
                              <w:t>;</w:t>
                            </w:r>
                            <w:r w:rsidRPr="007B5A7A">
                              <w:rPr>
                                <w:kern w:val="2"/>
                                <w:sz w:val="14"/>
                                <w:szCs w:val="16"/>
                              </w:rPr>
                              <w:t xml:space="preserve"> graf</w:t>
                            </w:r>
                            <w:r>
                              <w:rPr>
                                <w:kern w:val="2"/>
                                <w:sz w:val="14"/>
                                <w:szCs w:val="16"/>
                              </w:rPr>
                              <w:t xml:space="preserve"> MPO</w:t>
                            </w:r>
                          </w:p>
                        </w:txbxContent>
                      </wps:txbx>
                      <wps:bodyPr rot="0" vert="horz" wrap="square" lIns="0" tIns="0" rIns="0" bIns="0" anchor="t" anchorCtr="0">
                        <a:spAutoFit/>
                      </wps:bodyPr>
                    </wps:wsp>
                  </a:graphicData>
                </a:graphic>
                <wp14:sizeRelH relativeFrom="margin">
                  <wp14:pctWidth>0</wp14:pctWidth>
                </wp14:sizeRelH>
                <wp14:sizeRelV relativeFrom="margin">
                  <wp14:pctHeight>0</wp14:pctHeight>
                </wp14:sizeRelV>
              </wp:anchor>
            </w:drawing>
          </mc:Choice>
          <mc:Fallback>
            <w:pict>
              <v:shape w14:anchorId="11E0DA96" id="_x0000_s1040" type="#_x0000_t202" style="position:absolute;left:0;text-align:left;margin-left:0;margin-top:504.2pt;width:240.9pt;height:254.15pt;z-index:251844608;visibility:visible;mso-wrap-style:square;mso-width-percent:0;mso-height-percent:0;mso-wrap-distance-left:9pt;mso-wrap-distance-top:11.9pt;mso-wrap-distance-right:9pt;mso-wrap-distance-bottom:11.9pt;mso-position-horizontal:left;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" filled="f" stroked="f">
                <v:textbox style="mso-fit-shape-to-text:t" inset="0,0,0,0">
                  <w:txbxContent>
                    <w:p w14:paraId="10E2801F" w14:textId="6789923B" w:rsidR="00DF6224" w:rsidRDefault="00FE6025" w:rsidP="00DF6224">
                      <w:pPr>
                        <w:pStyle w:val="Bezmezer"/>
                      </w:pPr>
                      <w:r w:rsidRPr="00FE6025">
                        <w:t>Poměr mezd a platů na hrubé přidané hodnotě za všechn</w:t>
                      </w:r>
                      <w:r w:rsidR="00EF69AF">
                        <w:t>a</w:t>
                      </w:r>
                      <w:r w:rsidRPr="00FE6025">
                        <w:t xml:space="preserve"> odvětví celkem</w:t>
                      </w:r>
                    </w:p>
                    <w:p w14:paraId="5C59EC11" w14:textId="2B6E3EF2" w:rsidR="00DF6224" w:rsidRPr="00C872A3" w:rsidRDefault="00DF6224" w:rsidP="00DF6224">
                      <w:pPr>
                        <w:pStyle w:val="Bezmezer"/>
                        <w:keepNext/>
                        <w:widowControl w:val="0"/>
                        <w:pBdr>
                          <w:bottom w:val="single" w:sz="4" w:space="1" w:color="auto"/>
                        </w:pBdr>
                        <w:rPr>
                          <w:kern w:val="2"/>
                          <w:szCs w:val="16"/>
                        </w:rPr>
                      </w:pPr>
                      <w:r>
                        <w:rPr>
                          <w:kern w:val="2"/>
                          <w:sz w:val="16"/>
                          <w:szCs w:val="12"/>
                        </w:rPr>
                        <w:t>(v %)</w:t>
                      </w:r>
                    </w:p>
                    <w:p w14:paraId="00C23AF8" w14:textId="02DCCA07" w:rsidR="00DF6224" w:rsidRPr="003514B1" w:rsidRDefault="00DF6224" w:rsidP="00DF6224">
                      <w:pPr>
                        <w:pStyle w:val="Bezmezer"/>
                        <w:keepNext/>
                        <w:widowControl w:val="0"/>
                        <w:rPr>
                          <w:kern w:val="2"/>
                          <w:sz w:val="18"/>
                          <w:szCs w:val="16"/>
                        </w:rPr>
                      </w:pPr>
                      <w:r>
                        <w:rPr>
                          <w:noProof/>
                        </w:rPr>
                        <w:drawing>
                          <wp:inline distT="0" distB="0" distL="0" distR="0" wp14:anchorId="6B3F313A" wp14:editId="592FE247">
                            <wp:extent cx="3050540" cy="2155986"/>
                            <wp:effectExtent l="0" t="0" r="0" b="0"/>
                            <wp:docPr id="20" name="Graf 20">
                              <a:extLst xmlns:a="http://schemas.openxmlformats.org/drawingml/2006/main">
                                <a:ext uri="{FF2B5EF4-FFF2-40B4-BE49-F238E27FC236}">
                                  <a16:creationId xmlns:a16="http://schemas.microsoft.com/office/drawing/2014/main" id="{EF2A6296-4CCE-4E27-A69E-4743D074E03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27F1F39C" w14:textId="09B8E4C5" w:rsidR="00DF6224" w:rsidRDefault="00DF6224" w:rsidP="00DF6224">
                      <w:pPr>
                        <w:widowControl w:val="0"/>
                        <w:pBdr>
                          <w:top w:val="single" w:sz="4" w:space="1" w:color="auto"/>
                        </w:pBdr>
                        <w:spacing w:after="0"/>
                        <w:rPr>
                          <w:kern w:val="2"/>
                          <w:sz w:val="14"/>
                          <w:szCs w:val="16"/>
                        </w:rPr>
                      </w:pPr>
                      <w:r w:rsidRPr="007B5A7A">
                        <w:rPr>
                          <w:kern w:val="2"/>
                          <w:sz w:val="14"/>
                          <w:szCs w:val="16"/>
                        </w:rPr>
                        <w:t>Pramen: data</w:t>
                      </w:r>
                      <w:r>
                        <w:rPr>
                          <w:kern w:val="2"/>
                          <w:sz w:val="14"/>
                          <w:szCs w:val="16"/>
                        </w:rPr>
                        <w:t xml:space="preserve"> </w:t>
                      </w:r>
                      <w:r w:rsidR="00FE6025">
                        <w:rPr>
                          <w:kern w:val="2"/>
                          <w:sz w:val="14"/>
                          <w:szCs w:val="16"/>
                        </w:rPr>
                        <w:t>Eurostat</w:t>
                      </w:r>
                      <w:r>
                        <w:rPr>
                          <w:kern w:val="2"/>
                          <w:sz w:val="14"/>
                          <w:szCs w:val="16"/>
                        </w:rPr>
                        <w:t>;</w:t>
                      </w:r>
                      <w:r w:rsidRPr="007B5A7A">
                        <w:rPr>
                          <w:kern w:val="2"/>
                          <w:sz w:val="14"/>
                          <w:szCs w:val="16"/>
                        </w:rPr>
                        <w:t xml:space="preserve"> graf</w:t>
                      </w:r>
                      <w:r>
                        <w:rPr>
                          <w:kern w:val="2"/>
                          <w:sz w:val="14"/>
                          <w:szCs w:val="16"/>
                        </w:rPr>
                        <w:t xml:space="preserve"> MPO</w:t>
                      </w:r>
                    </w:p>
                  </w:txbxContent>
                </v:textbox>
                <w10:wrap type="square" anchorx="margin" anchory="margin"/>
              </v:shape>
            </w:pict>
          </mc:Fallback>
        </mc:AlternateContent>
      </w:r>
      <w:r w:rsidR="008815F3" w:rsidRPr="00D67550">
        <w:rPr>
          <w:noProof/>
          <w:lang w:eastAsia="cs-CZ"/>
        </w:rPr>
        <mc:AlternateContent>
          <mc:Choice Requires="wps">
            <w:drawing>
              <wp:anchor distT="151130" distB="151130" distL="114300" distR="114300" simplePos="0" relativeHeight="251820032" behindDoc="0" locked="0" layoutInCell="1" allowOverlap="1" wp14:anchorId="45CC1ECC" wp14:editId="4E9B18F8">
                <wp:simplePos x="0" y="0"/>
                <wp:positionH relativeFrom="margin">
                  <wp:align>right</wp:align>
                </wp:positionH>
                <wp:positionV relativeFrom="margin">
                  <wp:posOffset>3428365</wp:posOffset>
                </wp:positionV>
                <wp:extent cx="3077210" cy="2853690"/>
                <wp:effectExtent l="0" t="0" r="8890" b="0"/>
                <wp:wrapSquare wrapText="bothSides"/>
                <wp:docPr id="102"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77210" cy="2853690"/>
                        </a:xfrm>
                        <a:prstGeom prst="rect">
                          <a:avLst/>
                        </a:prstGeom>
                        <a:noFill/>
                        <a:ln w="9525">
                          <a:noFill/>
                          <a:miter lim="800000"/>
                          <a:headEnd/>
                          <a:tailEnd/>
                        </a:ln>
                      </wps:spPr>
                      <wps:txbx>
                        <w:txbxContent>
                          <w:p w14:paraId="4BC991D2" w14:textId="23BBC11E" w:rsidR="002B6B23" w:rsidRDefault="002B6B23" w:rsidP="00301991">
                            <w:pPr>
                              <w:pStyle w:val="Bezmezer"/>
                            </w:pPr>
                            <w:r>
                              <w:t>P</w:t>
                            </w:r>
                            <w:r w:rsidRPr="00A812C4">
                              <w:t>růměrný</w:t>
                            </w:r>
                            <w:r>
                              <w:t xml:space="preserve"> roční růst reálných</w:t>
                            </w:r>
                            <w:r w:rsidRPr="00A812C4">
                              <w:t xml:space="preserve"> mezd</w:t>
                            </w:r>
                          </w:p>
                          <w:p w14:paraId="0EEBF2B1" w14:textId="77777777" w:rsidR="002B6B23" w:rsidRPr="007E2369" w:rsidRDefault="002B6B23" w:rsidP="002B6B23">
                            <w:pPr>
                              <w:pStyle w:val="Bezmezer"/>
                              <w:keepNext/>
                              <w:widowControl w:val="0"/>
                              <w:pBdr>
                                <w:bottom w:val="single" w:sz="4" w:space="1" w:color="auto"/>
                              </w:pBdr>
                              <w:rPr>
                                <w:kern w:val="2"/>
                                <w:sz w:val="16"/>
                                <w:szCs w:val="16"/>
                              </w:rPr>
                            </w:pPr>
                            <w:r w:rsidRPr="007E2369">
                              <w:rPr>
                                <w:kern w:val="2"/>
                                <w:sz w:val="16"/>
                                <w:szCs w:val="16"/>
                              </w:rPr>
                              <w:t>(geometrický průměr za období, růst v %)</w:t>
                            </w:r>
                          </w:p>
                          <w:p w14:paraId="0CCA3C22" w14:textId="77777777" w:rsidR="002B6B23" w:rsidRPr="003514B1" w:rsidRDefault="002B6B23" w:rsidP="002B6B23">
                            <w:pPr>
                              <w:pStyle w:val="Bezmezer"/>
                              <w:keepNext/>
                              <w:widowControl w:val="0"/>
                              <w:rPr>
                                <w:kern w:val="2"/>
                                <w:sz w:val="18"/>
                                <w:szCs w:val="16"/>
                              </w:rPr>
                            </w:pPr>
                            <w:r>
                              <w:rPr>
                                <w:noProof/>
                              </w:rPr>
                              <w:drawing>
                                <wp:inline distT="0" distB="0" distL="0" distR="0" wp14:anchorId="02FA3864" wp14:editId="7F077F77">
                                  <wp:extent cx="3044939" cy="2463420"/>
                                  <wp:effectExtent l="0" t="0" r="3175" b="0"/>
                                  <wp:docPr id="21" name="Graf 21">
                                    <a:extLst xmlns:a="http://schemas.openxmlformats.org/drawingml/2006/main">
                                      <a:ext uri="{FF2B5EF4-FFF2-40B4-BE49-F238E27FC236}">
                                        <a16:creationId xmlns:a16="http://schemas.microsoft.com/office/drawing/2014/main" id="{DC3358F9-BC2A-463B-9D80-502AAC050B9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457190EF" w14:textId="77777777" w:rsidR="002B6B23" w:rsidRDefault="002B6B23" w:rsidP="002B6B23">
                            <w:pPr>
                              <w:widowControl w:val="0"/>
                              <w:pBdr>
                                <w:top w:val="single" w:sz="4" w:space="1" w:color="auto"/>
                              </w:pBdr>
                              <w:spacing w:after="0"/>
                              <w:rPr>
                                <w:kern w:val="2"/>
                                <w:sz w:val="14"/>
                                <w:szCs w:val="16"/>
                              </w:rPr>
                            </w:pPr>
                            <w:r w:rsidRPr="00A812C4">
                              <w:rPr>
                                <w:kern w:val="2"/>
                                <w:sz w:val="14"/>
                                <w:szCs w:val="16"/>
                              </w:rPr>
                              <w:t>Pramen: Eurostat</w:t>
                            </w:r>
                            <w:r>
                              <w:rPr>
                                <w:kern w:val="2"/>
                                <w:sz w:val="14"/>
                                <w:szCs w:val="16"/>
                              </w:rPr>
                              <w:t>, graf MPO</w:t>
                            </w:r>
                          </w:p>
                        </w:txbxContent>
                      </wps:txbx>
                      <wps:bodyPr rot="0" vert="horz" wrap="square" lIns="0" tIns="0" rIns="0" bIns="0" anchor="t" anchorCtr="0">
                        <a:spAutoFit/>
                      </wps:bodyPr>
                    </wps:wsp>
                  </a:graphicData>
                </a:graphic>
                <wp14:sizeRelH relativeFrom="margin">
                  <wp14:pctWidth>0</wp14:pctWidth>
                </wp14:sizeRelH>
                <wp14:sizeRelV relativeFrom="margin">
                  <wp14:pctHeight>0</wp14:pctHeight>
                </wp14:sizeRelV>
              </wp:anchor>
            </w:drawing>
          </mc:Choice>
          <mc:Fallback>
            <w:pict>
              <v:shape w14:anchorId="45CC1ECC" id="_x0000_s1041" type="#_x0000_t202" style="position:absolute;left:0;text-align:left;margin-left:191.1pt;margin-top:269.95pt;width:242.3pt;height:224.7pt;z-index:251820032;visibility:visible;mso-wrap-style:square;mso-width-percent:0;mso-height-percent:0;mso-wrap-distance-left:9pt;mso-wrap-distance-top:11.9pt;mso-wrap-distance-right:9pt;mso-wrap-distance-bottom:11.9pt;mso-position-horizontal:right;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" filled="f" stroked="f">
                <v:textbox style="mso-fit-shape-to-text:t" inset="0,0,0,0">
                  <w:txbxContent>
                    <w:p w14:paraId="4BC991D2" w14:textId="23BBC11E" w:rsidR="002B6B23" w:rsidRDefault="002B6B23" w:rsidP="00301991">
                      <w:pPr>
                        <w:pStyle w:val="Bezmezer"/>
                      </w:pPr>
                      <w:r>
                        <w:t>P</w:t>
                      </w:r>
                      <w:r w:rsidRPr="00A812C4">
                        <w:t>růměrný</w:t>
                      </w:r>
                      <w:r>
                        <w:t xml:space="preserve"> roční růst reálných</w:t>
                      </w:r>
                      <w:r w:rsidRPr="00A812C4">
                        <w:t xml:space="preserve"> mezd</w:t>
                      </w:r>
                    </w:p>
                    <w:p w14:paraId="0EEBF2B1" w14:textId="77777777" w:rsidR="002B6B23" w:rsidRPr="007E2369" w:rsidRDefault="002B6B23" w:rsidP="002B6B23">
                      <w:pPr>
                        <w:pStyle w:val="Bezmezer"/>
                        <w:keepNext/>
                        <w:widowControl w:val="0"/>
                        <w:pBdr>
                          <w:bottom w:val="single" w:sz="4" w:space="1" w:color="auto"/>
                        </w:pBdr>
                        <w:rPr>
                          <w:kern w:val="2"/>
                          <w:sz w:val="16"/>
                          <w:szCs w:val="16"/>
                        </w:rPr>
                      </w:pPr>
                      <w:r w:rsidRPr="007E2369">
                        <w:rPr>
                          <w:kern w:val="2"/>
                          <w:sz w:val="16"/>
                          <w:szCs w:val="16"/>
                        </w:rPr>
                        <w:t>(geometrický průměr za období, růst v %)</w:t>
                      </w:r>
                    </w:p>
                    <w:p w14:paraId="0CCA3C22" w14:textId="77777777" w:rsidR="002B6B23" w:rsidRPr="003514B1" w:rsidRDefault="002B6B23" w:rsidP="002B6B23">
                      <w:pPr>
                        <w:pStyle w:val="Bezmezer"/>
                        <w:keepNext/>
                        <w:widowControl w:val="0"/>
                        <w:rPr>
                          <w:kern w:val="2"/>
                          <w:sz w:val="18"/>
                          <w:szCs w:val="16"/>
                        </w:rPr>
                      </w:pPr>
                      <w:r>
                        <w:rPr>
                          <w:noProof/>
                        </w:rPr>
                        <w:drawing>
                          <wp:inline distT="0" distB="0" distL="0" distR="0" wp14:anchorId="02FA3864" wp14:editId="7F077F77">
                            <wp:extent cx="3044939" cy="2463420"/>
                            <wp:effectExtent l="0" t="0" r="3175" b="0"/>
                            <wp:docPr id="21" name="Graf 21">
                              <a:extLst xmlns:a="http://schemas.openxmlformats.org/drawingml/2006/main">
                                <a:ext uri="{FF2B5EF4-FFF2-40B4-BE49-F238E27FC236}">
                                  <a16:creationId xmlns:a16="http://schemas.microsoft.com/office/drawing/2014/main" id="{DC3358F9-BC2A-463B-9D80-502AAC050B9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457190EF" w14:textId="77777777" w:rsidR="002B6B23" w:rsidRDefault="002B6B23" w:rsidP="002B6B23">
                      <w:pPr>
                        <w:widowControl w:val="0"/>
                        <w:pBdr>
                          <w:top w:val="single" w:sz="4" w:space="1" w:color="auto"/>
                        </w:pBdr>
                        <w:spacing w:after="0"/>
                        <w:rPr>
                          <w:kern w:val="2"/>
                          <w:sz w:val="14"/>
                          <w:szCs w:val="16"/>
                        </w:rPr>
                      </w:pPr>
                      <w:r w:rsidRPr="00A812C4">
                        <w:rPr>
                          <w:kern w:val="2"/>
                          <w:sz w:val="14"/>
                          <w:szCs w:val="16"/>
                        </w:rPr>
                        <w:t>Pramen: Eurostat</w:t>
                      </w:r>
                      <w:r>
                        <w:rPr>
                          <w:kern w:val="2"/>
                          <w:sz w:val="14"/>
                          <w:szCs w:val="16"/>
                        </w:rPr>
                        <w:t>, graf MPO</w:t>
                      </w:r>
                    </w:p>
                  </w:txbxContent>
                </v:textbox>
                <w10:wrap type="square" anchorx="margin" anchory="margin"/>
              </v:shape>
            </w:pict>
          </mc:Fallback>
        </mc:AlternateContent>
      </w:r>
      <w:r w:rsidR="002B6B23" w:rsidRPr="00D67550">
        <w:rPr>
          <w:noProof/>
          <w:lang w:eastAsia="cs-CZ"/>
        </w:rPr>
        <mc:AlternateContent>
          <mc:Choice Requires="wps">
            <w:drawing>
              <wp:anchor distT="151130" distB="151130" distL="114300" distR="114300" simplePos="0" relativeHeight="251829248" behindDoc="0" locked="0" layoutInCell="1" allowOverlap="1" wp14:anchorId="3D303DE2" wp14:editId="3B1045CB">
                <wp:simplePos x="0" y="0"/>
                <wp:positionH relativeFrom="margin">
                  <wp:posOffset>0</wp:posOffset>
                </wp:positionH>
                <wp:positionV relativeFrom="margin">
                  <wp:posOffset>3214370</wp:posOffset>
                </wp:positionV>
                <wp:extent cx="3059430" cy="3227705"/>
                <wp:effectExtent l="0" t="0" r="7620" b="10795"/>
                <wp:wrapSquare wrapText="bothSides"/>
                <wp:docPr id="98"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59430" cy="3227705"/>
                        </a:xfrm>
                        <a:prstGeom prst="rect">
                          <a:avLst/>
                        </a:prstGeom>
                        <a:noFill/>
                        <a:ln w="9525">
                          <a:noFill/>
                          <a:miter lim="800000"/>
                          <a:headEnd/>
                          <a:tailEnd/>
                        </a:ln>
                      </wps:spPr>
                      <wps:txbx>
                        <w:txbxContent>
                          <w:p w14:paraId="078CAECB" w14:textId="2E4F479E" w:rsidR="002B6B23" w:rsidRDefault="002B6B23" w:rsidP="00301991">
                            <w:pPr>
                              <w:pStyle w:val="Bezmezer"/>
                            </w:pPr>
                            <w:r>
                              <w:t>Odliv dividend z </w:t>
                            </w:r>
                            <w:r w:rsidR="0019214C">
                              <w:t>České republiky</w:t>
                            </w:r>
                            <w:r>
                              <w:t xml:space="preserve"> dle odvětví</w:t>
                            </w:r>
                          </w:p>
                          <w:p w14:paraId="3B1A65EE" w14:textId="77777777" w:rsidR="002B6B23" w:rsidRPr="00C872A3" w:rsidRDefault="002B6B23" w:rsidP="002B6B23">
                            <w:pPr>
                              <w:pStyle w:val="Bezmezer"/>
                              <w:keepNext/>
                              <w:widowControl w:val="0"/>
                              <w:pBdr>
                                <w:bottom w:val="single" w:sz="4" w:space="1" w:color="auto"/>
                              </w:pBdr>
                              <w:rPr>
                                <w:kern w:val="2"/>
                                <w:szCs w:val="16"/>
                              </w:rPr>
                            </w:pPr>
                            <w:r>
                              <w:rPr>
                                <w:kern w:val="2"/>
                                <w:sz w:val="16"/>
                                <w:szCs w:val="12"/>
                              </w:rPr>
                              <w:t xml:space="preserve">(levá osa: </w:t>
                            </w:r>
                            <w:r w:rsidRPr="002B59D0">
                              <w:rPr>
                                <w:kern w:val="2"/>
                                <w:sz w:val="16"/>
                                <w:szCs w:val="12"/>
                              </w:rPr>
                              <w:t xml:space="preserve">v </w:t>
                            </w:r>
                            <w:r>
                              <w:rPr>
                                <w:kern w:val="2"/>
                                <w:sz w:val="16"/>
                                <w:szCs w:val="12"/>
                              </w:rPr>
                              <w:t>mld. Kč, pravá osa: v %)</w:t>
                            </w:r>
                          </w:p>
                          <w:p w14:paraId="7EC54089" w14:textId="77777777" w:rsidR="002B6B23" w:rsidRPr="003514B1" w:rsidRDefault="002B6B23" w:rsidP="002B6B23">
                            <w:pPr>
                              <w:pStyle w:val="Bezmezer"/>
                              <w:keepNext/>
                              <w:widowControl w:val="0"/>
                              <w:rPr>
                                <w:kern w:val="2"/>
                                <w:sz w:val="18"/>
                                <w:szCs w:val="16"/>
                              </w:rPr>
                            </w:pPr>
                            <w:r>
                              <w:rPr>
                                <w:noProof/>
                              </w:rPr>
                              <w:drawing>
                                <wp:inline distT="0" distB="0" distL="0" distR="0" wp14:anchorId="6227DEC8" wp14:editId="343CE3E9">
                                  <wp:extent cx="3050540" cy="2531660"/>
                                  <wp:effectExtent l="0" t="0" r="0" b="2540"/>
                                  <wp:docPr id="22" name="Graf 22">
                                    <a:extLst xmlns:a="http://schemas.openxmlformats.org/drawingml/2006/main">
                                      <a:ext uri="{FF2B5EF4-FFF2-40B4-BE49-F238E27FC236}">
                                        <a16:creationId xmlns:a16="http://schemas.microsoft.com/office/drawing/2014/main" id="{FF172821-3618-45C7-B30F-4A35837B682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7049C93E" w14:textId="02DF8459" w:rsidR="002B6B23" w:rsidRDefault="002B6B23" w:rsidP="002B6B23">
                            <w:pPr>
                              <w:widowControl w:val="0"/>
                              <w:pBdr>
                                <w:top w:val="single" w:sz="4" w:space="1" w:color="auto"/>
                              </w:pBdr>
                              <w:spacing w:after="0"/>
                              <w:rPr>
                                <w:kern w:val="2"/>
                                <w:sz w:val="14"/>
                                <w:szCs w:val="16"/>
                              </w:rPr>
                            </w:pPr>
                            <w:r w:rsidRPr="007B5A7A">
                              <w:rPr>
                                <w:kern w:val="2"/>
                                <w:sz w:val="14"/>
                                <w:szCs w:val="16"/>
                              </w:rPr>
                              <w:t>Pramen: data</w:t>
                            </w:r>
                            <w:r>
                              <w:rPr>
                                <w:kern w:val="2"/>
                                <w:sz w:val="14"/>
                                <w:szCs w:val="16"/>
                              </w:rPr>
                              <w:t xml:space="preserve"> ČNB</w:t>
                            </w:r>
                            <w:r w:rsidR="007C73F5">
                              <w:rPr>
                                <w:kern w:val="2"/>
                                <w:sz w:val="14"/>
                                <w:szCs w:val="16"/>
                              </w:rPr>
                              <w:t xml:space="preserve"> (p</w:t>
                            </w:r>
                            <w:r>
                              <w:rPr>
                                <w:kern w:val="2"/>
                                <w:sz w:val="14"/>
                                <w:szCs w:val="16"/>
                              </w:rPr>
                              <w:t>latební</w:t>
                            </w:r>
                            <w:r w:rsidRPr="003F29D5">
                              <w:rPr>
                                <w:kern w:val="2"/>
                                <w:sz w:val="14"/>
                                <w:szCs w:val="16"/>
                              </w:rPr>
                              <w:t xml:space="preserve"> bilance</w:t>
                            </w:r>
                            <w:r w:rsidR="007C73F5">
                              <w:rPr>
                                <w:kern w:val="2"/>
                                <w:sz w:val="14"/>
                                <w:szCs w:val="16"/>
                              </w:rPr>
                              <w:t>)</w:t>
                            </w:r>
                            <w:r>
                              <w:rPr>
                                <w:kern w:val="2"/>
                                <w:sz w:val="14"/>
                                <w:szCs w:val="16"/>
                              </w:rPr>
                              <w:t>;</w:t>
                            </w:r>
                            <w:r w:rsidRPr="007B5A7A">
                              <w:rPr>
                                <w:kern w:val="2"/>
                                <w:sz w:val="14"/>
                                <w:szCs w:val="16"/>
                              </w:rPr>
                              <w:t xml:space="preserve"> graf</w:t>
                            </w:r>
                            <w:r>
                              <w:rPr>
                                <w:kern w:val="2"/>
                                <w:sz w:val="14"/>
                                <w:szCs w:val="16"/>
                              </w:rPr>
                              <w:t xml:space="preserve"> MPO</w:t>
                            </w:r>
                          </w:p>
                          <w:p w14:paraId="59BA4AEE" w14:textId="3E4B719F" w:rsidR="002B6B23" w:rsidRDefault="002B6B23" w:rsidP="002B6B23">
                            <w:pPr>
                              <w:widowControl w:val="0"/>
                              <w:pBdr>
                                <w:top w:val="single" w:sz="4" w:space="1" w:color="auto"/>
                              </w:pBdr>
                              <w:spacing w:after="0"/>
                              <w:rPr>
                                <w:kern w:val="2"/>
                                <w:sz w:val="14"/>
                                <w:szCs w:val="16"/>
                              </w:rPr>
                            </w:pPr>
                            <w:r>
                              <w:rPr>
                                <w:kern w:val="2"/>
                                <w:sz w:val="14"/>
                                <w:szCs w:val="16"/>
                              </w:rPr>
                              <w:t xml:space="preserve">Pozn.: </w:t>
                            </w:r>
                            <w:r w:rsidR="007C73F5">
                              <w:rPr>
                                <w:kern w:val="2"/>
                                <w:sz w:val="14"/>
                                <w:szCs w:val="16"/>
                              </w:rPr>
                              <w:t>z</w:t>
                            </w:r>
                            <w:r>
                              <w:rPr>
                                <w:kern w:val="2"/>
                                <w:sz w:val="14"/>
                                <w:szCs w:val="16"/>
                              </w:rPr>
                              <w:t>a rok 2023 předběžná data</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3D303DE2" id="_x0000_s1042" type="#_x0000_t202" style="position:absolute;left:0;text-align:left;margin-left:0;margin-top:253.1pt;width:240.9pt;height:254.15pt;z-index:251829248;visibility:visible;mso-wrap-style:square;mso-width-percent:0;mso-height-percent:0;mso-wrap-distance-left:9pt;mso-wrap-distance-top:11.9pt;mso-wrap-distance-right:9pt;mso-wrap-distance-bottom:11.9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" filled="f" stroked="f">
                <v:textbox inset="0,0,0,0">
                  <w:txbxContent>
                    <w:p w14:paraId="078CAECB" w14:textId="2E4F479E" w:rsidR="002B6B23" w:rsidRDefault="002B6B23" w:rsidP="00301991">
                      <w:pPr>
                        <w:pStyle w:val="Bezmezer"/>
                      </w:pPr>
                      <w:r>
                        <w:t>Odliv dividend z </w:t>
                      </w:r>
                      <w:r w:rsidR="0019214C">
                        <w:t>České republiky</w:t>
                      </w:r>
                      <w:r>
                        <w:t xml:space="preserve"> dle odvětví</w:t>
                      </w:r>
                    </w:p>
                    <w:p w14:paraId="3B1A65EE" w14:textId="77777777" w:rsidR="002B6B23" w:rsidRPr="00C872A3" w:rsidRDefault="002B6B23" w:rsidP="002B6B23">
                      <w:pPr>
                        <w:pStyle w:val="Bezmezer"/>
                        <w:keepNext/>
                        <w:widowControl w:val="0"/>
                        <w:pBdr>
                          <w:bottom w:val="single" w:sz="4" w:space="1" w:color="auto"/>
                        </w:pBdr>
                        <w:rPr>
                          <w:kern w:val="2"/>
                          <w:szCs w:val="16"/>
                        </w:rPr>
                      </w:pPr>
                      <w:r>
                        <w:rPr>
                          <w:kern w:val="2"/>
                          <w:sz w:val="16"/>
                          <w:szCs w:val="12"/>
                        </w:rPr>
                        <w:t xml:space="preserve">(levá osa: </w:t>
                      </w:r>
                      <w:r w:rsidRPr="002B59D0">
                        <w:rPr>
                          <w:kern w:val="2"/>
                          <w:sz w:val="16"/>
                          <w:szCs w:val="12"/>
                        </w:rPr>
                        <w:t xml:space="preserve">v </w:t>
                      </w:r>
                      <w:r>
                        <w:rPr>
                          <w:kern w:val="2"/>
                          <w:sz w:val="16"/>
                          <w:szCs w:val="12"/>
                        </w:rPr>
                        <w:t>mld. Kč, pravá osa: v %)</w:t>
                      </w:r>
                    </w:p>
                    <w:p w14:paraId="7EC54089" w14:textId="77777777" w:rsidR="002B6B23" w:rsidRPr="003514B1" w:rsidRDefault="002B6B23" w:rsidP="002B6B23">
                      <w:pPr>
                        <w:pStyle w:val="Bezmezer"/>
                        <w:keepNext/>
                        <w:widowControl w:val="0"/>
                        <w:rPr>
                          <w:kern w:val="2"/>
                          <w:sz w:val="18"/>
                          <w:szCs w:val="16"/>
                        </w:rPr>
                      </w:pPr>
                      <w:r>
                        <w:rPr>
                          <w:noProof/>
                        </w:rPr>
                        <w:drawing>
                          <wp:inline distT="0" distB="0" distL="0" distR="0" wp14:anchorId="6227DEC8" wp14:editId="343CE3E9">
                            <wp:extent cx="3050540" cy="2531660"/>
                            <wp:effectExtent l="0" t="0" r="0" b="2540"/>
                            <wp:docPr id="22" name="Graf 22">
                              <a:extLst xmlns:a="http://schemas.openxmlformats.org/drawingml/2006/main">
                                <a:ext uri="{FF2B5EF4-FFF2-40B4-BE49-F238E27FC236}">
                                  <a16:creationId xmlns:a16="http://schemas.microsoft.com/office/drawing/2014/main" id="{FF172821-3618-45C7-B30F-4A35837B682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7049C93E" w14:textId="02DF8459" w:rsidR="002B6B23" w:rsidRDefault="002B6B23" w:rsidP="002B6B23">
                      <w:pPr>
                        <w:widowControl w:val="0"/>
                        <w:pBdr>
                          <w:top w:val="single" w:sz="4" w:space="1" w:color="auto"/>
                        </w:pBdr>
                        <w:spacing w:after="0"/>
                        <w:rPr>
                          <w:kern w:val="2"/>
                          <w:sz w:val="14"/>
                          <w:szCs w:val="16"/>
                        </w:rPr>
                      </w:pPr>
                      <w:r w:rsidRPr="007B5A7A">
                        <w:rPr>
                          <w:kern w:val="2"/>
                          <w:sz w:val="14"/>
                          <w:szCs w:val="16"/>
                        </w:rPr>
                        <w:t>Pramen: data</w:t>
                      </w:r>
                      <w:r>
                        <w:rPr>
                          <w:kern w:val="2"/>
                          <w:sz w:val="14"/>
                          <w:szCs w:val="16"/>
                        </w:rPr>
                        <w:t xml:space="preserve"> ČNB</w:t>
                      </w:r>
                      <w:r w:rsidR="007C73F5">
                        <w:rPr>
                          <w:kern w:val="2"/>
                          <w:sz w:val="14"/>
                          <w:szCs w:val="16"/>
                        </w:rPr>
                        <w:t xml:space="preserve"> (p</w:t>
                      </w:r>
                      <w:r>
                        <w:rPr>
                          <w:kern w:val="2"/>
                          <w:sz w:val="14"/>
                          <w:szCs w:val="16"/>
                        </w:rPr>
                        <w:t>latební</w:t>
                      </w:r>
                      <w:r w:rsidRPr="003F29D5">
                        <w:rPr>
                          <w:kern w:val="2"/>
                          <w:sz w:val="14"/>
                          <w:szCs w:val="16"/>
                        </w:rPr>
                        <w:t xml:space="preserve"> bilance</w:t>
                      </w:r>
                      <w:r w:rsidR="007C73F5">
                        <w:rPr>
                          <w:kern w:val="2"/>
                          <w:sz w:val="14"/>
                          <w:szCs w:val="16"/>
                        </w:rPr>
                        <w:t>)</w:t>
                      </w:r>
                      <w:r>
                        <w:rPr>
                          <w:kern w:val="2"/>
                          <w:sz w:val="14"/>
                          <w:szCs w:val="16"/>
                        </w:rPr>
                        <w:t>;</w:t>
                      </w:r>
                      <w:r w:rsidRPr="007B5A7A">
                        <w:rPr>
                          <w:kern w:val="2"/>
                          <w:sz w:val="14"/>
                          <w:szCs w:val="16"/>
                        </w:rPr>
                        <w:t xml:space="preserve"> graf</w:t>
                      </w:r>
                      <w:r>
                        <w:rPr>
                          <w:kern w:val="2"/>
                          <w:sz w:val="14"/>
                          <w:szCs w:val="16"/>
                        </w:rPr>
                        <w:t xml:space="preserve"> MPO</w:t>
                      </w:r>
                    </w:p>
                    <w:p w14:paraId="59BA4AEE" w14:textId="3E4B719F" w:rsidR="002B6B23" w:rsidRDefault="002B6B23" w:rsidP="002B6B23">
                      <w:pPr>
                        <w:widowControl w:val="0"/>
                        <w:pBdr>
                          <w:top w:val="single" w:sz="4" w:space="1" w:color="auto"/>
                        </w:pBdr>
                        <w:spacing w:after="0"/>
                        <w:rPr>
                          <w:kern w:val="2"/>
                          <w:sz w:val="14"/>
                          <w:szCs w:val="16"/>
                        </w:rPr>
                      </w:pPr>
                      <w:r>
                        <w:rPr>
                          <w:kern w:val="2"/>
                          <w:sz w:val="14"/>
                          <w:szCs w:val="16"/>
                        </w:rPr>
                        <w:t xml:space="preserve">Pozn.: </w:t>
                      </w:r>
                      <w:r w:rsidR="007C73F5">
                        <w:rPr>
                          <w:kern w:val="2"/>
                          <w:sz w:val="14"/>
                          <w:szCs w:val="16"/>
                        </w:rPr>
                        <w:t>z</w:t>
                      </w:r>
                      <w:r>
                        <w:rPr>
                          <w:kern w:val="2"/>
                          <w:sz w:val="14"/>
                          <w:szCs w:val="16"/>
                        </w:rPr>
                        <w:t>a rok 2023 předběžná data</w:t>
                      </w:r>
                    </w:p>
                  </w:txbxContent>
                </v:textbox>
                <w10:wrap type="square" anchorx="margin" anchory="margin"/>
              </v:shape>
            </w:pict>
          </mc:Fallback>
        </mc:AlternateContent>
      </w:r>
      <w:r w:rsidR="002B6B23" w:rsidRPr="00D67550">
        <w:rPr>
          <w:noProof/>
          <w:lang w:eastAsia="cs-CZ"/>
        </w:rPr>
        <mc:AlternateContent>
          <mc:Choice Requires="wps">
            <w:drawing>
              <wp:anchor distT="151130" distB="151130" distL="114300" distR="114300" simplePos="0" relativeHeight="251828224" behindDoc="0" locked="0" layoutInCell="1" allowOverlap="1" wp14:anchorId="14AC95B1" wp14:editId="3BF76890">
                <wp:simplePos x="0" y="0"/>
                <wp:positionH relativeFrom="margin">
                  <wp:align>right</wp:align>
                </wp:positionH>
                <wp:positionV relativeFrom="margin">
                  <wp:align>top</wp:align>
                </wp:positionV>
                <wp:extent cx="3059430" cy="2799080"/>
                <wp:effectExtent l="0" t="0" r="7620" b="1270"/>
                <wp:wrapSquare wrapText="bothSides"/>
                <wp:docPr id="100"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59430" cy="2799080"/>
                        </a:xfrm>
                        <a:prstGeom prst="rect">
                          <a:avLst/>
                        </a:prstGeom>
                        <a:noFill/>
                        <a:ln w="9525">
                          <a:noFill/>
                          <a:miter lim="800000"/>
                          <a:headEnd/>
                          <a:tailEnd/>
                        </a:ln>
                      </wps:spPr>
                      <wps:txbx>
                        <w:txbxContent>
                          <w:p w14:paraId="76D9B422" w14:textId="74EC7403" w:rsidR="002B6B23" w:rsidRDefault="002B6B23" w:rsidP="00301991">
                            <w:pPr>
                              <w:pStyle w:val="Bezmezer"/>
                            </w:pPr>
                            <w:r>
                              <w:t>Srovnání odlivu dividend a reinvestovaného zisku PZI v</w:t>
                            </w:r>
                            <w:r w:rsidR="00EF69AF">
                              <w:t> </w:t>
                            </w:r>
                            <w:r w:rsidR="0019214C">
                              <w:t>České republice</w:t>
                            </w:r>
                          </w:p>
                          <w:p w14:paraId="18E0798F" w14:textId="77777777" w:rsidR="002B6B23" w:rsidRPr="00C872A3" w:rsidRDefault="002B6B23" w:rsidP="002B6B23">
                            <w:pPr>
                              <w:pStyle w:val="Bezmezer"/>
                              <w:keepNext/>
                              <w:widowControl w:val="0"/>
                              <w:pBdr>
                                <w:bottom w:val="single" w:sz="4" w:space="1" w:color="auto"/>
                              </w:pBdr>
                              <w:rPr>
                                <w:kern w:val="2"/>
                                <w:szCs w:val="16"/>
                              </w:rPr>
                            </w:pPr>
                            <w:r>
                              <w:rPr>
                                <w:kern w:val="2"/>
                                <w:sz w:val="16"/>
                                <w:szCs w:val="12"/>
                              </w:rPr>
                              <w:t>(</w:t>
                            </w:r>
                            <w:r w:rsidRPr="002B59D0">
                              <w:rPr>
                                <w:kern w:val="2"/>
                                <w:sz w:val="16"/>
                                <w:szCs w:val="12"/>
                              </w:rPr>
                              <w:t xml:space="preserve">v </w:t>
                            </w:r>
                            <w:r>
                              <w:rPr>
                                <w:kern w:val="2"/>
                                <w:sz w:val="16"/>
                                <w:szCs w:val="12"/>
                              </w:rPr>
                              <w:t>%)</w:t>
                            </w:r>
                          </w:p>
                          <w:p w14:paraId="76A42A81" w14:textId="77777777" w:rsidR="002B6B23" w:rsidRPr="003514B1" w:rsidRDefault="002B6B23" w:rsidP="002B6B23">
                            <w:pPr>
                              <w:pStyle w:val="Bezmezer"/>
                              <w:keepNext/>
                              <w:widowControl w:val="0"/>
                              <w:rPr>
                                <w:kern w:val="2"/>
                                <w:sz w:val="18"/>
                                <w:szCs w:val="16"/>
                              </w:rPr>
                            </w:pPr>
                            <w:r>
                              <w:rPr>
                                <w:noProof/>
                              </w:rPr>
                              <w:drawing>
                                <wp:inline distT="0" distB="0" distL="0" distR="0" wp14:anchorId="0A5EC383" wp14:editId="707F2EFC">
                                  <wp:extent cx="3059430" cy="2470150"/>
                                  <wp:effectExtent l="0" t="0" r="7620" b="6350"/>
                                  <wp:docPr id="23" name="Graf 23">
                                    <a:extLst xmlns:a="http://schemas.openxmlformats.org/drawingml/2006/main">
                                      <a:ext uri="{FF2B5EF4-FFF2-40B4-BE49-F238E27FC236}">
                                        <a16:creationId xmlns:a16="http://schemas.microsoft.com/office/drawing/2014/main" id="{E6D45A80-2C84-4D98-A2CD-70D3FEA1151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14:paraId="12FF829D" w14:textId="77777777" w:rsidR="002B6B23" w:rsidRDefault="002B6B23" w:rsidP="002B6B23">
                            <w:pPr>
                              <w:widowControl w:val="0"/>
                              <w:pBdr>
                                <w:top w:val="single" w:sz="4" w:space="1" w:color="auto"/>
                              </w:pBdr>
                              <w:spacing w:after="0"/>
                              <w:rPr>
                                <w:kern w:val="2"/>
                                <w:sz w:val="14"/>
                                <w:szCs w:val="16"/>
                              </w:rPr>
                            </w:pPr>
                            <w:r w:rsidRPr="007B5A7A">
                              <w:rPr>
                                <w:kern w:val="2"/>
                                <w:sz w:val="14"/>
                                <w:szCs w:val="16"/>
                              </w:rPr>
                              <w:t>Pramen: data</w:t>
                            </w:r>
                            <w:r>
                              <w:rPr>
                                <w:kern w:val="2"/>
                                <w:sz w:val="14"/>
                                <w:szCs w:val="16"/>
                              </w:rPr>
                              <w:t xml:space="preserve"> ČNB;</w:t>
                            </w:r>
                            <w:r w:rsidRPr="007B5A7A">
                              <w:rPr>
                                <w:kern w:val="2"/>
                                <w:sz w:val="14"/>
                                <w:szCs w:val="16"/>
                              </w:rPr>
                              <w:t xml:space="preserve"> graf</w:t>
                            </w:r>
                            <w:r>
                              <w:rPr>
                                <w:kern w:val="2"/>
                                <w:sz w:val="14"/>
                                <w:szCs w:val="16"/>
                              </w:rPr>
                              <w:t xml:space="preserve"> MPO</w:t>
                            </w:r>
                          </w:p>
                          <w:p w14:paraId="6F427C4D" w14:textId="76FDFC9C" w:rsidR="002B6B23" w:rsidRDefault="002B6B23" w:rsidP="002B6B23">
                            <w:pPr>
                              <w:widowControl w:val="0"/>
                              <w:pBdr>
                                <w:top w:val="single" w:sz="4" w:space="1" w:color="auto"/>
                              </w:pBdr>
                              <w:spacing w:after="0"/>
                              <w:rPr>
                                <w:kern w:val="2"/>
                                <w:sz w:val="14"/>
                                <w:szCs w:val="16"/>
                              </w:rPr>
                            </w:pPr>
                            <w:r>
                              <w:rPr>
                                <w:kern w:val="2"/>
                                <w:sz w:val="14"/>
                                <w:szCs w:val="16"/>
                              </w:rPr>
                              <w:t xml:space="preserve">Pozn.: </w:t>
                            </w:r>
                            <w:r w:rsidR="007C73F5">
                              <w:rPr>
                                <w:kern w:val="2"/>
                                <w:sz w:val="14"/>
                                <w:szCs w:val="16"/>
                              </w:rPr>
                              <w:t>z</w:t>
                            </w:r>
                            <w:r>
                              <w:rPr>
                                <w:kern w:val="2"/>
                                <w:sz w:val="14"/>
                                <w:szCs w:val="16"/>
                              </w:rPr>
                              <w:t>a rok 2023 předběžná data</w:t>
                            </w:r>
                          </w:p>
                        </w:txbxContent>
                      </wps:txbx>
                      <wps:bodyPr rot="0" vert="horz" wrap="square" lIns="0" tIns="0" rIns="0" bIns="0" anchor="t" anchorCtr="0">
                        <a:spAutoFit/>
                      </wps:bodyPr>
                    </wps:wsp>
                  </a:graphicData>
                </a:graphic>
                <wp14:sizeRelH relativeFrom="margin">
                  <wp14:pctWidth>0</wp14:pctWidth>
                </wp14:sizeRelH>
                <wp14:sizeRelV relativeFrom="margin">
                  <wp14:pctHeight>0</wp14:pctHeight>
                </wp14:sizeRelV>
              </wp:anchor>
            </w:drawing>
          </mc:Choice>
          <mc:Fallback>
            <w:pict>
              <v:shape w14:anchorId="14AC95B1" id="_x0000_s1043" type="#_x0000_t202" style="position:absolute;left:0;text-align:left;margin-left:189.7pt;margin-top:0;width:240.9pt;height:220.4pt;z-index:251828224;visibility:visible;mso-wrap-style:square;mso-width-percent:0;mso-height-percent:0;mso-wrap-distance-left:9pt;mso-wrap-distance-top:11.9pt;mso-wrap-distance-right:9pt;mso-wrap-distance-bottom:11.9pt;mso-position-horizontal:right;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" filled="f" stroked="f">
                <v:textbox style="mso-fit-shape-to-text:t" inset="0,0,0,0">
                  <w:txbxContent>
                    <w:p w14:paraId="76D9B422" w14:textId="74EC7403" w:rsidR="002B6B23" w:rsidRDefault="002B6B23" w:rsidP="00301991">
                      <w:pPr>
                        <w:pStyle w:val="Bezmezer"/>
                      </w:pPr>
                      <w:r>
                        <w:t>Srovnání odlivu dividend a reinvestovaného zisku PZI v</w:t>
                      </w:r>
                      <w:r w:rsidR="00EF69AF">
                        <w:t> </w:t>
                      </w:r>
                      <w:r w:rsidR="0019214C">
                        <w:t>České republice</w:t>
                      </w:r>
                    </w:p>
                    <w:p w14:paraId="18E0798F" w14:textId="77777777" w:rsidR="002B6B23" w:rsidRPr="00C872A3" w:rsidRDefault="002B6B23" w:rsidP="002B6B23">
                      <w:pPr>
                        <w:pStyle w:val="Bezmezer"/>
                        <w:keepNext/>
                        <w:widowControl w:val="0"/>
                        <w:pBdr>
                          <w:bottom w:val="single" w:sz="4" w:space="1" w:color="auto"/>
                        </w:pBdr>
                        <w:rPr>
                          <w:kern w:val="2"/>
                          <w:szCs w:val="16"/>
                        </w:rPr>
                      </w:pPr>
                      <w:r>
                        <w:rPr>
                          <w:kern w:val="2"/>
                          <w:sz w:val="16"/>
                          <w:szCs w:val="12"/>
                        </w:rPr>
                        <w:t>(</w:t>
                      </w:r>
                      <w:r w:rsidRPr="002B59D0">
                        <w:rPr>
                          <w:kern w:val="2"/>
                          <w:sz w:val="16"/>
                          <w:szCs w:val="12"/>
                        </w:rPr>
                        <w:t xml:space="preserve">v </w:t>
                      </w:r>
                      <w:r>
                        <w:rPr>
                          <w:kern w:val="2"/>
                          <w:sz w:val="16"/>
                          <w:szCs w:val="12"/>
                        </w:rPr>
                        <w:t>%)</w:t>
                      </w:r>
                    </w:p>
                    <w:p w14:paraId="76A42A81" w14:textId="77777777" w:rsidR="002B6B23" w:rsidRPr="003514B1" w:rsidRDefault="002B6B23" w:rsidP="002B6B23">
                      <w:pPr>
                        <w:pStyle w:val="Bezmezer"/>
                        <w:keepNext/>
                        <w:widowControl w:val="0"/>
                        <w:rPr>
                          <w:kern w:val="2"/>
                          <w:sz w:val="18"/>
                          <w:szCs w:val="16"/>
                        </w:rPr>
                      </w:pPr>
                      <w:r>
                        <w:rPr>
                          <w:noProof/>
                        </w:rPr>
                        <w:drawing>
                          <wp:inline distT="0" distB="0" distL="0" distR="0" wp14:anchorId="0A5EC383" wp14:editId="707F2EFC">
                            <wp:extent cx="3059430" cy="2470150"/>
                            <wp:effectExtent l="0" t="0" r="7620" b="6350"/>
                            <wp:docPr id="23" name="Graf 23">
                              <a:extLst xmlns:a="http://schemas.openxmlformats.org/drawingml/2006/main">
                                <a:ext uri="{FF2B5EF4-FFF2-40B4-BE49-F238E27FC236}">
                                  <a16:creationId xmlns:a16="http://schemas.microsoft.com/office/drawing/2014/main" id="{E6D45A80-2C84-4D98-A2CD-70D3FEA1151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14:paraId="12FF829D" w14:textId="77777777" w:rsidR="002B6B23" w:rsidRDefault="002B6B23" w:rsidP="002B6B23">
                      <w:pPr>
                        <w:widowControl w:val="0"/>
                        <w:pBdr>
                          <w:top w:val="single" w:sz="4" w:space="1" w:color="auto"/>
                        </w:pBdr>
                        <w:spacing w:after="0"/>
                        <w:rPr>
                          <w:kern w:val="2"/>
                          <w:sz w:val="14"/>
                          <w:szCs w:val="16"/>
                        </w:rPr>
                      </w:pPr>
                      <w:r w:rsidRPr="007B5A7A">
                        <w:rPr>
                          <w:kern w:val="2"/>
                          <w:sz w:val="14"/>
                          <w:szCs w:val="16"/>
                        </w:rPr>
                        <w:t>Pramen: data</w:t>
                      </w:r>
                      <w:r>
                        <w:rPr>
                          <w:kern w:val="2"/>
                          <w:sz w:val="14"/>
                          <w:szCs w:val="16"/>
                        </w:rPr>
                        <w:t xml:space="preserve"> ČNB;</w:t>
                      </w:r>
                      <w:r w:rsidRPr="007B5A7A">
                        <w:rPr>
                          <w:kern w:val="2"/>
                          <w:sz w:val="14"/>
                          <w:szCs w:val="16"/>
                        </w:rPr>
                        <w:t xml:space="preserve"> graf</w:t>
                      </w:r>
                      <w:r>
                        <w:rPr>
                          <w:kern w:val="2"/>
                          <w:sz w:val="14"/>
                          <w:szCs w:val="16"/>
                        </w:rPr>
                        <w:t xml:space="preserve"> MPO</w:t>
                      </w:r>
                    </w:p>
                    <w:p w14:paraId="6F427C4D" w14:textId="76FDFC9C" w:rsidR="002B6B23" w:rsidRDefault="002B6B23" w:rsidP="002B6B23">
                      <w:pPr>
                        <w:widowControl w:val="0"/>
                        <w:pBdr>
                          <w:top w:val="single" w:sz="4" w:space="1" w:color="auto"/>
                        </w:pBdr>
                        <w:spacing w:after="0"/>
                        <w:rPr>
                          <w:kern w:val="2"/>
                          <w:sz w:val="14"/>
                          <w:szCs w:val="16"/>
                        </w:rPr>
                      </w:pPr>
                      <w:r>
                        <w:rPr>
                          <w:kern w:val="2"/>
                          <w:sz w:val="14"/>
                          <w:szCs w:val="16"/>
                        </w:rPr>
                        <w:t xml:space="preserve">Pozn.: </w:t>
                      </w:r>
                      <w:r w:rsidR="007C73F5">
                        <w:rPr>
                          <w:kern w:val="2"/>
                          <w:sz w:val="14"/>
                          <w:szCs w:val="16"/>
                        </w:rPr>
                        <w:t>z</w:t>
                      </w:r>
                      <w:r>
                        <w:rPr>
                          <w:kern w:val="2"/>
                          <w:sz w:val="14"/>
                          <w:szCs w:val="16"/>
                        </w:rPr>
                        <w:t>a rok 2023 předběžná data</w:t>
                      </w:r>
                    </w:p>
                  </w:txbxContent>
                </v:textbox>
                <w10:wrap type="square" anchorx="margin" anchory="margin"/>
              </v:shape>
            </w:pict>
          </mc:Fallback>
        </mc:AlternateContent>
      </w:r>
      <w:r w:rsidR="002B6B23" w:rsidRPr="00D67550">
        <w:rPr>
          <w:noProof/>
          <w:lang w:eastAsia="cs-CZ"/>
        </w:rPr>
        <mc:AlternateContent>
          <mc:Choice Requires="wps">
            <w:drawing>
              <wp:anchor distT="151130" distB="151130" distL="114300" distR="114300" simplePos="0" relativeHeight="251827200" behindDoc="0" locked="0" layoutInCell="1" allowOverlap="1" wp14:anchorId="1D733E2C" wp14:editId="6924DA00">
                <wp:simplePos x="0" y="0"/>
                <wp:positionH relativeFrom="margin">
                  <wp:align>left</wp:align>
                </wp:positionH>
                <wp:positionV relativeFrom="margin">
                  <wp:posOffset>3810</wp:posOffset>
                </wp:positionV>
                <wp:extent cx="3059430" cy="2799080"/>
                <wp:effectExtent l="0" t="0" r="7620" b="1270"/>
                <wp:wrapSquare wrapText="bothSides"/>
                <wp:docPr id="101"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59430" cy="2799080"/>
                        </a:xfrm>
                        <a:prstGeom prst="rect">
                          <a:avLst/>
                        </a:prstGeom>
                        <a:noFill/>
                        <a:ln w="9525">
                          <a:noFill/>
                          <a:miter lim="800000"/>
                          <a:headEnd/>
                          <a:tailEnd/>
                        </a:ln>
                      </wps:spPr>
                      <wps:txbx>
                        <w:txbxContent>
                          <w:p w14:paraId="5A3A74CD" w14:textId="77777777" w:rsidR="002B6B23" w:rsidRDefault="002B6B23" w:rsidP="00301991">
                            <w:pPr>
                              <w:pStyle w:val="Bezmezer"/>
                            </w:pPr>
                            <w:r>
                              <w:t>Mezinárodní srovnání odlivu dividend k HDP</w:t>
                            </w:r>
                          </w:p>
                          <w:p w14:paraId="0F9FD509" w14:textId="77777777" w:rsidR="002B6B23" w:rsidRPr="00C872A3" w:rsidRDefault="002B6B23" w:rsidP="002B6B23">
                            <w:pPr>
                              <w:pStyle w:val="Bezmezer"/>
                              <w:keepNext/>
                              <w:widowControl w:val="0"/>
                              <w:pBdr>
                                <w:bottom w:val="single" w:sz="4" w:space="1" w:color="auto"/>
                              </w:pBdr>
                              <w:rPr>
                                <w:kern w:val="2"/>
                                <w:szCs w:val="16"/>
                              </w:rPr>
                            </w:pPr>
                            <w:r>
                              <w:rPr>
                                <w:kern w:val="2"/>
                                <w:sz w:val="16"/>
                                <w:szCs w:val="12"/>
                              </w:rPr>
                              <w:t xml:space="preserve">(poměr čistého odlivu dividend v USD k HDP v USD, </w:t>
                            </w:r>
                            <w:r w:rsidRPr="002B59D0">
                              <w:rPr>
                                <w:kern w:val="2"/>
                                <w:sz w:val="16"/>
                                <w:szCs w:val="12"/>
                              </w:rPr>
                              <w:t xml:space="preserve">v </w:t>
                            </w:r>
                            <w:r>
                              <w:rPr>
                                <w:kern w:val="2"/>
                                <w:sz w:val="16"/>
                                <w:szCs w:val="12"/>
                              </w:rPr>
                              <w:t>%)</w:t>
                            </w:r>
                          </w:p>
                          <w:p w14:paraId="01BC77B7" w14:textId="77777777" w:rsidR="002B6B23" w:rsidRPr="003514B1" w:rsidRDefault="002B6B23" w:rsidP="002B6B23">
                            <w:pPr>
                              <w:pStyle w:val="Bezmezer"/>
                              <w:keepNext/>
                              <w:widowControl w:val="0"/>
                              <w:rPr>
                                <w:kern w:val="2"/>
                                <w:sz w:val="18"/>
                                <w:szCs w:val="16"/>
                              </w:rPr>
                            </w:pPr>
                            <w:r>
                              <w:rPr>
                                <w:noProof/>
                              </w:rPr>
                              <w:drawing>
                                <wp:inline distT="0" distB="0" distL="0" distR="0" wp14:anchorId="33AB5A4D" wp14:editId="4FB41D01">
                                  <wp:extent cx="3050540" cy="2470150"/>
                                  <wp:effectExtent l="0" t="0" r="0" b="6350"/>
                                  <wp:docPr id="24" name="Graf 24">
                                    <a:extLst xmlns:a="http://schemas.openxmlformats.org/drawingml/2006/main">
                                      <a:ext uri="{FF2B5EF4-FFF2-40B4-BE49-F238E27FC236}">
                                        <a16:creationId xmlns:a16="http://schemas.microsoft.com/office/drawing/2014/main" id="{51CC4515-F372-4ED7-98FA-9D66FBA04A2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364958DC" w14:textId="77777777" w:rsidR="002B6B23" w:rsidRDefault="002B6B23" w:rsidP="002B6B23">
                            <w:pPr>
                              <w:widowControl w:val="0"/>
                              <w:pBdr>
                                <w:top w:val="single" w:sz="4" w:space="1" w:color="auto"/>
                              </w:pBdr>
                              <w:spacing w:after="0"/>
                              <w:rPr>
                                <w:kern w:val="2"/>
                                <w:sz w:val="14"/>
                                <w:szCs w:val="16"/>
                              </w:rPr>
                            </w:pPr>
                            <w:r w:rsidRPr="007B5A7A">
                              <w:rPr>
                                <w:kern w:val="2"/>
                                <w:sz w:val="14"/>
                                <w:szCs w:val="16"/>
                              </w:rPr>
                              <w:t>Pramen: data</w:t>
                            </w:r>
                            <w:r>
                              <w:rPr>
                                <w:kern w:val="2"/>
                                <w:sz w:val="14"/>
                                <w:szCs w:val="16"/>
                              </w:rPr>
                              <w:t xml:space="preserve"> OECD;</w:t>
                            </w:r>
                            <w:r w:rsidRPr="007B5A7A">
                              <w:rPr>
                                <w:kern w:val="2"/>
                                <w:sz w:val="14"/>
                                <w:szCs w:val="16"/>
                              </w:rPr>
                              <w:t xml:space="preserve"> graf</w:t>
                            </w:r>
                            <w:r>
                              <w:rPr>
                                <w:kern w:val="2"/>
                                <w:sz w:val="14"/>
                                <w:szCs w:val="16"/>
                              </w:rPr>
                              <w:t xml:space="preserve"> MPO</w:t>
                            </w:r>
                          </w:p>
                        </w:txbxContent>
                      </wps:txbx>
                      <wps:bodyPr rot="0" vert="horz" wrap="square" lIns="0" tIns="0" rIns="0" bIns="0" anchor="t" anchorCtr="0">
                        <a:spAutoFit/>
                      </wps:bodyPr>
                    </wps:wsp>
                  </a:graphicData>
                </a:graphic>
                <wp14:sizeRelH relativeFrom="margin">
                  <wp14:pctWidth>0</wp14:pctWidth>
                </wp14:sizeRelH>
                <wp14:sizeRelV relativeFrom="margin">
                  <wp14:pctHeight>0</wp14:pctHeight>
                </wp14:sizeRelV>
              </wp:anchor>
            </w:drawing>
          </mc:Choice>
          <mc:Fallback>
            <w:pict>
              <v:shape w14:anchorId="1D733E2C" id="_x0000_s1044" type="#_x0000_t202" style="position:absolute;left:0;text-align:left;margin-left:0;margin-top:.3pt;width:240.9pt;height:220.4pt;z-index:251827200;visibility:visible;mso-wrap-style:square;mso-width-percent:0;mso-height-percent:0;mso-wrap-distance-left:9pt;mso-wrap-distance-top:11.9pt;mso-wrap-distance-right:9pt;mso-wrap-distance-bottom:11.9pt;mso-position-horizontal:left;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" filled="f" stroked="f">
                <v:textbox style="mso-fit-shape-to-text:t" inset="0,0,0,0">
                  <w:txbxContent>
                    <w:p w14:paraId="5A3A74CD" w14:textId="77777777" w:rsidR="002B6B23" w:rsidRDefault="002B6B23" w:rsidP="00301991">
                      <w:pPr>
                        <w:pStyle w:val="Bezmezer"/>
                      </w:pPr>
                      <w:r>
                        <w:t>Mezinárodní srovnání odlivu dividend k HDP</w:t>
                      </w:r>
                    </w:p>
                    <w:p w14:paraId="0F9FD509" w14:textId="77777777" w:rsidR="002B6B23" w:rsidRPr="00C872A3" w:rsidRDefault="002B6B23" w:rsidP="002B6B23">
                      <w:pPr>
                        <w:pStyle w:val="Bezmezer"/>
                        <w:keepNext/>
                        <w:widowControl w:val="0"/>
                        <w:pBdr>
                          <w:bottom w:val="single" w:sz="4" w:space="1" w:color="auto"/>
                        </w:pBdr>
                        <w:rPr>
                          <w:kern w:val="2"/>
                          <w:szCs w:val="16"/>
                        </w:rPr>
                      </w:pPr>
                      <w:r>
                        <w:rPr>
                          <w:kern w:val="2"/>
                          <w:sz w:val="16"/>
                          <w:szCs w:val="12"/>
                        </w:rPr>
                        <w:t xml:space="preserve">(poměr čistého odlivu dividend v USD k HDP v USD, </w:t>
                      </w:r>
                      <w:r w:rsidRPr="002B59D0">
                        <w:rPr>
                          <w:kern w:val="2"/>
                          <w:sz w:val="16"/>
                          <w:szCs w:val="12"/>
                        </w:rPr>
                        <w:t xml:space="preserve">v </w:t>
                      </w:r>
                      <w:r>
                        <w:rPr>
                          <w:kern w:val="2"/>
                          <w:sz w:val="16"/>
                          <w:szCs w:val="12"/>
                        </w:rPr>
                        <w:t>%)</w:t>
                      </w:r>
                    </w:p>
                    <w:p w14:paraId="01BC77B7" w14:textId="77777777" w:rsidR="002B6B23" w:rsidRPr="003514B1" w:rsidRDefault="002B6B23" w:rsidP="002B6B23">
                      <w:pPr>
                        <w:pStyle w:val="Bezmezer"/>
                        <w:keepNext/>
                        <w:widowControl w:val="0"/>
                        <w:rPr>
                          <w:kern w:val="2"/>
                          <w:sz w:val="18"/>
                          <w:szCs w:val="16"/>
                        </w:rPr>
                      </w:pPr>
                      <w:r>
                        <w:rPr>
                          <w:noProof/>
                        </w:rPr>
                        <w:drawing>
                          <wp:inline distT="0" distB="0" distL="0" distR="0" wp14:anchorId="33AB5A4D" wp14:editId="4FB41D01">
                            <wp:extent cx="3050540" cy="2470150"/>
                            <wp:effectExtent l="0" t="0" r="0" b="6350"/>
                            <wp:docPr id="24" name="Graf 24">
                              <a:extLst xmlns:a="http://schemas.openxmlformats.org/drawingml/2006/main">
                                <a:ext uri="{FF2B5EF4-FFF2-40B4-BE49-F238E27FC236}">
                                  <a16:creationId xmlns:a16="http://schemas.microsoft.com/office/drawing/2014/main" id="{51CC4515-F372-4ED7-98FA-9D66FBA04A2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364958DC" w14:textId="77777777" w:rsidR="002B6B23" w:rsidRDefault="002B6B23" w:rsidP="002B6B23">
                      <w:pPr>
                        <w:widowControl w:val="0"/>
                        <w:pBdr>
                          <w:top w:val="single" w:sz="4" w:space="1" w:color="auto"/>
                        </w:pBdr>
                        <w:spacing w:after="0"/>
                        <w:rPr>
                          <w:kern w:val="2"/>
                          <w:sz w:val="14"/>
                          <w:szCs w:val="16"/>
                        </w:rPr>
                      </w:pPr>
                      <w:r w:rsidRPr="007B5A7A">
                        <w:rPr>
                          <w:kern w:val="2"/>
                          <w:sz w:val="14"/>
                          <w:szCs w:val="16"/>
                        </w:rPr>
                        <w:t>Pramen: data</w:t>
                      </w:r>
                      <w:r>
                        <w:rPr>
                          <w:kern w:val="2"/>
                          <w:sz w:val="14"/>
                          <w:szCs w:val="16"/>
                        </w:rPr>
                        <w:t xml:space="preserve"> OECD;</w:t>
                      </w:r>
                      <w:r w:rsidRPr="007B5A7A">
                        <w:rPr>
                          <w:kern w:val="2"/>
                          <w:sz w:val="14"/>
                          <w:szCs w:val="16"/>
                        </w:rPr>
                        <w:t xml:space="preserve"> graf</w:t>
                      </w:r>
                      <w:r>
                        <w:rPr>
                          <w:kern w:val="2"/>
                          <w:sz w:val="14"/>
                          <w:szCs w:val="16"/>
                        </w:rPr>
                        <w:t xml:space="preserve"> MPO</w:t>
                      </w:r>
                    </w:p>
                  </w:txbxContent>
                </v:textbox>
                <w10:wrap type="square" anchorx="margin" anchory="margin"/>
              </v:shape>
            </w:pict>
          </mc:Fallback>
        </mc:AlternateContent>
      </w:r>
    </w:p>
    <w:p w14:paraId="69A7BFA9" w14:textId="7654B120" w:rsidR="002B6B23" w:rsidRPr="00301991" w:rsidRDefault="00EF69AF" w:rsidP="003C3221">
      <w:r>
        <w:rPr>
          <w:noProof/>
          <w:lang w:eastAsia="cs-CZ"/>
        </w:rPr>
        <w:lastRenderedPageBreak/>
        <mc:AlternateContent>
          <mc:Choice Requires="wps">
            <w:drawing>
              <wp:anchor distT="0" distB="0" distL="114300" distR="114300" simplePos="0" relativeHeight="251847680" behindDoc="0" locked="0" layoutInCell="1" allowOverlap="1" wp14:anchorId="2A1C0426" wp14:editId="7185635D">
                <wp:simplePos x="0" y="0"/>
                <wp:positionH relativeFrom="column">
                  <wp:posOffset>5080</wp:posOffset>
                </wp:positionH>
                <wp:positionV relativeFrom="paragraph">
                  <wp:posOffset>6722110</wp:posOffset>
                </wp:positionV>
                <wp:extent cx="3020060" cy="0"/>
                <wp:effectExtent l="0" t="0" r="0" b="0"/>
                <wp:wrapNone/>
                <wp:docPr id="19" name="Přímá spojnice 19"/>
                <wp:cNvGraphicFramePr/>
                <a:graphic xmlns:a="http://schemas.openxmlformats.org/drawingml/2006/main">
                  <a:graphicData uri="http://schemas.microsoft.com/office/word/2010/wordprocessingShape">
                    <wps:wsp>
                      <wps:cNvCnPr/>
                      <wps:spPr>
                        <a:xfrm flipV="1">
                          <a:off x="0" y="0"/>
                          <a:ext cx="302006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0039D828" id="Přímá spojnice 19" o:spid="_x0000_s1026" style="position:absolute;flip:y;z-index:2518476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4pt,529.3pt" to="238.2pt,52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" strokecolor="black [3213]" strokeweight=".5pt">
                <v:stroke joinstyle="miter"/>
              </v:line>
            </w:pict>
          </mc:Fallback>
        </mc:AlternateContent>
      </w:r>
      <w:r w:rsidR="008815F3" w:rsidRPr="00D67550">
        <w:rPr>
          <w:noProof/>
          <w:lang w:eastAsia="cs-CZ"/>
        </w:rPr>
        <mc:AlternateContent>
          <mc:Choice Requires="wps">
            <w:drawing>
              <wp:anchor distT="151130" distB="151130" distL="114300" distR="114300" simplePos="0" relativeHeight="251842560" behindDoc="0" locked="0" layoutInCell="1" allowOverlap="1" wp14:anchorId="411175A5" wp14:editId="21F7A53E">
                <wp:simplePos x="0" y="0"/>
                <wp:positionH relativeFrom="margin">
                  <wp:align>right</wp:align>
                </wp:positionH>
                <wp:positionV relativeFrom="margin">
                  <wp:align>bottom</wp:align>
                </wp:positionV>
                <wp:extent cx="3007995" cy="3103245"/>
                <wp:effectExtent l="0" t="0" r="1905" b="3810"/>
                <wp:wrapSquare wrapText="bothSides"/>
                <wp:docPr id="1"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07995" cy="3103245"/>
                        </a:xfrm>
                        <a:prstGeom prst="rect">
                          <a:avLst/>
                        </a:prstGeom>
                        <a:noFill/>
                        <a:ln w="9525">
                          <a:noFill/>
                          <a:miter lim="800000"/>
                          <a:headEnd/>
                          <a:tailEnd/>
                        </a:ln>
                      </wps:spPr>
                      <wps:txbx>
                        <w:txbxContent>
                          <w:p w14:paraId="66A18905" w14:textId="5A61DE9C" w:rsidR="00E45B38" w:rsidRDefault="00E45B38" w:rsidP="00E45B38">
                            <w:pPr>
                              <w:pStyle w:val="Bezmezer"/>
                            </w:pPr>
                            <w:r>
                              <w:t>Ceny elektřiny v Evropském srovnání (2023)</w:t>
                            </w:r>
                          </w:p>
                          <w:p w14:paraId="742552CD" w14:textId="2642C5D9" w:rsidR="00E45B38" w:rsidRPr="00C872A3" w:rsidRDefault="00E45B38" w:rsidP="00E45B38">
                            <w:pPr>
                              <w:pStyle w:val="Bezmezer"/>
                              <w:keepNext/>
                              <w:widowControl w:val="0"/>
                              <w:pBdr>
                                <w:bottom w:val="single" w:sz="4" w:space="1" w:color="auto"/>
                              </w:pBdr>
                              <w:rPr>
                                <w:kern w:val="2"/>
                                <w:szCs w:val="16"/>
                              </w:rPr>
                            </w:pPr>
                            <w:r>
                              <w:rPr>
                                <w:kern w:val="2"/>
                                <w:sz w:val="16"/>
                                <w:szCs w:val="12"/>
                              </w:rPr>
                              <w:t>(EUR / Kwh)</w:t>
                            </w:r>
                          </w:p>
                          <w:p w14:paraId="5D03C18E" w14:textId="469CAEE1" w:rsidR="00E45B38" w:rsidRPr="00C872A3" w:rsidRDefault="00C267E3" w:rsidP="00E45B38">
                            <w:pPr>
                              <w:pStyle w:val="Bezmezer"/>
                            </w:pPr>
                            <w:r>
                              <w:rPr>
                                <w:noProof/>
                              </w:rPr>
                              <mc:AlternateContent>
                                <mc:Choice Requires="cx4">
                                  <w:drawing>
                                    <wp:inline distT="0" distB="0" distL="0" distR="0" wp14:anchorId="03EDD8D1" wp14:editId="7B1D94DB">
                                      <wp:extent cx="2999105" cy="2274570"/>
                                      <wp:effectExtent l="0" t="0" r="10795" b="11430"/>
                                      <wp:docPr id="25" name="Graf 25">
                                        <a:extLst xmlns:a="http://schemas.openxmlformats.org/drawingml/2006/main">
                                          <a:ext uri="{FF2B5EF4-FFF2-40B4-BE49-F238E27FC236}">
                                            <a16:creationId xmlns:a16="http://schemas.microsoft.com/office/drawing/2014/main" id="{71245654-888C-4607-90F3-A05B10063654}"/>
                                          </a:ext>
                                        </a:extLst>
                                      </wp:docPr>
                                      <wp:cNvGraphicFramePr/>
                                      <a:graphic xmlns:a="http://schemas.openxmlformats.org/drawingml/2006/main">
                                        <a:graphicData uri="http://schemas.microsoft.com/office/drawing/2014/chartex">
                                          <cx:chart xmlns:cx="http://schemas.microsoft.com/office/drawing/2014/chartex" xmlns:r="http://schemas.openxmlformats.org/officeDocument/2006/relationships" r:id="rId32"/>
                                        </a:graphicData>
                                      </a:graphic>
                                    </wp:inline>
                                  </w:drawing>
                                </mc:Choice>
                                <mc:Fallback>
                                  <w:drawing>
                                    <wp:inline distT="0" distB="0" distL="0" distR="0" wp14:anchorId="03EDD8D1" wp14:editId="7B1D94DB">
                                      <wp:extent cx="2999105" cy="2274570"/>
                                      <wp:effectExtent l="0" t="0" r="10795" b="11430"/>
                                      <wp:docPr id="25" name="Graf 25">
                                        <a:extLst xmlns:a="http://schemas.openxmlformats.org/drawingml/2006/main">
                                          <a:ext uri="{FF2B5EF4-FFF2-40B4-BE49-F238E27FC236}">
                                            <a16:creationId xmlns:a16="http://schemas.microsoft.com/office/drawing/2014/main" id="{71245654-888C-4607-90F3-A05B10063654}"/>
                                          </a:ext>
                                        </a:extLst>
                                      </wp:docPr>
                                      <wp:cNvGraphicFramePr>
                                        <a:graphicFrameLocks xmlns:a="http://schemas.openxmlformats.org/drawingml/2006/main" noGrp="1" noDrilldown="1" noSelect="1" noChangeAspect="1" noMove="1" noResize="1"/>
                                      </wp:cNvGraphicFramePr>
                                      <a:graphic xmlns:a="http://schemas.openxmlformats.org/drawingml/2006/main">
                                        <a:graphicData uri="http://schemas.openxmlformats.org/drawingml/2006/picture">
                                          <pic:pic xmlns:pic="http://schemas.openxmlformats.org/drawingml/2006/picture">
                                            <pic:nvPicPr>
                                              <pic:cNvPr id="25" name="Graf 25">
                                                <a:extLst>
                                                  <a:ext uri="{FF2B5EF4-FFF2-40B4-BE49-F238E27FC236}">
                                                    <a16:creationId xmlns:a16="http://schemas.microsoft.com/office/drawing/2014/main" id="{71245654-888C-4607-90F3-A05B10063654}"/>
                                                  </a:ext>
                                                </a:extLst>
                                              </pic:cNvPr>
                                              <pic:cNvPicPr>
                                                <a:picLocks noGrp="1" noRot="1" noChangeAspect="1" noMove="1" noResize="1" noEditPoints="1" noAdjustHandles="1" noChangeArrowheads="1" noChangeShapeType="1"/>
                                              </pic:cNvPicPr>
                                            </pic:nvPicPr>
                                            <pic:blipFill>
                                              <a:blip r:embed="rId33"/>
                                              <a:stretch>
                                                <a:fillRect/>
                                              </a:stretch>
                                            </pic:blipFill>
                                            <pic:spPr>
                                              <a:xfrm>
                                                <a:off x="0" y="0"/>
                                                <a:ext cx="2999105" cy="2274570"/>
                                              </a:xfrm>
                                              <a:prstGeom prst="rect">
                                                <a:avLst/>
                                              </a:prstGeom>
                                            </pic:spPr>
                                          </pic:pic>
                                        </a:graphicData>
                                      </a:graphic>
                                    </wp:inline>
                                  </w:drawing>
                                </mc:Fallback>
                              </mc:AlternateContent>
                            </w:r>
                          </w:p>
                          <w:p w14:paraId="0321F50F" w14:textId="77777777" w:rsidR="00E45B38" w:rsidRDefault="00E45B38" w:rsidP="00E45B38">
                            <w:pPr>
                              <w:widowControl w:val="0"/>
                              <w:pBdr>
                                <w:top w:val="single" w:sz="4" w:space="1" w:color="auto"/>
                              </w:pBdr>
                              <w:spacing w:after="0"/>
                              <w:rPr>
                                <w:kern w:val="2"/>
                                <w:sz w:val="14"/>
                                <w:szCs w:val="16"/>
                              </w:rPr>
                            </w:pPr>
                            <w:r w:rsidRPr="00A812C4">
                              <w:rPr>
                                <w:kern w:val="2"/>
                                <w:sz w:val="14"/>
                                <w:szCs w:val="16"/>
                              </w:rPr>
                              <w:t>Pramen: Eurostat</w:t>
                            </w:r>
                          </w:p>
                        </w:txbxContent>
                      </wps:txbx>
                      <wps:bodyPr rot="0" vert="horz" wrap="square" lIns="0" tIns="0" rIns="0" bIns="0" anchor="t" anchorCtr="0">
                        <a:spAutoFit/>
                      </wps:bodyPr>
                    </wps:wsp>
                  </a:graphicData>
                </a:graphic>
                <wp14:sizeRelH relativeFrom="margin">
                  <wp14:pctWidth>0</wp14:pctWidth>
                </wp14:sizeRelH>
                <wp14:sizeRelV relativeFrom="margin">
                  <wp14:pctHeight>0</wp14:pctHeight>
                </wp14:sizeRelV>
              </wp:anchor>
            </w:drawing>
          </mc:Choice>
          <mc:Fallback>
            <w:pict>
              <v:shape w14:anchorId="411175A5" id="_x0000_s1045" type="#_x0000_t202" style="position:absolute;left:0;text-align:left;margin-left:185.65pt;margin-top:0;width:236.85pt;height:244.35pt;z-index:251842560;visibility:visible;mso-wrap-style:square;mso-width-percent:0;mso-height-percent:0;mso-wrap-distance-left:9pt;mso-wrap-distance-top:11.9pt;mso-wrap-distance-right:9pt;mso-wrap-distance-bottom:11.9pt;mso-position-horizontal:right;mso-position-horizontal-relative:margin;mso-position-vertical:bottom;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" filled="f" stroked="f">
                <v:textbox style="mso-fit-shape-to-text:t" inset="0,0,0,0">
                  <w:txbxContent>
                    <w:p w14:paraId="66A18905" w14:textId="5A61DE9C" w:rsidR="00E45B38" w:rsidRDefault="00E45B38" w:rsidP="00E45B38">
                      <w:pPr>
                        <w:pStyle w:val="Bezmezer"/>
                      </w:pPr>
                      <w:r>
                        <w:t>Ceny elektřiny v Evropském srovnání (2023)</w:t>
                      </w:r>
                    </w:p>
                    <w:p w14:paraId="742552CD" w14:textId="2642C5D9" w:rsidR="00E45B38" w:rsidRPr="00C872A3" w:rsidRDefault="00E45B38" w:rsidP="00E45B38">
                      <w:pPr>
                        <w:pStyle w:val="Bezmezer"/>
                        <w:keepNext/>
                        <w:widowControl w:val="0"/>
                        <w:pBdr>
                          <w:bottom w:val="single" w:sz="4" w:space="1" w:color="auto"/>
                        </w:pBdr>
                        <w:rPr>
                          <w:kern w:val="2"/>
                          <w:szCs w:val="16"/>
                        </w:rPr>
                      </w:pPr>
                      <w:r>
                        <w:rPr>
                          <w:kern w:val="2"/>
                          <w:sz w:val="16"/>
                          <w:szCs w:val="12"/>
                        </w:rPr>
                        <w:t>(EUR / Kwh)</w:t>
                      </w:r>
                    </w:p>
                    <w:p w14:paraId="5D03C18E" w14:textId="469CAEE1" w:rsidR="00E45B38" w:rsidRPr="00C872A3" w:rsidRDefault="00C267E3" w:rsidP="00E45B38">
                      <w:pPr>
                        <w:pStyle w:val="Bezmezer"/>
                      </w:pPr>
                      <w:r>
                        <w:rPr>
                          <w:noProof/>
                        </w:rPr>
                        <mc:AlternateContent>
                          <mc:Choice Requires="cx4">
                            <w:drawing>
                              <wp:inline distT="0" distB="0" distL="0" distR="0" wp14:anchorId="03EDD8D1" wp14:editId="7B1D94DB">
                                <wp:extent cx="2999105" cy="2274570"/>
                                <wp:effectExtent l="0" t="0" r="10795" b="11430"/>
                                <wp:docPr id="25" name="Graf 25">
                                  <a:extLst xmlns:a="http://schemas.openxmlformats.org/drawingml/2006/main">
                                    <a:ext uri="{FF2B5EF4-FFF2-40B4-BE49-F238E27FC236}">
                                      <a16:creationId xmlns:a16="http://schemas.microsoft.com/office/drawing/2014/main" id="{71245654-888C-4607-90F3-A05B10063654}"/>
                                    </a:ext>
                                  </a:extLst>
                                </wp:docPr>
                                <wp:cNvGraphicFramePr/>
                                <a:graphic xmlns:a="http://schemas.openxmlformats.org/drawingml/2006/main">
                                  <a:graphicData uri="http://schemas.microsoft.com/office/drawing/2014/chartex">
                                    <cx:chart xmlns:cx="http://schemas.microsoft.com/office/drawing/2014/chartex" xmlns:r="http://schemas.openxmlformats.org/officeDocument/2006/relationships" r:id="rId32"/>
                                  </a:graphicData>
                                </a:graphic>
                              </wp:inline>
                            </w:drawing>
                          </mc:Choice>
                          <mc:Fallback>
                            <w:drawing>
                              <wp:inline distT="0" distB="0" distL="0" distR="0" wp14:anchorId="03EDD8D1" wp14:editId="7B1D94DB">
                                <wp:extent cx="2999105" cy="2274570"/>
                                <wp:effectExtent l="0" t="0" r="10795" b="11430"/>
                                <wp:docPr id="25" name="Graf 25">
                                  <a:extLst xmlns:a="http://schemas.openxmlformats.org/drawingml/2006/main">
                                    <a:ext uri="{FF2B5EF4-FFF2-40B4-BE49-F238E27FC236}">
                                      <a16:creationId xmlns:a16="http://schemas.microsoft.com/office/drawing/2014/main" id="{71245654-888C-4607-90F3-A05B10063654}"/>
                                    </a:ext>
                                  </a:extLst>
                                </wp:docPr>
                                <wp:cNvGraphicFramePr>
                                  <a:graphicFrameLocks xmlns:a="http://schemas.openxmlformats.org/drawingml/2006/main" noGrp="1" noDrilldown="1" noSelect="1" noChangeAspect="1" noMove="1" noResize="1"/>
                                </wp:cNvGraphicFramePr>
                                <a:graphic xmlns:a="http://schemas.openxmlformats.org/drawingml/2006/main">
                                  <a:graphicData uri="http://schemas.openxmlformats.org/drawingml/2006/picture">
                                    <pic:pic xmlns:pic="http://schemas.openxmlformats.org/drawingml/2006/picture">
                                      <pic:nvPicPr>
                                        <pic:cNvPr id="25" name="Graf 25">
                                          <a:extLst>
                                            <a:ext uri="{FF2B5EF4-FFF2-40B4-BE49-F238E27FC236}">
                                              <a16:creationId xmlns:a16="http://schemas.microsoft.com/office/drawing/2014/main" id="{71245654-888C-4607-90F3-A05B10063654}"/>
                                            </a:ext>
                                          </a:extLst>
                                        </pic:cNvPr>
                                        <pic:cNvPicPr>
                                          <a:picLocks noGrp="1" noRot="1" noChangeAspect="1" noMove="1" noResize="1" noEditPoints="1" noAdjustHandles="1" noChangeArrowheads="1" noChangeShapeType="1"/>
                                        </pic:cNvPicPr>
                                      </pic:nvPicPr>
                                      <pic:blipFill>
                                        <a:blip r:embed="rId33"/>
                                        <a:stretch>
                                          <a:fillRect/>
                                        </a:stretch>
                                      </pic:blipFill>
                                      <pic:spPr>
                                        <a:xfrm>
                                          <a:off x="0" y="0"/>
                                          <a:ext cx="2999105" cy="2274570"/>
                                        </a:xfrm>
                                        <a:prstGeom prst="rect">
                                          <a:avLst/>
                                        </a:prstGeom>
                                      </pic:spPr>
                                    </pic:pic>
                                  </a:graphicData>
                                </a:graphic>
                              </wp:inline>
                            </w:drawing>
                          </mc:Fallback>
                        </mc:AlternateContent>
                      </w:r>
                    </w:p>
                    <w:p w14:paraId="0321F50F" w14:textId="77777777" w:rsidR="00E45B38" w:rsidRDefault="00E45B38" w:rsidP="00E45B38">
                      <w:pPr>
                        <w:widowControl w:val="0"/>
                        <w:pBdr>
                          <w:top w:val="single" w:sz="4" w:space="1" w:color="auto"/>
                        </w:pBdr>
                        <w:spacing w:after="0"/>
                        <w:rPr>
                          <w:kern w:val="2"/>
                          <w:sz w:val="14"/>
                          <w:szCs w:val="16"/>
                        </w:rPr>
                      </w:pPr>
                      <w:r w:rsidRPr="00A812C4">
                        <w:rPr>
                          <w:kern w:val="2"/>
                          <w:sz w:val="14"/>
                          <w:szCs w:val="16"/>
                        </w:rPr>
                        <w:t>Pramen: Eurostat</w:t>
                      </w:r>
                    </w:p>
                  </w:txbxContent>
                </v:textbox>
                <w10:wrap type="square" anchorx="margin" anchory="margin"/>
              </v:shape>
            </w:pict>
          </mc:Fallback>
        </mc:AlternateContent>
      </w:r>
      <w:r w:rsidR="002B6B23" w:rsidRPr="00D67550">
        <w:rPr>
          <w:noProof/>
          <w:lang w:eastAsia="cs-CZ"/>
        </w:rPr>
        <mc:AlternateContent>
          <mc:Choice Requires="wps">
            <w:drawing>
              <wp:anchor distT="151130" distB="151130" distL="114300" distR="114300" simplePos="0" relativeHeight="251814912" behindDoc="0" locked="0" layoutInCell="1" allowOverlap="1" wp14:anchorId="4BC73A05" wp14:editId="01CC1A3C">
                <wp:simplePos x="0" y="0"/>
                <wp:positionH relativeFrom="margin">
                  <wp:align>left</wp:align>
                </wp:positionH>
                <wp:positionV relativeFrom="margin">
                  <wp:posOffset>6407150</wp:posOffset>
                </wp:positionV>
                <wp:extent cx="3059430" cy="2906395"/>
                <wp:effectExtent l="0" t="0" r="7620" b="10795"/>
                <wp:wrapSquare wrapText="bothSides"/>
                <wp:docPr id="103"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59430" cy="2906395"/>
                        </a:xfrm>
                        <a:prstGeom prst="rect">
                          <a:avLst/>
                        </a:prstGeom>
                        <a:noFill/>
                        <a:ln w="9525">
                          <a:noFill/>
                          <a:miter lim="800000"/>
                          <a:headEnd/>
                          <a:tailEnd/>
                        </a:ln>
                      </wps:spPr>
                      <wps:txbx>
                        <w:txbxContent>
                          <w:p w14:paraId="68DA28D4" w14:textId="420AA316" w:rsidR="002B6B23" w:rsidRPr="00C872A3" w:rsidRDefault="002B6B23" w:rsidP="00301991">
                            <w:pPr>
                              <w:pStyle w:val="Bezmezer"/>
                            </w:pPr>
                            <w:r>
                              <w:t>Energetická náročnost hospodářství v mezinárodním srovnání (</w:t>
                            </w:r>
                            <w:r w:rsidR="007C6926">
                              <w:t xml:space="preserve">rok </w:t>
                            </w:r>
                            <w:r>
                              <w:t>2021)</w:t>
                            </w:r>
                          </w:p>
                          <w:p w14:paraId="145D3FE2" w14:textId="77777777" w:rsidR="002B6B23" w:rsidRPr="003514B1" w:rsidRDefault="002B6B23" w:rsidP="002B6B23">
                            <w:pPr>
                              <w:pStyle w:val="Bezmezer"/>
                              <w:keepNext/>
                              <w:widowControl w:val="0"/>
                              <w:rPr>
                                <w:kern w:val="2"/>
                                <w:sz w:val="18"/>
                                <w:szCs w:val="16"/>
                              </w:rPr>
                            </w:pPr>
                            <w:r>
                              <w:rPr>
                                <w:noProof/>
                                <w:lang w:eastAsia="cs-CZ"/>
                              </w:rPr>
                              <w:drawing>
                                <wp:inline distT="0" distB="0" distL="0" distR="0" wp14:anchorId="1A6BB99B" wp14:editId="31BC21BD">
                                  <wp:extent cx="2974842" cy="2380573"/>
                                  <wp:effectExtent l="0" t="0" r="0" b="1270"/>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34">
                                            <a:extLst>
                                              <a:ext uri="{28A0092B-C50C-407E-A947-70E740481C1C}">
                                                <a14:useLocalDpi xmlns:a14="http://schemas.microsoft.com/office/drawing/2010/main" val="0"/>
                                              </a:ext>
                                            </a:extLst>
                                          </a:blip>
                                          <a:srcRect t="9905" b="10072"/>
                                          <a:stretch/>
                                        </pic:blipFill>
                                        <pic:spPr bwMode="auto">
                                          <a:xfrm>
                                            <a:off x="0" y="0"/>
                                            <a:ext cx="2974842" cy="2380573"/>
                                          </a:xfrm>
                                          <a:prstGeom prst="rect">
                                            <a:avLst/>
                                          </a:prstGeom>
                                          <a:noFill/>
                                          <a:ln>
                                            <a:noFill/>
                                          </a:ln>
                                          <a:extLst>
                                            <a:ext uri="{53640926-AAD7-44D8-BBD7-CCE9431645EC}">
                                              <a14:shadowObscured xmlns:a14="http://schemas.microsoft.com/office/drawing/2010/main"/>
                                            </a:ext>
                                          </a:extLst>
                                        </pic:spPr>
                                      </pic:pic>
                                    </a:graphicData>
                                  </a:graphic>
                                </wp:inline>
                              </w:drawing>
                            </w:r>
                          </w:p>
                          <w:p w14:paraId="58688609" w14:textId="77777777" w:rsidR="002B6B23" w:rsidRDefault="002B6B23" w:rsidP="002B6B23">
                            <w:pPr>
                              <w:widowControl w:val="0"/>
                              <w:pBdr>
                                <w:top w:val="single" w:sz="4" w:space="1" w:color="auto"/>
                              </w:pBdr>
                              <w:spacing w:after="0"/>
                              <w:rPr>
                                <w:kern w:val="2"/>
                                <w:sz w:val="14"/>
                                <w:szCs w:val="16"/>
                              </w:rPr>
                            </w:pPr>
                            <w:r w:rsidRPr="00A812C4">
                              <w:rPr>
                                <w:kern w:val="2"/>
                                <w:sz w:val="14"/>
                                <w:szCs w:val="16"/>
                              </w:rPr>
                              <w:t>Pramen: Eurostat</w:t>
                            </w:r>
                          </w:p>
                        </w:txbxContent>
                      </wps:txbx>
                      <wps:bodyPr rot="0" vert="horz" wrap="square" lIns="0" tIns="0" rIns="0" bIns="0" anchor="t" anchorCtr="0">
                        <a:spAutoFit/>
                      </wps:bodyPr>
                    </wps:wsp>
                  </a:graphicData>
                </a:graphic>
                <wp14:sizeRelH relativeFrom="margin">
                  <wp14:pctWidth>0</wp14:pctWidth>
                </wp14:sizeRelH>
                <wp14:sizeRelV relativeFrom="margin">
                  <wp14:pctHeight>0</wp14:pctHeight>
                </wp14:sizeRelV>
              </wp:anchor>
            </w:drawing>
          </mc:Choice>
          <mc:Fallback>
            <w:pict>
              <v:shape w14:anchorId="4BC73A05" id="_x0000_s1046" type="#_x0000_t202" style="position:absolute;left:0;text-align:left;margin-left:0;margin-top:504.5pt;width:240.9pt;height:228.85pt;z-index:251814912;visibility:visible;mso-wrap-style:square;mso-width-percent:0;mso-height-percent:0;mso-wrap-distance-left:9pt;mso-wrap-distance-top:11.9pt;mso-wrap-distance-right:9pt;mso-wrap-distance-bottom:11.9pt;mso-position-horizontal:left;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" filled="f" stroked="f">
                <v:textbox style="mso-fit-shape-to-text:t" inset="0,0,0,0">
                  <w:txbxContent>
                    <w:p w14:paraId="68DA28D4" w14:textId="420AA316" w:rsidR="002B6B23" w:rsidRPr="00C872A3" w:rsidRDefault="002B6B23" w:rsidP="00301991">
                      <w:pPr>
                        <w:pStyle w:val="Bezmezer"/>
                      </w:pPr>
                      <w:r>
                        <w:t>Energetická náročnost hospodářství v mezinárodním srovnání (</w:t>
                      </w:r>
                      <w:r w:rsidR="007C6926">
                        <w:t xml:space="preserve">rok </w:t>
                      </w:r>
                      <w:r>
                        <w:t>2021)</w:t>
                      </w:r>
                    </w:p>
                    <w:p w14:paraId="145D3FE2" w14:textId="77777777" w:rsidR="002B6B23" w:rsidRPr="003514B1" w:rsidRDefault="002B6B23" w:rsidP="002B6B23">
                      <w:pPr>
                        <w:pStyle w:val="Bezmezer"/>
                        <w:keepNext/>
                        <w:widowControl w:val="0"/>
                        <w:rPr>
                          <w:kern w:val="2"/>
                          <w:sz w:val="18"/>
                          <w:szCs w:val="16"/>
                        </w:rPr>
                      </w:pPr>
                      <w:r>
                        <w:rPr>
                          <w:noProof/>
                          <w:lang w:eastAsia="cs-CZ"/>
                        </w:rPr>
                        <w:drawing>
                          <wp:inline distT="0" distB="0" distL="0" distR="0" wp14:anchorId="1A6BB99B" wp14:editId="31BC21BD">
                            <wp:extent cx="2974842" cy="2380573"/>
                            <wp:effectExtent l="0" t="0" r="0" b="1270"/>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34">
                                      <a:extLst>
                                        <a:ext uri="{28A0092B-C50C-407E-A947-70E740481C1C}">
                                          <a14:useLocalDpi xmlns:a14="http://schemas.microsoft.com/office/drawing/2010/main" val="0"/>
                                        </a:ext>
                                      </a:extLst>
                                    </a:blip>
                                    <a:srcRect t="9905" b="10072"/>
                                    <a:stretch/>
                                  </pic:blipFill>
                                  <pic:spPr bwMode="auto">
                                    <a:xfrm>
                                      <a:off x="0" y="0"/>
                                      <a:ext cx="2974842" cy="2380573"/>
                                    </a:xfrm>
                                    <a:prstGeom prst="rect">
                                      <a:avLst/>
                                    </a:prstGeom>
                                    <a:noFill/>
                                    <a:ln>
                                      <a:noFill/>
                                    </a:ln>
                                    <a:extLst>
                                      <a:ext uri="{53640926-AAD7-44D8-BBD7-CCE9431645EC}">
                                        <a14:shadowObscured xmlns:a14="http://schemas.microsoft.com/office/drawing/2010/main"/>
                                      </a:ext>
                                    </a:extLst>
                                  </pic:spPr>
                                </pic:pic>
                              </a:graphicData>
                            </a:graphic>
                          </wp:inline>
                        </w:drawing>
                      </w:r>
                    </w:p>
                    <w:p w14:paraId="58688609" w14:textId="77777777" w:rsidR="002B6B23" w:rsidRDefault="002B6B23" w:rsidP="002B6B23">
                      <w:pPr>
                        <w:widowControl w:val="0"/>
                        <w:pBdr>
                          <w:top w:val="single" w:sz="4" w:space="1" w:color="auto"/>
                        </w:pBdr>
                        <w:spacing w:after="0"/>
                        <w:rPr>
                          <w:kern w:val="2"/>
                          <w:sz w:val="14"/>
                          <w:szCs w:val="16"/>
                        </w:rPr>
                      </w:pPr>
                      <w:r w:rsidRPr="00A812C4">
                        <w:rPr>
                          <w:kern w:val="2"/>
                          <w:sz w:val="14"/>
                          <w:szCs w:val="16"/>
                        </w:rPr>
                        <w:t>Pramen: Eurostat</w:t>
                      </w:r>
                    </w:p>
                  </w:txbxContent>
                </v:textbox>
                <w10:wrap type="square" anchorx="margin" anchory="margin"/>
              </v:shape>
            </w:pict>
          </mc:Fallback>
        </mc:AlternateContent>
      </w:r>
      <w:r w:rsidR="002B6B23" w:rsidRPr="003A3161">
        <w:rPr>
          <w:noProof/>
          <w:lang w:eastAsia="cs-CZ"/>
        </w:rPr>
        <mc:AlternateContent>
          <mc:Choice Requires="wps">
            <w:drawing>
              <wp:anchor distT="151130" distB="151130" distL="114300" distR="114300" simplePos="0" relativeHeight="251812864" behindDoc="0" locked="0" layoutInCell="1" allowOverlap="1" wp14:anchorId="50025295" wp14:editId="0426EE62">
                <wp:simplePos x="0" y="0"/>
                <wp:positionH relativeFrom="margin">
                  <wp:posOffset>-635</wp:posOffset>
                </wp:positionH>
                <wp:positionV relativeFrom="margin">
                  <wp:posOffset>3531153</wp:posOffset>
                </wp:positionV>
                <wp:extent cx="3028950" cy="2648585"/>
                <wp:effectExtent l="0" t="0" r="0" b="0"/>
                <wp:wrapSquare wrapText="bothSides"/>
                <wp:docPr id="104"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28950" cy="2648585"/>
                        </a:xfrm>
                        <a:prstGeom prst="rect">
                          <a:avLst/>
                        </a:prstGeom>
                        <a:noFill/>
                        <a:ln w="9525">
                          <a:noFill/>
                          <a:miter lim="800000"/>
                          <a:headEnd/>
                          <a:tailEnd/>
                        </a:ln>
                      </wps:spPr>
                      <wps:txbx>
                        <w:txbxContent>
                          <w:p w14:paraId="19670C81" w14:textId="77777777" w:rsidR="002B6B23" w:rsidRDefault="002B6B23" w:rsidP="00301991">
                            <w:pPr>
                              <w:pStyle w:val="Bezmezer"/>
                            </w:pPr>
                            <w:r>
                              <w:t>P</w:t>
                            </w:r>
                            <w:r w:rsidRPr="00670242">
                              <w:t>roduktivita prá</w:t>
                            </w:r>
                            <w:r w:rsidRPr="00BE289E">
                              <w:t>ce a energetická náročnost podle CZ-</w:t>
                            </w:r>
                            <w:r w:rsidRPr="00670242">
                              <w:t>NACE</w:t>
                            </w:r>
                          </w:p>
                          <w:p w14:paraId="21577739" w14:textId="77777777" w:rsidR="002B6B23" w:rsidRDefault="002B6B23" w:rsidP="002B6B23">
                            <w:pPr>
                              <w:pStyle w:val="Bezmezer"/>
                              <w:keepNext/>
                              <w:widowControl w:val="0"/>
                              <w:pBdr>
                                <w:bottom w:val="single" w:sz="4" w:space="1" w:color="auto"/>
                              </w:pBdr>
                              <w:rPr>
                                <w:kern w:val="2"/>
                                <w:sz w:val="16"/>
                                <w:szCs w:val="12"/>
                              </w:rPr>
                            </w:pPr>
                            <w:r>
                              <w:rPr>
                                <w:kern w:val="2"/>
                                <w:sz w:val="16"/>
                                <w:szCs w:val="12"/>
                              </w:rPr>
                              <w:t>(</w:t>
                            </w:r>
                            <w:r w:rsidRPr="00670242">
                              <w:rPr>
                                <w:kern w:val="2"/>
                                <w:sz w:val="16"/>
                                <w:szCs w:val="12"/>
                              </w:rPr>
                              <w:t xml:space="preserve">Přidaná hodnota na </w:t>
                            </w:r>
                            <w:r>
                              <w:rPr>
                                <w:kern w:val="2"/>
                                <w:sz w:val="16"/>
                                <w:szCs w:val="12"/>
                              </w:rPr>
                              <w:t>jednu</w:t>
                            </w:r>
                            <w:r w:rsidRPr="00670242">
                              <w:rPr>
                                <w:kern w:val="2"/>
                                <w:sz w:val="16"/>
                                <w:szCs w:val="12"/>
                              </w:rPr>
                              <w:t xml:space="preserve"> odpracovanou hodinu</w:t>
                            </w:r>
                            <w:r>
                              <w:rPr>
                                <w:kern w:val="2"/>
                                <w:sz w:val="16"/>
                                <w:szCs w:val="12"/>
                              </w:rPr>
                              <w:t>, v Kč box-plot levá osa)</w:t>
                            </w:r>
                          </w:p>
                          <w:p w14:paraId="33858EB0" w14:textId="77777777" w:rsidR="002B6B23" w:rsidRPr="00670242" w:rsidRDefault="002B6B23" w:rsidP="002B6B23">
                            <w:pPr>
                              <w:pStyle w:val="Bezmezer"/>
                              <w:keepNext/>
                              <w:widowControl w:val="0"/>
                              <w:pBdr>
                                <w:bottom w:val="single" w:sz="4" w:space="1" w:color="auto"/>
                              </w:pBdr>
                              <w:rPr>
                                <w:kern w:val="2"/>
                                <w:sz w:val="16"/>
                                <w:szCs w:val="12"/>
                              </w:rPr>
                            </w:pPr>
                            <w:r>
                              <w:rPr>
                                <w:kern w:val="2"/>
                                <w:sz w:val="16"/>
                                <w:szCs w:val="12"/>
                              </w:rPr>
                              <w:t>(Energetická náročnost = Náklady na energie / Produkce, v % pravá osa)</w:t>
                            </w:r>
                          </w:p>
                          <w:p w14:paraId="25BFCCA2" w14:textId="77777777" w:rsidR="002B6B23" w:rsidRPr="003514B1" w:rsidRDefault="002B6B23" w:rsidP="002B6B23">
                            <w:pPr>
                              <w:pStyle w:val="Bezmezer"/>
                              <w:keepNext/>
                              <w:widowControl w:val="0"/>
                              <w:rPr>
                                <w:kern w:val="2"/>
                                <w:sz w:val="18"/>
                                <w:szCs w:val="16"/>
                              </w:rPr>
                            </w:pPr>
                            <w:r>
                              <w:rPr>
                                <w:noProof/>
                                <w:lang w:eastAsia="cs-CZ"/>
                              </w:rPr>
                              <w:drawing>
                                <wp:inline distT="0" distB="0" distL="0" distR="0" wp14:anchorId="0C82ABAB" wp14:editId="0C007A3E">
                                  <wp:extent cx="3028950" cy="1973580"/>
                                  <wp:effectExtent l="0" t="0" r="0" b="7620"/>
                                  <wp:docPr id="27" name="Graf 27">
                                    <a:extLst xmlns:a="http://schemas.openxmlformats.org/drawingml/2006/main">
                                      <a:ext uri="{FF2B5EF4-FFF2-40B4-BE49-F238E27FC236}">
                                        <a16:creationId xmlns:a16="http://schemas.microsoft.com/office/drawing/2014/main" id="{905AD8DB-864B-416F-9317-9D6CAC95D18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14:paraId="4A1A1C65" w14:textId="77777777" w:rsidR="002B6B23" w:rsidRDefault="002B6B23" w:rsidP="002B6B23">
                            <w:pPr>
                              <w:widowControl w:val="0"/>
                              <w:pBdr>
                                <w:top w:val="single" w:sz="4" w:space="1" w:color="auto"/>
                              </w:pBdr>
                              <w:spacing w:after="0"/>
                              <w:rPr>
                                <w:kern w:val="2"/>
                                <w:sz w:val="14"/>
                                <w:szCs w:val="16"/>
                              </w:rPr>
                            </w:pPr>
                            <w:r w:rsidRPr="007B5A7A">
                              <w:rPr>
                                <w:kern w:val="2"/>
                                <w:sz w:val="14"/>
                                <w:szCs w:val="16"/>
                              </w:rPr>
                              <w:t>Pramen: data</w:t>
                            </w:r>
                            <w:r>
                              <w:rPr>
                                <w:kern w:val="2"/>
                                <w:sz w:val="14"/>
                                <w:szCs w:val="16"/>
                              </w:rPr>
                              <w:t xml:space="preserve"> ČSÚ, </w:t>
                            </w:r>
                            <w:r w:rsidRPr="007B5A7A">
                              <w:rPr>
                                <w:kern w:val="2"/>
                                <w:sz w:val="14"/>
                                <w:szCs w:val="16"/>
                              </w:rPr>
                              <w:t>graf</w:t>
                            </w:r>
                            <w:r>
                              <w:rPr>
                                <w:kern w:val="2"/>
                                <w:sz w:val="14"/>
                                <w:szCs w:val="16"/>
                              </w:rPr>
                              <w:t xml:space="preserve"> MPO</w:t>
                            </w:r>
                          </w:p>
                          <w:p w14:paraId="66C03BB6" w14:textId="77777777" w:rsidR="002B6B23" w:rsidRDefault="002B6B23" w:rsidP="002B6B23">
                            <w:pPr>
                              <w:widowControl w:val="0"/>
                              <w:pBdr>
                                <w:top w:val="single" w:sz="4" w:space="1" w:color="auto"/>
                              </w:pBdr>
                              <w:spacing w:after="0"/>
                              <w:rPr>
                                <w:kern w:val="2"/>
                                <w:sz w:val="14"/>
                                <w:szCs w:val="16"/>
                              </w:rPr>
                            </w:pPr>
                            <w:r>
                              <w:rPr>
                                <w:kern w:val="2"/>
                                <w:sz w:val="14"/>
                                <w:szCs w:val="16"/>
                              </w:rPr>
                              <w:t>Pozn. boxy zahrnují 2. a 3. kvartil, knoty sahají od 1. decilu, resp. do 9. decilu včetně</w:t>
                            </w:r>
                          </w:p>
                        </w:txbxContent>
                      </wps:txbx>
                      <wps:bodyPr rot="0" vert="horz" wrap="square" lIns="0" tIns="0" rIns="0" bIns="0" anchor="t" anchorCtr="0">
                        <a:spAutoFit/>
                      </wps:bodyPr>
                    </wps:wsp>
                  </a:graphicData>
                </a:graphic>
                <wp14:sizeRelH relativeFrom="margin">
                  <wp14:pctWidth>0</wp14:pctWidth>
                </wp14:sizeRelH>
                <wp14:sizeRelV relativeFrom="margin">
                  <wp14:pctHeight>0</wp14:pctHeight>
                </wp14:sizeRelV>
              </wp:anchor>
            </w:drawing>
          </mc:Choice>
          <mc:Fallback>
            <w:pict>
              <v:shape w14:anchorId="50025295" id="_x0000_s1047" type="#_x0000_t202" style="position:absolute;left:0;text-align:left;margin-left:-.05pt;margin-top:278.05pt;width:238.5pt;height:208.55pt;z-index:251812864;visibility:visible;mso-wrap-style:square;mso-width-percent:0;mso-height-percent:0;mso-wrap-distance-left:9pt;mso-wrap-distance-top:11.9pt;mso-wrap-distance-right:9pt;mso-wrap-distance-bottom:11.9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" filled="f" stroked="f">
                <v:textbox style="mso-fit-shape-to-text:t" inset="0,0,0,0">
                  <w:txbxContent>
                    <w:p w14:paraId="19670C81" w14:textId="77777777" w:rsidR="002B6B23" w:rsidRDefault="002B6B23" w:rsidP="00301991">
                      <w:pPr>
                        <w:pStyle w:val="Bezmezer"/>
                      </w:pPr>
                      <w:r>
                        <w:t>P</w:t>
                      </w:r>
                      <w:r w:rsidRPr="00670242">
                        <w:t>roduktivita prá</w:t>
                      </w:r>
                      <w:r w:rsidRPr="00BE289E">
                        <w:t>ce a energetická náročnost podle CZ-</w:t>
                      </w:r>
                      <w:r w:rsidRPr="00670242">
                        <w:t>NACE</w:t>
                      </w:r>
                    </w:p>
                    <w:p w14:paraId="21577739" w14:textId="77777777" w:rsidR="002B6B23" w:rsidRDefault="002B6B23" w:rsidP="002B6B23">
                      <w:pPr>
                        <w:pStyle w:val="Bezmezer"/>
                        <w:keepNext/>
                        <w:widowControl w:val="0"/>
                        <w:pBdr>
                          <w:bottom w:val="single" w:sz="4" w:space="1" w:color="auto"/>
                        </w:pBdr>
                        <w:rPr>
                          <w:kern w:val="2"/>
                          <w:sz w:val="16"/>
                          <w:szCs w:val="12"/>
                        </w:rPr>
                      </w:pPr>
                      <w:r>
                        <w:rPr>
                          <w:kern w:val="2"/>
                          <w:sz w:val="16"/>
                          <w:szCs w:val="12"/>
                        </w:rPr>
                        <w:t>(</w:t>
                      </w:r>
                      <w:r w:rsidRPr="00670242">
                        <w:rPr>
                          <w:kern w:val="2"/>
                          <w:sz w:val="16"/>
                          <w:szCs w:val="12"/>
                        </w:rPr>
                        <w:t xml:space="preserve">Přidaná hodnota na </w:t>
                      </w:r>
                      <w:r>
                        <w:rPr>
                          <w:kern w:val="2"/>
                          <w:sz w:val="16"/>
                          <w:szCs w:val="12"/>
                        </w:rPr>
                        <w:t>jednu</w:t>
                      </w:r>
                      <w:r w:rsidRPr="00670242">
                        <w:rPr>
                          <w:kern w:val="2"/>
                          <w:sz w:val="16"/>
                          <w:szCs w:val="12"/>
                        </w:rPr>
                        <w:t xml:space="preserve"> odpracovanou hodinu</w:t>
                      </w:r>
                      <w:r>
                        <w:rPr>
                          <w:kern w:val="2"/>
                          <w:sz w:val="16"/>
                          <w:szCs w:val="12"/>
                        </w:rPr>
                        <w:t>, v Kč box-plot levá osa)</w:t>
                      </w:r>
                    </w:p>
                    <w:p w14:paraId="33858EB0" w14:textId="77777777" w:rsidR="002B6B23" w:rsidRPr="00670242" w:rsidRDefault="002B6B23" w:rsidP="002B6B23">
                      <w:pPr>
                        <w:pStyle w:val="Bezmezer"/>
                        <w:keepNext/>
                        <w:widowControl w:val="0"/>
                        <w:pBdr>
                          <w:bottom w:val="single" w:sz="4" w:space="1" w:color="auto"/>
                        </w:pBdr>
                        <w:rPr>
                          <w:kern w:val="2"/>
                          <w:sz w:val="16"/>
                          <w:szCs w:val="12"/>
                        </w:rPr>
                      </w:pPr>
                      <w:r>
                        <w:rPr>
                          <w:kern w:val="2"/>
                          <w:sz w:val="16"/>
                          <w:szCs w:val="12"/>
                        </w:rPr>
                        <w:t>(Energetická náročnost = Náklady na energie / Produkce, v % pravá osa)</w:t>
                      </w:r>
                    </w:p>
                    <w:p w14:paraId="25BFCCA2" w14:textId="77777777" w:rsidR="002B6B23" w:rsidRPr="003514B1" w:rsidRDefault="002B6B23" w:rsidP="002B6B23">
                      <w:pPr>
                        <w:pStyle w:val="Bezmezer"/>
                        <w:keepNext/>
                        <w:widowControl w:val="0"/>
                        <w:rPr>
                          <w:kern w:val="2"/>
                          <w:sz w:val="18"/>
                          <w:szCs w:val="16"/>
                        </w:rPr>
                      </w:pPr>
                      <w:r>
                        <w:rPr>
                          <w:noProof/>
                          <w:lang w:eastAsia="cs-CZ"/>
                        </w:rPr>
                        <w:drawing>
                          <wp:inline distT="0" distB="0" distL="0" distR="0" wp14:anchorId="0C82ABAB" wp14:editId="0C007A3E">
                            <wp:extent cx="3028950" cy="1973580"/>
                            <wp:effectExtent l="0" t="0" r="0" b="7620"/>
                            <wp:docPr id="27" name="Graf 27">
                              <a:extLst xmlns:a="http://schemas.openxmlformats.org/drawingml/2006/main">
                                <a:ext uri="{FF2B5EF4-FFF2-40B4-BE49-F238E27FC236}">
                                  <a16:creationId xmlns:a16="http://schemas.microsoft.com/office/drawing/2014/main" id="{905AD8DB-864B-416F-9317-9D6CAC95D18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14:paraId="4A1A1C65" w14:textId="77777777" w:rsidR="002B6B23" w:rsidRDefault="002B6B23" w:rsidP="002B6B23">
                      <w:pPr>
                        <w:widowControl w:val="0"/>
                        <w:pBdr>
                          <w:top w:val="single" w:sz="4" w:space="1" w:color="auto"/>
                        </w:pBdr>
                        <w:spacing w:after="0"/>
                        <w:rPr>
                          <w:kern w:val="2"/>
                          <w:sz w:val="14"/>
                          <w:szCs w:val="16"/>
                        </w:rPr>
                      </w:pPr>
                      <w:r w:rsidRPr="007B5A7A">
                        <w:rPr>
                          <w:kern w:val="2"/>
                          <w:sz w:val="14"/>
                          <w:szCs w:val="16"/>
                        </w:rPr>
                        <w:t>Pramen: data</w:t>
                      </w:r>
                      <w:r>
                        <w:rPr>
                          <w:kern w:val="2"/>
                          <w:sz w:val="14"/>
                          <w:szCs w:val="16"/>
                        </w:rPr>
                        <w:t xml:space="preserve"> ČSÚ, </w:t>
                      </w:r>
                      <w:r w:rsidRPr="007B5A7A">
                        <w:rPr>
                          <w:kern w:val="2"/>
                          <w:sz w:val="14"/>
                          <w:szCs w:val="16"/>
                        </w:rPr>
                        <w:t>graf</w:t>
                      </w:r>
                      <w:r>
                        <w:rPr>
                          <w:kern w:val="2"/>
                          <w:sz w:val="14"/>
                          <w:szCs w:val="16"/>
                        </w:rPr>
                        <w:t xml:space="preserve"> MPO</w:t>
                      </w:r>
                    </w:p>
                    <w:p w14:paraId="66C03BB6" w14:textId="77777777" w:rsidR="002B6B23" w:rsidRDefault="002B6B23" w:rsidP="002B6B23">
                      <w:pPr>
                        <w:widowControl w:val="0"/>
                        <w:pBdr>
                          <w:top w:val="single" w:sz="4" w:space="1" w:color="auto"/>
                        </w:pBdr>
                        <w:spacing w:after="0"/>
                        <w:rPr>
                          <w:kern w:val="2"/>
                          <w:sz w:val="14"/>
                          <w:szCs w:val="16"/>
                        </w:rPr>
                      </w:pPr>
                      <w:r>
                        <w:rPr>
                          <w:kern w:val="2"/>
                          <w:sz w:val="14"/>
                          <w:szCs w:val="16"/>
                        </w:rPr>
                        <w:t>Pozn. boxy zahrnují 2. a 3. kvartil, knoty sahají od 1. decilu, resp. do 9. decilu včetně</w:t>
                      </w:r>
                    </w:p>
                  </w:txbxContent>
                </v:textbox>
                <w10:wrap type="square" anchorx="margin" anchory="margin"/>
              </v:shape>
            </w:pict>
          </mc:Fallback>
        </mc:AlternateContent>
      </w:r>
      <w:r w:rsidR="002B6B23" w:rsidRPr="009D75D3">
        <w:rPr>
          <w:noProof/>
          <w:highlight w:val="yellow"/>
          <w:lang w:eastAsia="cs-CZ"/>
        </w:rPr>
        <mc:AlternateContent>
          <mc:Choice Requires="wps">
            <w:drawing>
              <wp:anchor distT="151130" distB="151130" distL="114300" distR="114300" simplePos="0" relativeHeight="251811840" behindDoc="0" locked="0" layoutInCell="1" allowOverlap="1" wp14:anchorId="6493C751" wp14:editId="14526497">
                <wp:simplePos x="0" y="0"/>
                <wp:positionH relativeFrom="margin">
                  <wp:align>right</wp:align>
                </wp:positionH>
                <wp:positionV relativeFrom="margin">
                  <wp:posOffset>3523566</wp:posOffset>
                </wp:positionV>
                <wp:extent cx="3059430" cy="2480945"/>
                <wp:effectExtent l="0" t="0" r="7620" b="0"/>
                <wp:wrapSquare wrapText="bothSides"/>
                <wp:docPr id="105"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59430" cy="2480945"/>
                        </a:xfrm>
                        <a:prstGeom prst="rect">
                          <a:avLst/>
                        </a:prstGeom>
                        <a:noFill/>
                        <a:ln w="9525">
                          <a:noFill/>
                          <a:miter lim="800000"/>
                          <a:headEnd/>
                          <a:tailEnd/>
                        </a:ln>
                      </wps:spPr>
                      <wps:txbx>
                        <w:txbxContent>
                          <w:p w14:paraId="095E5C11" w14:textId="77777777" w:rsidR="002B6B23" w:rsidRDefault="002B6B23" w:rsidP="00301991">
                            <w:pPr>
                              <w:pStyle w:val="Bezmezer"/>
                            </w:pPr>
                            <w:r>
                              <w:t>Struktura přidané hodnoty v exportu v roce 2020</w:t>
                            </w:r>
                          </w:p>
                          <w:p w14:paraId="03FEACDB" w14:textId="77777777" w:rsidR="002B6B23" w:rsidRPr="00C872A3" w:rsidRDefault="002B6B23" w:rsidP="002B6B23">
                            <w:pPr>
                              <w:pStyle w:val="Bezmezer"/>
                              <w:keepNext/>
                              <w:widowControl w:val="0"/>
                              <w:pBdr>
                                <w:bottom w:val="single" w:sz="4" w:space="1" w:color="auto"/>
                              </w:pBdr>
                              <w:rPr>
                                <w:kern w:val="2"/>
                                <w:szCs w:val="16"/>
                              </w:rPr>
                            </w:pPr>
                            <w:r w:rsidRPr="00A26C1F">
                              <w:rPr>
                                <w:kern w:val="2"/>
                                <w:sz w:val="16"/>
                                <w:szCs w:val="12"/>
                              </w:rPr>
                              <w:t>(v %)</w:t>
                            </w:r>
                          </w:p>
                          <w:p w14:paraId="5C39F545" w14:textId="77777777" w:rsidR="002B6B23" w:rsidRPr="003514B1" w:rsidRDefault="002B6B23" w:rsidP="002B6B23">
                            <w:pPr>
                              <w:pStyle w:val="Bezmezer"/>
                              <w:keepNext/>
                              <w:widowControl w:val="0"/>
                              <w:rPr>
                                <w:kern w:val="2"/>
                                <w:sz w:val="18"/>
                                <w:szCs w:val="16"/>
                              </w:rPr>
                            </w:pPr>
                            <w:r>
                              <w:rPr>
                                <w:noProof/>
                                <w:lang w:eastAsia="cs-CZ"/>
                              </w:rPr>
                              <w:drawing>
                                <wp:inline distT="0" distB="0" distL="0" distR="0" wp14:anchorId="34BC18F1" wp14:editId="2F15B11D">
                                  <wp:extent cx="3050540" cy="2101932"/>
                                  <wp:effectExtent l="0" t="0" r="0" b="0"/>
                                  <wp:docPr id="28" name="Graf 28">
                                    <a:extLst xmlns:a="http://schemas.openxmlformats.org/drawingml/2006/main">
                                      <a:ext uri="{FF2B5EF4-FFF2-40B4-BE49-F238E27FC236}">
                                        <a16:creationId xmlns:a16="http://schemas.microsoft.com/office/drawing/2014/main" id="{D99F975F-C67C-42D5-8D14-D1C91158C45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14:paraId="36833C3F" w14:textId="008E254A" w:rsidR="002B6B23" w:rsidRDefault="002B6B23" w:rsidP="002B6B23">
                            <w:pPr>
                              <w:widowControl w:val="0"/>
                              <w:pBdr>
                                <w:top w:val="single" w:sz="4" w:space="1" w:color="auto"/>
                              </w:pBdr>
                              <w:spacing w:after="0"/>
                              <w:rPr>
                                <w:kern w:val="2"/>
                                <w:sz w:val="14"/>
                                <w:szCs w:val="16"/>
                              </w:rPr>
                            </w:pPr>
                            <w:r w:rsidRPr="00A812C4">
                              <w:rPr>
                                <w:kern w:val="2"/>
                                <w:sz w:val="14"/>
                                <w:szCs w:val="16"/>
                              </w:rPr>
                              <w:t xml:space="preserve">Pramen: </w:t>
                            </w:r>
                            <w:r>
                              <w:rPr>
                                <w:kern w:val="2"/>
                                <w:sz w:val="14"/>
                                <w:szCs w:val="16"/>
                              </w:rPr>
                              <w:t>data OECD</w:t>
                            </w:r>
                            <w:r w:rsidR="007C73F5">
                              <w:rPr>
                                <w:kern w:val="2"/>
                                <w:sz w:val="14"/>
                                <w:szCs w:val="16"/>
                              </w:rPr>
                              <w:t xml:space="preserve"> (</w:t>
                            </w:r>
                            <w:r w:rsidRPr="00B17F4C">
                              <w:rPr>
                                <w:kern w:val="2"/>
                                <w:sz w:val="14"/>
                                <w:szCs w:val="16"/>
                              </w:rPr>
                              <w:t>Trade in Value Added</w:t>
                            </w:r>
                            <w:r w:rsidR="007C73F5">
                              <w:rPr>
                                <w:kern w:val="2"/>
                                <w:sz w:val="14"/>
                                <w:szCs w:val="16"/>
                              </w:rPr>
                              <w:t xml:space="preserve"> – </w:t>
                            </w:r>
                            <w:r w:rsidRPr="00B17F4C">
                              <w:rPr>
                                <w:kern w:val="2"/>
                                <w:sz w:val="14"/>
                                <w:szCs w:val="16"/>
                              </w:rPr>
                              <w:t>TiVA</w:t>
                            </w:r>
                            <w:r w:rsidR="007C73F5">
                              <w:rPr>
                                <w:kern w:val="2"/>
                                <w:sz w:val="14"/>
                                <w:szCs w:val="16"/>
                              </w:rPr>
                              <w:t>;</w:t>
                            </w:r>
                            <w:r w:rsidRPr="00B17F4C">
                              <w:rPr>
                                <w:kern w:val="2"/>
                                <w:sz w:val="14"/>
                                <w:szCs w:val="16"/>
                              </w:rPr>
                              <w:t xml:space="preserve"> 2023 edition</w:t>
                            </w:r>
                            <w:r>
                              <w:rPr>
                                <w:kern w:val="2"/>
                                <w:sz w:val="14"/>
                                <w:szCs w:val="16"/>
                              </w:rPr>
                              <w:t>, INKA</w:t>
                            </w:r>
                            <w:r w:rsidR="007C73F5">
                              <w:rPr>
                                <w:kern w:val="2"/>
                                <w:sz w:val="14"/>
                                <w:szCs w:val="16"/>
                              </w:rPr>
                              <w:t>)</w:t>
                            </w:r>
                            <w:r>
                              <w:rPr>
                                <w:kern w:val="2"/>
                                <w:sz w:val="14"/>
                                <w:szCs w:val="16"/>
                              </w:rPr>
                              <w:t>, graf MPO</w:t>
                            </w:r>
                          </w:p>
                        </w:txbxContent>
                      </wps:txbx>
                      <wps:bodyPr rot="0" vert="horz" wrap="square" lIns="0" tIns="0" rIns="0" bIns="0" anchor="t" anchorCtr="0">
                        <a:spAutoFit/>
                      </wps:bodyPr>
                    </wps:wsp>
                  </a:graphicData>
                </a:graphic>
                <wp14:sizeRelH relativeFrom="margin">
                  <wp14:pctWidth>0</wp14:pctWidth>
                </wp14:sizeRelH>
                <wp14:sizeRelV relativeFrom="margin">
                  <wp14:pctHeight>0</wp14:pctHeight>
                </wp14:sizeRelV>
              </wp:anchor>
            </w:drawing>
          </mc:Choice>
          <mc:Fallback>
            <w:pict>
              <v:shape w14:anchorId="6493C751" id="_x0000_s1048" type="#_x0000_t202" style="position:absolute;left:0;text-align:left;margin-left:189.7pt;margin-top:277.45pt;width:240.9pt;height:195.35pt;z-index:251811840;visibility:visible;mso-wrap-style:square;mso-width-percent:0;mso-height-percent:0;mso-wrap-distance-left:9pt;mso-wrap-distance-top:11.9pt;mso-wrap-distance-right:9pt;mso-wrap-distance-bottom:11.9pt;mso-position-horizontal:right;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" filled="f" stroked="f">
                <v:textbox style="mso-fit-shape-to-text:t" inset="0,0,0,0">
                  <w:txbxContent>
                    <w:p w14:paraId="095E5C11" w14:textId="77777777" w:rsidR="002B6B23" w:rsidRDefault="002B6B23" w:rsidP="00301991">
                      <w:pPr>
                        <w:pStyle w:val="Bezmezer"/>
                      </w:pPr>
                      <w:r>
                        <w:t>Struktura přidané hodnoty v exportu v roce 2020</w:t>
                      </w:r>
                    </w:p>
                    <w:p w14:paraId="03FEACDB" w14:textId="77777777" w:rsidR="002B6B23" w:rsidRPr="00C872A3" w:rsidRDefault="002B6B23" w:rsidP="002B6B23">
                      <w:pPr>
                        <w:pStyle w:val="Bezmezer"/>
                        <w:keepNext/>
                        <w:widowControl w:val="0"/>
                        <w:pBdr>
                          <w:bottom w:val="single" w:sz="4" w:space="1" w:color="auto"/>
                        </w:pBdr>
                        <w:rPr>
                          <w:kern w:val="2"/>
                          <w:szCs w:val="16"/>
                        </w:rPr>
                      </w:pPr>
                      <w:r w:rsidRPr="00A26C1F">
                        <w:rPr>
                          <w:kern w:val="2"/>
                          <w:sz w:val="16"/>
                          <w:szCs w:val="12"/>
                        </w:rPr>
                        <w:t>(v %)</w:t>
                      </w:r>
                    </w:p>
                    <w:p w14:paraId="5C39F545" w14:textId="77777777" w:rsidR="002B6B23" w:rsidRPr="003514B1" w:rsidRDefault="002B6B23" w:rsidP="002B6B23">
                      <w:pPr>
                        <w:pStyle w:val="Bezmezer"/>
                        <w:keepNext/>
                        <w:widowControl w:val="0"/>
                        <w:rPr>
                          <w:kern w:val="2"/>
                          <w:sz w:val="18"/>
                          <w:szCs w:val="16"/>
                        </w:rPr>
                      </w:pPr>
                      <w:r>
                        <w:rPr>
                          <w:noProof/>
                          <w:lang w:eastAsia="cs-CZ"/>
                        </w:rPr>
                        <w:drawing>
                          <wp:inline distT="0" distB="0" distL="0" distR="0" wp14:anchorId="34BC18F1" wp14:editId="2F15B11D">
                            <wp:extent cx="3050540" cy="2101932"/>
                            <wp:effectExtent l="0" t="0" r="0" b="0"/>
                            <wp:docPr id="28" name="Graf 28">
                              <a:extLst xmlns:a="http://schemas.openxmlformats.org/drawingml/2006/main">
                                <a:ext uri="{FF2B5EF4-FFF2-40B4-BE49-F238E27FC236}">
                                  <a16:creationId xmlns:a16="http://schemas.microsoft.com/office/drawing/2014/main" id="{D99F975F-C67C-42D5-8D14-D1C91158C45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14:paraId="36833C3F" w14:textId="008E254A" w:rsidR="002B6B23" w:rsidRDefault="002B6B23" w:rsidP="002B6B23">
                      <w:pPr>
                        <w:widowControl w:val="0"/>
                        <w:pBdr>
                          <w:top w:val="single" w:sz="4" w:space="1" w:color="auto"/>
                        </w:pBdr>
                        <w:spacing w:after="0"/>
                        <w:rPr>
                          <w:kern w:val="2"/>
                          <w:sz w:val="14"/>
                          <w:szCs w:val="16"/>
                        </w:rPr>
                      </w:pPr>
                      <w:r w:rsidRPr="00A812C4">
                        <w:rPr>
                          <w:kern w:val="2"/>
                          <w:sz w:val="14"/>
                          <w:szCs w:val="16"/>
                        </w:rPr>
                        <w:t xml:space="preserve">Pramen: </w:t>
                      </w:r>
                      <w:r>
                        <w:rPr>
                          <w:kern w:val="2"/>
                          <w:sz w:val="14"/>
                          <w:szCs w:val="16"/>
                        </w:rPr>
                        <w:t>data OECD</w:t>
                      </w:r>
                      <w:r w:rsidR="007C73F5">
                        <w:rPr>
                          <w:kern w:val="2"/>
                          <w:sz w:val="14"/>
                          <w:szCs w:val="16"/>
                        </w:rPr>
                        <w:t xml:space="preserve"> (</w:t>
                      </w:r>
                      <w:r w:rsidRPr="00B17F4C">
                        <w:rPr>
                          <w:kern w:val="2"/>
                          <w:sz w:val="14"/>
                          <w:szCs w:val="16"/>
                        </w:rPr>
                        <w:t>Trade in Value Added</w:t>
                      </w:r>
                      <w:r w:rsidR="007C73F5">
                        <w:rPr>
                          <w:kern w:val="2"/>
                          <w:sz w:val="14"/>
                          <w:szCs w:val="16"/>
                        </w:rPr>
                        <w:t xml:space="preserve"> – </w:t>
                      </w:r>
                      <w:r w:rsidRPr="00B17F4C">
                        <w:rPr>
                          <w:kern w:val="2"/>
                          <w:sz w:val="14"/>
                          <w:szCs w:val="16"/>
                        </w:rPr>
                        <w:t>TiVA</w:t>
                      </w:r>
                      <w:r w:rsidR="007C73F5">
                        <w:rPr>
                          <w:kern w:val="2"/>
                          <w:sz w:val="14"/>
                          <w:szCs w:val="16"/>
                        </w:rPr>
                        <w:t>;</w:t>
                      </w:r>
                      <w:r w:rsidRPr="00B17F4C">
                        <w:rPr>
                          <w:kern w:val="2"/>
                          <w:sz w:val="14"/>
                          <w:szCs w:val="16"/>
                        </w:rPr>
                        <w:t xml:space="preserve"> 2023 edition</w:t>
                      </w:r>
                      <w:r>
                        <w:rPr>
                          <w:kern w:val="2"/>
                          <w:sz w:val="14"/>
                          <w:szCs w:val="16"/>
                        </w:rPr>
                        <w:t>, INKA</w:t>
                      </w:r>
                      <w:r w:rsidR="007C73F5">
                        <w:rPr>
                          <w:kern w:val="2"/>
                          <w:sz w:val="14"/>
                          <w:szCs w:val="16"/>
                        </w:rPr>
                        <w:t>)</w:t>
                      </w:r>
                      <w:r>
                        <w:rPr>
                          <w:kern w:val="2"/>
                          <w:sz w:val="14"/>
                          <w:szCs w:val="16"/>
                        </w:rPr>
                        <w:t>, graf MPO</w:t>
                      </w:r>
                    </w:p>
                  </w:txbxContent>
                </v:textbox>
                <w10:wrap type="square" anchorx="margin" anchory="margin"/>
              </v:shape>
            </w:pict>
          </mc:Fallback>
        </mc:AlternateContent>
      </w:r>
      <w:r w:rsidR="002B6B23" w:rsidRPr="009D75D3">
        <w:rPr>
          <w:noProof/>
          <w:highlight w:val="yellow"/>
          <w:lang w:eastAsia="cs-CZ"/>
        </w:rPr>
        <mc:AlternateContent>
          <mc:Choice Requires="wps">
            <w:drawing>
              <wp:anchor distT="151130" distB="151130" distL="114300" distR="114300" simplePos="0" relativeHeight="251821056" behindDoc="0" locked="0" layoutInCell="1" allowOverlap="1" wp14:anchorId="37E9B97E" wp14:editId="1C7DD8F0">
                <wp:simplePos x="0" y="0"/>
                <wp:positionH relativeFrom="margin">
                  <wp:align>right</wp:align>
                </wp:positionH>
                <wp:positionV relativeFrom="margin">
                  <wp:align>top</wp:align>
                </wp:positionV>
                <wp:extent cx="3059430" cy="3006725"/>
                <wp:effectExtent l="0" t="0" r="7620" b="3175"/>
                <wp:wrapSquare wrapText="bothSides"/>
                <wp:docPr id="106"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59430" cy="3006725"/>
                        </a:xfrm>
                        <a:prstGeom prst="rect">
                          <a:avLst/>
                        </a:prstGeom>
                        <a:noFill/>
                        <a:ln w="9525">
                          <a:noFill/>
                          <a:miter lim="800000"/>
                          <a:headEnd/>
                          <a:tailEnd/>
                        </a:ln>
                      </wps:spPr>
                      <wps:txbx>
                        <w:txbxContent>
                          <w:p w14:paraId="6E387E06" w14:textId="77777777" w:rsidR="002B6B23" w:rsidRDefault="002B6B23" w:rsidP="00301991">
                            <w:pPr>
                              <w:pStyle w:val="Bezmezer"/>
                            </w:pPr>
                            <w:r>
                              <w:t>Ziskovost a investice nefinančních podniků dle vlastnictví</w:t>
                            </w:r>
                          </w:p>
                          <w:p w14:paraId="084799E1" w14:textId="77777777" w:rsidR="002B6B23" w:rsidRDefault="002B6B23" w:rsidP="002B6B23">
                            <w:pPr>
                              <w:pStyle w:val="Bezmezer"/>
                              <w:keepNext/>
                              <w:widowControl w:val="0"/>
                              <w:pBdr>
                                <w:bottom w:val="single" w:sz="4" w:space="1" w:color="auto"/>
                              </w:pBdr>
                              <w:rPr>
                                <w:kern w:val="2"/>
                                <w:szCs w:val="16"/>
                              </w:rPr>
                            </w:pPr>
                            <w:r>
                              <w:rPr>
                                <w:kern w:val="2"/>
                                <w:sz w:val="16"/>
                                <w:szCs w:val="12"/>
                              </w:rPr>
                              <w:t>(Rentabilita kapitálu</w:t>
                            </w:r>
                            <w:r w:rsidRPr="003D42EF">
                              <w:rPr>
                                <w:kern w:val="2"/>
                                <w:sz w:val="16"/>
                                <w:szCs w:val="12"/>
                              </w:rPr>
                              <w:t xml:space="preserve"> = </w:t>
                            </w:r>
                            <w:r>
                              <w:rPr>
                                <w:kern w:val="2"/>
                                <w:sz w:val="16"/>
                                <w:szCs w:val="12"/>
                              </w:rPr>
                              <w:t>Hospodářský výsledek</w:t>
                            </w:r>
                            <w:r w:rsidRPr="003D42EF">
                              <w:rPr>
                                <w:kern w:val="2"/>
                                <w:sz w:val="16"/>
                                <w:szCs w:val="12"/>
                              </w:rPr>
                              <w:t xml:space="preserve"> / </w:t>
                            </w:r>
                            <w:r>
                              <w:rPr>
                                <w:kern w:val="2"/>
                                <w:sz w:val="16"/>
                                <w:szCs w:val="12"/>
                              </w:rPr>
                              <w:t>Vlastní kapitál, v %)</w:t>
                            </w:r>
                          </w:p>
                          <w:p w14:paraId="3DE6FD38" w14:textId="77777777" w:rsidR="002B6B23" w:rsidRDefault="002B6B23" w:rsidP="002B6B23">
                            <w:pPr>
                              <w:pStyle w:val="Bezmezer"/>
                              <w:keepNext/>
                              <w:widowControl w:val="0"/>
                              <w:pBdr>
                                <w:bottom w:val="single" w:sz="4" w:space="1" w:color="auto"/>
                              </w:pBdr>
                              <w:rPr>
                                <w:kern w:val="2"/>
                                <w:sz w:val="16"/>
                                <w:szCs w:val="12"/>
                              </w:rPr>
                            </w:pPr>
                            <w:r>
                              <w:rPr>
                                <w:kern w:val="2"/>
                                <w:sz w:val="16"/>
                                <w:szCs w:val="12"/>
                              </w:rPr>
                              <w:t>(Míra investic</w:t>
                            </w:r>
                            <w:r w:rsidRPr="003D42EF">
                              <w:rPr>
                                <w:kern w:val="2"/>
                                <w:sz w:val="16"/>
                                <w:szCs w:val="12"/>
                              </w:rPr>
                              <w:t xml:space="preserve"> = </w:t>
                            </w:r>
                            <w:r>
                              <w:rPr>
                                <w:kern w:val="2"/>
                                <w:sz w:val="16"/>
                                <w:szCs w:val="12"/>
                              </w:rPr>
                              <w:t>Investice</w:t>
                            </w:r>
                            <w:r w:rsidRPr="003D42EF">
                              <w:rPr>
                                <w:kern w:val="2"/>
                                <w:sz w:val="16"/>
                                <w:szCs w:val="12"/>
                              </w:rPr>
                              <w:t xml:space="preserve"> / </w:t>
                            </w:r>
                            <w:r>
                              <w:rPr>
                                <w:kern w:val="2"/>
                                <w:sz w:val="16"/>
                                <w:szCs w:val="12"/>
                              </w:rPr>
                              <w:t>Přidaná hodnota, v %)</w:t>
                            </w:r>
                          </w:p>
                          <w:p w14:paraId="618D14D3" w14:textId="77777777" w:rsidR="002B6B23" w:rsidRPr="00276B9D" w:rsidRDefault="002B6B23" w:rsidP="002B6B23">
                            <w:pPr>
                              <w:pStyle w:val="Bezmezer"/>
                              <w:keepNext/>
                              <w:widowControl w:val="0"/>
                              <w:pBdr>
                                <w:bottom w:val="single" w:sz="4" w:space="1" w:color="auto"/>
                              </w:pBdr>
                              <w:rPr>
                                <w:kern w:val="2"/>
                                <w:sz w:val="16"/>
                                <w:szCs w:val="12"/>
                              </w:rPr>
                            </w:pPr>
                            <w:r>
                              <w:rPr>
                                <w:kern w:val="2"/>
                                <w:sz w:val="16"/>
                                <w:szCs w:val="12"/>
                              </w:rPr>
                              <w:t>(Mzdy = průměrná měsíční mzda, v tis Kč pravá osa)</w:t>
                            </w:r>
                          </w:p>
                          <w:p w14:paraId="7C64C76D" w14:textId="77777777" w:rsidR="002B6B23" w:rsidRPr="003514B1" w:rsidRDefault="002B6B23" w:rsidP="002B6B23">
                            <w:pPr>
                              <w:pStyle w:val="Bezmezer"/>
                              <w:keepNext/>
                              <w:widowControl w:val="0"/>
                              <w:rPr>
                                <w:kern w:val="2"/>
                                <w:sz w:val="18"/>
                                <w:szCs w:val="16"/>
                              </w:rPr>
                            </w:pPr>
                            <w:r>
                              <w:rPr>
                                <w:noProof/>
                              </w:rPr>
                              <w:drawing>
                                <wp:inline distT="0" distB="0" distL="0" distR="0" wp14:anchorId="1CC717AB" wp14:editId="1CE3B771">
                                  <wp:extent cx="3050540" cy="2393342"/>
                                  <wp:effectExtent l="0" t="0" r="0" b="6985"/>
                                  <wp:docPr id="29" name="Graf 29">
                                    <a:extLst xmlns:a="http://schemas.openxmlformats.org/drawingml/2006/main">
                                      <a:ext uri="{FF2B5EF4-FFF2-40B4-BE49-F238E27FC236}">
                                        <a16:creationId xmlns:a16="http://schemas.microsoft.com/office/drawing/2014/main" id="{017956C5-4CEF-479C-8CB3-192A2CD21A5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14:paraId="4143AC90" w14:textId="04C817D7" w:rsidR="002B6B23" w:rsidRDefault="002B6B23" w:rsidP="002B6B23">
                            <w:pPr>
                              <w:widowControl w:val="0"/>
                              <w:pBdr>
                                <w:top w:val="single" w:sz="4" w:space="1" w:color="auto"/>
                              </w:pBdr>
                              <w:spacing w:after="0"/>
                              <w:rPr>
                                <w:kern w:val="2"/>
                                <w:sz w:val="14"/>
                                <w:szCs w:val="16"/>
                              </w:rPr>
                            </w:pPr>
                            <w:r w:rsidRPr="007B5A7A">
                              <w:rPr>
                                <w:kern w:val="2"/>
                                <w:sz w:val="14"/>
                                <w:szCs w:val="16"/>
                              </w:rPr>
                              <w:t>Pramen: data</w:t>
                            </w:r>
                            <w:r>
                              <w:rPr>
                                <w:kern w:val="2"/>
                                <w:sz w:val="14"/>
                                <w:szCs w:val="16"/>
                              </w:rPr>
                              <w:t xml:space="preserve"> ČSÚ</w:t>
                            </w:r>
                            <w:r w:rsidR="007C73F5">
                              <w:rPr>
                                <w:kern w:val="2"/>
                                <w:sz w:val="14"/>
                                <w:szCs w:val="16"/>
                              </w:rPr>
                              <w:t xml:space="preserve"> (výkaz </w:t>
                            </w:r>
                            <w:r>
                              <w:rPr>
                                <w:kern w:val="2"/>
                                <w:sz w:val="14"/>
                                <w:szCs w:val="16"/>
                              </w:rPr>
                              <w:t>P5-01</w:t>
                            </w:r>
                            <w:r w:rsidR="007C73F5">
                              <w:rPr>
                                <w:kern w:val="2"/>
                                <w:sz w:val="14"/>
                                <w:szCs w:val="16"/>
                              </w:rPr>
                              <w:t>)</w:t>
                            </w:r>
                            <w:r>
                              <w:rPr>
                                <w:kern w:val="2"/>
                                <w:sz w:val="14"/>
                                <w:szCs w:val="16"/>
                              </w:rPr>
                              <w:t xml:space="preserve">, </w:t>
                            </w:r>
                            <w:r w:rsidRPr="007B5A7A">
                              <w:rPr>
                                <w:kern w:val="2"/>
                                <w:sz w:val="14"/>
                                <w:szCs w:val="16"/>
                              </w:rPr>
                              <w:t>graf</w:t>
                            </w:r>
                            <w:r>
                              <w:rPr>
                                <w:kern w:val="2"/>
                                <w:sz w:val="14"/>
                                <w:szCs w:val="16"/>
                              </w:rPr>
                              <w:t xml:space="preserve"> MPO</w:t>
                            </w:r>
                          </w:p>
                        </w:txbxContent>
                      </wps:txbx>
                      <wps:bodyPr rot="0" vert="horz" wrap="square" lIns="0" tIns="0" rIns="0" bIns="0" anchor="t" anchorCtr="0">
                        <a:spAutoFit/>
                      </wps:bodyPr>
                    </wps:wsp>
                  </a:graphicData>
                </a:graphic>
                <wp14:sizeRelH relativeFrom="margin">
                  <wp14:pctWidth>0</wp14:pctWidth>
                </wp14:sizeRelH>
                <wp14:sizeRelV relativeFrom="margin">
                  <wp14:pctHeight>0</wp14:pctHeight>
                </wp14:sizeRelV>
              </wp:anchor>
            </w:drawing>
          </mc:Choice>
          <mc:Fallback>
            <w:pict>
              <v:shape w14:anchorId="37E9B97E" id="_x0000_s1049" type="#_x0000_t202" style="position:absolute;left:0;text-align:left;margin-left:189.7pt;margin-top:0;width:240.9pt;height:236.75pt;z-index:251821056;visibility:visible;mso-wrap-style:square;mso-width-percent:0;mso-height-percent:0;mso-wrap-distance-left:9pt;mso-wrap-distance-top:11.9pt;mso-wrap-distance-right:9pt;mso-wrap-distance-bottom:11.9pt;mso-position-horizontal:right;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" filled="f" stroked="f">
                <v:textbox style="mso-fit-shape-to-text:t" inset="0,0,0,0">
                  <w:txbxContent>
                    <w:p w14:paraId="6E387E06" w14:textId="77777777" w:rsidR="002B6B23" w:rsidRDefault="002B6B23" w:rsidP="00301991">
                      <w:pPr>
                        <w:pStyle w:val="Bezmezer"/>
                      </w:pPr>
                      <w:r>
                        <w:t>Ziskovost a investice nefinančních podniků dle vlastnictví</w:t>
                      </w:r>
                    </w:p>
                    <w:p w14:paraId="084799E1" w14:textId="77777777" w:rsidR="002B6B23" w:rsidRDefault="002B6B23" w:rsidP="002B6B23">
                      <w:pPr>
                        <w:pStyle w:val="Bezmezer"/>
                        <w:keepNext/>
                        <w:widowControl w:val="0"/>
                        <w:pBdr>
                          <w:bottom w:val="single" w:sz="4" w:space="1" w:color="auto"/>
                        </w:pBdr>
                        <w:rPr>
                          <w:kern w:val="2"/>
                          <w:szCs w:val="16"/>
                        </w:rPr>
                      </w:pPr>
                      <w:r>
                        <w:rPr>
                          <w:kern w:val="2"/>
                          <w:sz w:val="16"/>
                          <w:szCs w:val="12"/>
                        </w:rPr>
                        <w:t>(Rentabilita kapitálu</w:t>
                      </w:r>
                      <w:r w:rsidRPr="003D42EF">
                        <w:rPr>
                          <w:kern w:val="2"/>
                          <w:sz w:val="16"/>
                          <w:szCs w:val="12"/>
                        </w:rPr>
                        <w:t xml:space="preserve"> = </w:t>
                      </w:r>
                      <w:r>
                        <w:rPr>
                          <w:kern w:val="2"/>
                          <w:sz w:val="16"/>
                          <w:szCs w:val="12"/>
                        </w:rPr>
                        <w:t>Hospodářský výsledek</w:t>
                      </w:r>
                      <w:r w:rsidRPr="003D42EF">
                        <w:rPr>
                          <w:kern w:val="2"/>
                          <w:sz w:val="16"/>
                          <w:szCs w:val="12"/>
                        </w:rPr>
                        <w:t xml:space="preserve"> / </w:t>
                      </w:r>
                      <w:r>
                        <w:rPr>
                          <w:kern w:val="2"/>
                          <w:sz w:val="16"/>
                          <w:szCs w:val="12"/>
                        </w:rPr>
                        <w:t>Vlastní kapitál, v %)</w:t>
                      </w:r>
                    </w:p>
                    <w:p w14:paraId="3DE6FD38" w14:textId="77777777" w:rsidR="002B6B23" w:rsidRDefault="002B6B23" w:rsidP="002B6B23">
                      <w:pPr>
                        <w:pStyle w:val="Bezmezer"/>
                        <w:keepNext/>
                        <w:widowControl w:val="0"/>
                        <w:pBdr>
                          <w:bottom w:val="single" w:sz="4" w:space="1" w:color="auto"/>
                        </w:pBdr>
                        <w:rPr>
                          <w:kern w:val="2"/>
                          <w:sz w:val="16"/>
                          <w:szCs w:val="12"/>
                        </w:rPr>
                      </w:pPr>
                      <w:r>
                        <w:rPr>
                          <w:kern w:val="2"/>
                          <w:sz w:val="16"/>
                          <w:szCs w:val="12"/>
                        </w:rPr>
                        <w:t>(Míra investic</w:t>
                      </w:r>
                      <w:r w:rsidRPr="003D42EF">
                        <w:rPr>
                          <w:kern w:val="2"/>
                          <w:sz w:val="16"/>
                          <w:szCs w:val="12"/>
                        </w:rPr>
                        <w:t xml:space="preserve"> = </w:t>
                      </w:r>
                      <w:r>
                        <w:rPr>
                          <w:kern w:val="2"/>
                          <w:sz w:val="16"/>
                          <w:szCs w:val="12"/>
                        </w:rPr>
                        <w:t>Investice</w:t>
                      </w:r>
                      <w:r w:rsidRPr="003D42EF">
                        <w:rPr>
                          <w:kern w:val="2"/>
                          <w:sz w:val="16"/>
                          <w:szCs w:val="12"/>
                        </w:rPr>
                        <w:t xml:space="preserve"> / </w:t>
                      </w:r>
                      <w:r>
                        <w:rPr>
                          <w:kern w:val="2"/>
                          <w:sz w:val="16"/>
                          <w:szCs w:val="12"/>
                        </w:rPr>
                        <w:t>Přidaná hodnota, v %)</w:t>
                      </w:r>
                    </w:p>
                    <w:p w14:paraId="618D14D3" w14:textId="77777777" w:rsidR="002B6B23" w:rsidRPr="00276B9D" w:rsidRDefault="002B6B23" w:rsidP="002B6B23">
                      <w:pPr>
                        <w:pStyle w:val="Bezmezer"/>
                        <w:keepNext/>
                        <w:widowControl w:val="0"/>
                        <w:pBdr>
                          <w:bottom w:val="single" w:sz="4" w:space="1" w:color="auto"/>
                        </w:pBdr>
                        <w:rPr>
                          <w:kern w:val="2"/>
                          <w:sz w:val="16"/>
                          <w:szCs w:val="12"/>
                        </w:rPr>
                      </w:pPr>
                      <w:r>
                        <w:rPr>
                          <w:kern w:val="2"/>
                          <w:sz w:val="16"/>
                          <w:szCs w:val="12"/>
                        </w:rPr>
                        <w:t>(Mzdy = průměrná měsíční mzda, v tis Kč pravá osa)</w:t>
                      </w:r>
                    </w:p>
                    <w:p w14:paraId="7C64C76D" w14:textId="77777777" w:rsidR="002B6B23" w:rsidRPr="003514B1" w:rsidRDefault="002B6B23" w:rsidP="002B6B23">
                      <w:pPr>
                        <w:pStyle w:val="Bezmezer"/>
                        <w:keepNext/>
                        <w:widowControl w:val="0"/>
                        <w:rPr>
                          <w:kern w:val="2"/>
                          <w:sz w:val="18"/>
                          <w:szCs w:val="16"/>
                        </w:rPr>
                      </w:pPr>
                      <w:r>
                        <w:rPr>
                          <w:noProof/>
                        </w:rPr>
                        <w:drawing>
                          <wp:inline distT="0" distB="0" distL="0" distR="0" wp14:anchorId="1CC717AB" wp14:editId="1CE3B771">
                            <wp:extent cx="3050540" cy="2393342"/>
                            <wp:effectExtent l="0" t="0" r="0" b="6985"/>
                            <wp:docPr id="29" name="Graf 29">
                              <a:extLst xmlns:a="http://schemas.openxmlformats.org/drawingml/2006/main">
                                <a:ext uri="{FF2B5EF4-FFF2-40B4-BE49-F238E27FC236}">
                                  <a16:creationId xmlns:a16="http://schemas.microsoft.com/office/drawing/2014/main" id="{017956C5-4CEF-479C-8CB3-192A2CD21A5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14:paraId="4143AC90" w14:textId="04C817D7" w:rsidR="002B6B23" w:rsidRDefault="002B6B23" w:rsidP="002B6B23">
                      <w:pPr>
                        <w:widowControl w:val="0"/>
                        <w:pBdr>
                          <w:top w:val="single" w:sz="4" w:space="1" w:color="auto"/>
                        </w:pBdr>
                        <w:spacing w:after="0"/>
                        <w:rPr>
                          <w:kern w:val="2"/>
                          <w:sz w:val="14"/>
                          <w:szCs w:val="16"/>
                        </w:rPr>
                      </w:pPr>
                      <w:r w:rsidRPr="007B5A7A">
                        <w:rPr>
                          <w:kern w:val="2"/>
                          <w:sz w:val="14"/>
                          <w:szCs w:val="16"/>
                        </w:rPr>
                        <w:t>Pramen: data</w:t>
                      </w:r>
                      <w:r>
                        <w:rPr>
                          <w:kern w:val="2"/>
                          <w:sz w:val="14"/>
                          <w:szCs w:val="16"/>
                        </w:rPr>
                        <w:t xml:space="preserve"> ČSÚ</w:t>
                      </w:r>
                      <w:r w:rsidR="007C73F5">
                        <w:rPr>
                          <w:kern w:val="2"/>
                          <w:sz w:val="14"/>
                          <w:szCs w:val="16"/>
                        </w:rPr>
                        <w:t xml:space="preserve"> (výkaz </w:t>
                      </w:r>
                      <w:r>
                        <w:rPr>
                          <w:kern w:val="2"/>
                          <w:sz w:val="14"/>
                          <w:szCs w:val="16"/>
                        </w:rPr>
                        <w:t>P5-01</w:t>
                      </w:r>
                      <w:r w:rsidR="007C73F5">
                        <w:rPr>
                          <w:kern w:val="2"/>
                          <w:sz w:val="14"/>
                          <w:szCs w:val="16"/>
                        </w:rPr>
                        <w:t>)</w:t>
                      </w:r>
                      <w:r>
                        <w:rPr>
                          <w:kern w:val="2"/>
                          <w:sz w:val="14"/>
                          <w:szCs w:val="16"/>
                        </w:rPr>
                        <w:t xml:space="preserve">, </w:t>
                      </w:r>
                      <w:r w:rsidRPr="007B5A7A">
                        <w:rPr>
                          <w:kern w:val="2"/>
                          <w:sz w:val="14"/>
                          <w:szCs w:val="16"/>
                        </w:rPr>
                        <w:t>graf</w:t>
                      </w:r>
                      <w:r>
                        <w:rPr>
                          <w:kern w:val="2"/>
                          <w:sz w:val="14"/>
                          <w:szCs w:val="16"/>
                        </w:rPr>
                        <w:t xml:space="preserve"> MPO</w:t>
                      </w:r>
                    </w:p>
                  </w:txbxContent>
                </v:textbox>
                <w10:wrap type="square" anchorx="margin" anchory="margin"/>
              </v:shape>
            </w:pict>
          </mc:Fallback>
        </mc:AlternateContent>
      </w:r>
      <w:r w:rsidR="002B6B23" w:rsidRPr="003A3161">
        <w:rPr>
          <w:noProof/>
          <w:lang w:eastAsia="cs-CZ"/>
        </w:rPr>
        <mc:AlternateContent>
          <mc:Choice Requires="wps">
            <w:drawing>
              <wp:anchor distT="151130" distB="151130" distL="114300" distR="114300" simplePos="0" relativeHeight="251817984" behindDoc="0" locked="0" layoutInCell="1" allowOverlap="1" wp14:anchorId="22F83193" wp14:editId="2692ABB2">
                <wp:simplePos x="0" y="0"/>
                <wp:positionH relativeFrom="margin">
                  <wp:align>left</wp:align>
                </wp:positionH>
                <wp:positionV relativeFrom="margin">
                  <wp:posOffset>10822</wp:posOffset>
                </wp:positionV>
                <wp:extent cx="3028950" cy="3063240"/>
                <wp:effectExtent l="0" t="0" r="0" b="3810"/>
                <wp:wrapSquare wrapText="bothSides"/>
                <wp:docPr id="107"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28950" cy="3063240"/>
                        </a:xfrm>
                        <a:prstGeom prst="rect">
                          <a:avLst/>
                        </a:prstGeom>
                        <a:noFill/>
                        <a:ln w="9525">
                          <a:noFill/>
                          <a:miter lim="800000"/>
                          <a:headEnd/>
                          <a:tailEnd/>
                        </a:ln>
                      </wps:spPr>
                      <wps:txbx>
                        <w:txbxContent>
                          <w:p w14:paraId="670125FE" w14:textId="77777777" w:rsidR="002B6B23" w:rsidRDefault="002B6B23" w:rsidP="00301991">
                            <w:pPr>
                              <w:pStyle w:val="Bezmezer"/>
                            </w:pPr>
                            <w:r>
                              <w:t>Struktura hrubé přidané hodnoty české ekonomiky</w:t>
                            </w:r>
                          </w:p>
                          <w:p w14:paraId="321B671A" w14:textId="77777777" w:rsidR="002B6B23" w:rsidRPr="00670242" w:rsidRDefault="002B6B23" w:rsidP="002B6B23">
                            <w:pPr>
                              <w:pStyle w:val="Bezmezer"/>
                              <w:keepNext/>
                              <w:widowControl w:val="0"/>
                              <w:pBdr>
                                <w:bottom w:val="single" w:sz="4" w:space="1" w:color="auto"/>
                              </w:pBdr>
                              <w:rPr>
                                <w:kern w:val="2"/>
                                <w:sz w:val="16"/>
                                <w:szCs w:val="12"/>
                              </w:rPr>
                            </w:pPr>
                            <w:r w:rsidRPr="00CD7BA4">
                              <w:rPr>
                                <w:kern w:val="2"/>
                                <w:sz w:val="16"/>
                                <w:szCs w:val="12"/>
                              </w:rPr>
                              <w:t>(</w:t>
                            </w:r>
                            <w:r>
                              <w:rPr>
                                <w:kern w:val="2"/>
                                <w:sz w:val="16"/>
                                <w:szCs w:val="12"/>
                              </w:rPr>
                              <w:t>v % HPH</w:t>
                            </w:r>
                            <w:r w:rsidRPr="00CD7BA4">
                              <w:rPr>
                                <w:kern w:val="2"/>
                                <w:sz w:val="16"/>
                                <w:szCs w:val="12"/>
                              </w:rPr>
                              <w:t>)</w:t>
                            </w:r>
                          </w:p>
                          <w:p w14:paraId="604F2483" w14:textId="77777777" w:rsidR="002B6B23" w:rsidRPr="003514B1" w:rsidRDefault="002B6B23" w:rsidP="002B6B23">
                            <w:pPr>
                              <w:pStyle w:val="Bezmezer"/>
                              <w:keepNext/>
                              <w:widowControl w:val="0"/>
                              <w:rPr>
                                <w:kern w:val="2"/>
                                <w:sz w:val="18"/>
                                <w:szCs w:val="16"/>
                              </w:rPr>
                            </w:pPr>
                            <w:r w:rsidRPr="009F1E94">
                              <w:rPr>
                                <w:noProof/>
                                <w:kern w:val="2"/>
                                <w:sz w:val="18"/>
                                <w:szCs w:val="16"/>
                                <w:lang w:eastAsia="cs-CZ"/>
                              </w:rPr>
                              <w:drawing>
                                <wp:inline distT="0" distB="0" distL="0" distR="0" wp14:anchorId="58F8F769" wp14:editId="62386BE2">
                                  <wp:extent cx="3020060" cy="2629535"/>
                                  <wp:effectExtent l="0" t="0" r="8890" b="0"/>
                                  <wp:docPr id="30" name="Graf 30">
                                    <a:extLst xmlns:a="http://schemas.openxmlformats.org/drawingml/2006/main">
                                      <a:ext uri="{FF2B5EF4-FFF2-40B4-BE49-F238E27FC236}">
                                        <a16:creationId xmlns:a16="http://schemas.microsoft.com/office/drawing/2014/main" id="{831F6E82-7C53-43EB-8555-D808A5BDD1D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14:paraId="5738AE26" w14:textId="77777777" w:rsidR="002B6B23" w:rsidRDefault="002B6B23" w:rsidP="002B6B23">
                            <w:pPr>
                              <w:widowControl w:val="0"/>
                              <w:pBdr>
                                <w:top w:val="single" w:sz="4" w:space="1" w:color="auto"/>
                              </w:pBdr>
                              <w:spacing w:after="0"/>
                              <w:rPr>
                                <w:kern w:val="2"/>
                                <w:sz w:val="14"/>
                                <w:szCs w:val="16"/>
                              </w:rPr>
                            </w:pPr>
                            <w:r w:rsidRPr="007B5A7A">
                              <w:rPr>
                                <w:kern w:val="2"/>
                                <w:sz w:val="14"/>
                                <w:szCs w:val="16"/>
                              </w:rPr>
                              <w:t>Pramen: data</w:t>
                            </w:r>
                            <w:r>
                              <w:rPr>
                                <w:kern w:val="2"/>
                                <w:sz w:val="14"/>
                                <w:szCs w:val="16"/>
                              </w:rPr>
                              <w:t xml:space="preserve"> ČSÚ, </w:t>
                            </w:r>
                            <w:r w:rsidRPr="007B5A7A">
                              <w:rPr>
                                <w:kern w:val="2"/>
                                <w:sz w:val="14"/>
                                <w:szCs w:val="16"/>
                              </w:rPr>
                              <w:t>graf</w:t>
                            </w:r>
                            <w:r>
                              <w:rPr>
                                <w:kern w:val="2"/>
                                <w:sz w:val="14"/>
                                <w:szCs w:val="16"/>
                              </w:rPr>
                              <w:t xml:space="preserve"> MPO</w:t>
                            </w:r>
                          </w:p>
                        </w:txbxContent>
                      </wps:txbx>
                      <wps:bodyPr rot="0" vert="horz" wrap="square" lIns="0" tIns="0" rIns="0" bIns="0" anchor="t" anchorCtr="0">
                        <a:spAutoFit/>
                      </wps:bodyPr>
                    </wps:wsp>
                  </a:graphicData>
                </a:graphic>
                <wp14:sizeRelH relativeFrom="margin">
                  <wp14:pctWidth>0</wp14:pctWidth>
                </wp14:sizeRelH>
                <wp14:sizeRelV relativeFrom="margin">
                  <wp14:pctHeight>0</wp14:pctHeight>
                </wp14:sizeRelV>
              </wp:anchor>
            </w:drawing>
          </mc:Choice>
          <mc:Fallback>
            <w:pict>
              <v:shape w14:anchorId="22F83193" id="_x0000_s1050" type="#_x0000_t202" style="position:absolute;left:0;text-align:left;margin-left:0;margin-top:.85pt;width:238.5pt;height:241.2pt;z-index:251817984;visibility:visible;mso-wrap-style:square;mso-width-percent:0;mso-height-percent:0;mso-wrap-distance-left:9pt;mso-wrap-distance-top:11.9pt;mso-wrap-distance-right:9pt;mso-wrap-distance-bottom:11.9pt;mso-position-horizontal:left;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" filled="f" stroked="f">
                <v:textbox style="mso-fit-shape-to-text:t" inset="0,0,0,0">
                  <w:txbxContent>
                    <w:p w14:paraId="670125FE" w14:textId="77777777" w:rsidR="002B6B23" w:rsidRDefault="002B6B23" w:rsidP="00301991">
                      <w:pPr>
                        <w:pStyle w:val="Bezmezer"/>
                      </w:pPr>
                      <w:r>
                        <w:t>Struktura hrubé přidané hodnoty české ekonomiky</w:t>
                      </w:r>
                    </w:p>
                    <w:p w14:paraId="321B671A" w14:textId="77777777" w:rsidR="002B6B23" w:rsidRPr="00670242" w:rsidRDefault="002B6B23" w:rsidP="002B6B23">
                      <w:pPr>
                        <w:pStyle w:val="Bezmezer"/>
                        <w:keepNext/>
                        <w:widowControl w:val="0"/>
                        <w:pBdr>
                          <w:bottom w:val="single" w:sz="4" w:space="1" w:color="auto"/>
                        </w:pBdr>
                        <w:rPr>
                          <w:kern w:val="2"/>
                          <w:sz w:val="16"/>
                          <w:szCs w:val="12"/>
                        </w:rPr>
                      </w:pPr>
                      <w:r w:rsidRPr="00CD7BA4">
                        <w:rPr>
                          <w:kern w:val="2"/>
                          <w:sz w:val="16"/>
                          <w:szCs w:val="12"/>
                        </w:rPr>
                        <w:t>(</w:t>
                      </w:r>
                      <w:r>
                        <w:rPr>
                          <w:kern w:val="2"/>
                          <w:sz w:val="16"/>
                          <w:szCs w:val="12"/>
                        </w:rPr>
                        <w:t>v % HPH</w:t>
                      </w:r>
                      <w:r w:rsidRPr="00CD7BA4">
                        <w:rPr>
                          <w:kern w:val="2"/>
                          <w:sz w:val="16"/>
                          <w:szCs w:val="12"/>
                        </w:rPr>
                        <w:t>)</w:t>
                      </w:r>
                    </w:p>
                    <w:p w14:paraId="604F2483" w14:textId="77777777" w:rsidR="002B6B23" w:rsidRPr="003514B1" w:rsidRDefault="002B6B23" w:rsidP="002B6B23">
                      <w:pPr>
                        <w:pStyle w:val="Bezmezer"/>
                        <w:keepNext/>
                        <w:widowControl w:val="0"/>
                        <w:rPr>
                          <w:kern w:val="2"/>
                          <w:sz w:val="18"/>
                          <w:szCs w:val="16"/>
                        </w:rPr>
                      </w:pPr>
                      <w:r w:rsidRPr="009F1E94">
                        <w:rPr>
                          <w:noProof/>
                          <w:kern w:val="2"/>
                          <w:sz w:val="18"/>
                          <w:szCs w:val="16"/>
                          <w:lang w:eastAsia="cs-CZ"/>
                        </w:rPr>
                        <w:drawing>
                          <wp:inline distT="0" distB="0" distL="0" distR="0" wp14:anchorId="58F8F769" wp14:editId="62386BE2">
                            <wp:extent cx="3020060" cy="2629535"/>
                            <wp:effectExtent l="0" t="0" r="8890" b="0"/>
                            <wp:docPr id="30" name="Graf 30">
                              <a:extLst xmlns:a="http://schemas.openxmlformats.org/drawingml/2006/main">
                                <a:ext uri="{FF2B5EF4-FFF2-40B4-BE49-F238E27FC236}">
                                  <a16:creationId xmlns:a16="http://schemas.microsoft.com/office/drawing/2014/main" id="{831F6E82-7C53-43EB-8555-D808A5BDD1D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14:paraId="5738AE26" w14:textId="77777777" w:rsidR="002B6B23" w:rsidRDefault="002B6B23" w:rsidP="002B6B23">
                      <w:pPr>
                        <w:widowControl w:val="0"/>
                        <w:pBdr>
                          <w:top w:val="single" w:sz="4" w:space="1" w:color="auto"/>
                        </w:pBdr>
                        <w:spacing w:after="0"/>
                        <w:rPr>
                          <w:kern w:val="2"/>
                          <w:sz w:val="14"/>
                          <w:szCs w:val="16"/>
                        </w:rPr>
                      </w:pPr>
                      <w:r w:rsidRPr="007B5A7A">
                        <w:rPr>
                          <w:kern w:val="2"/>
                          <w:sz w:val="14"/>
                          <w:szCs w:val="16"/>
                        </w:rPr>
                        <w:t>Pramen: data</w:t>
                      </w:r>
                      <w:r>
                        <w:rPr>
                          <w:kern w:val="2"/>
                          <w:sz w:val="14"/>
                          <w:szCs w:val="16"/>
                        </w:rPr>
                        <w:t xml:space="preserve"> ČSÚ, </w:t>
                      </w:r>
                      <w:r w:rsidRPr="007B5A7A">
                        <w:rPr>
                          <w:kern w:val="2"/>
                          <w:sz w:val="14"/>
                          <w:szCs w:val="16"/>
                        </w:rPr>
                        <w:t>graf</w:t>
                      </w:r>
                      <w:r>
                        <w:rPr>
                          <w:kern w:val="2"/>
                          <w:sz w:val="14"/>
                          <w:szCs w:val="16"/>
                        </w:rPr>
                        <w:t xml:space="preserve"> MPO</w:t>
                      </w:r>
                    </w:p>
                  </w:txbxContent>
                </v:textbox>
                <w10:wrap type="square" anchorx="margin" anchory="margin"/>
              </v:shape>
            </w:pict>
          </mc:Fallback>
        </mc:AlternateContent>
      </w:r>
      <w:r w:rsidR="002B6B23">
        <w:br w:type="page"/>
      </w:r>
    </w:p>
    <w:p w14:paraId="637099E6" w14:textId="77777777" w:rsidR="002B6B23" w:rsidRDefault="002B6B23" w:rsidP="003C3221">
      <w:r w:rsidRPr="00D07AF2">
        <w:rPr>
          <w:noProof/>
          <w:lang w:eastAsia="cs-CZ"/>
        </w:rPr>
        <w:lastRenderedPageBreak/>
        <mc:AlternateContent>
          <mc:Choice Requires="wps">
            <w:drawing>
              <wp:anchor distT="151130" distB="151130" distL="114300" distR="114300" simplePos="0" relativeHeight="251826176" behindDoc="0" locked="0" layoutInCell="1" allowOverlap="1" wp14:anchorId="63D19697" wp14:editId="7A8B1145">
                <wp:simplePos x="0" y="0"/>
                <wp:positionH relativeFrom="margin">
                  <wp:align>right</wp:align>
                </wp:positionH>
                <wp:positionV relativeFrom="margin">
                  <wp:posOffset>3128010</wp:posOffset>
                </wp:positionV>
                <wp:extent cx="3074035" cy="2527935"/>
                <wp:effectExtent l="0" t="0" r="12065" b="5715"/>
                <wp:wrapSquare wrapText="bothSides"/>
                <wp:docPr id="108" name="Textové pole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74035" cy="2527935"/>
                        </a:xfrm>
                        <a:prstGeom prst="rect">
                          <a:avLst/>
                        </a:prstGeom>
                        <a:noFill/>
                        <a:ln w="9525">
                          <a:noFill/>
                          <a:miter lim="800000"/>
                          <a:headEnd/>
                          <a:tailEnd/>
                        </a:ln>
                      </wps:spPr>
                      <wps:txbx>
                        <w:txbxContent>
                          <w:p w14:paraId="298F96CB" w14:textId="77777777" w:rsidR="002B6B23" w:rsidRPr="00C747FD" w:rsidRDefault="002B6B23" w:rsidP="00301991">
                            <w:pPr>
                              <w:pStyle w:val="Bezmezer"/>
                              <w:rPr>
                                <w:sz w:val="17"/>
                                <w:szCs w:val="17"/>
                              </w:rPr>
                            </w:pPr>
                            <w:r>
                              <w:t>P</w:t>
                            </w:r>
                            <w:r w:rsidRPr="00670242">
                              <w:t xml:space="preserve">roduktivita práce </w:t>
                            </w:r>
                            <w:r>
                              <w:t>v hospodářství v hlavních sektorech</w:t>
                            </w:r>
                          </w:p>
                          <w:p w14:paraId="0498AD7C" w14:textId="77777777" w:rsidR="002B6B23" w:rsidRPr="00C747FD" w:rsidRDefault="002B6B23" w:rsidP="002B6B23">
                            <w:pPr>
                              <w:pStyle w:val="Bezmezer"/>
                              <w:keepNext/>
                              <w:widowControl w:val="0"/>
                              <w:pBdr>
                                <w:bottom w:val="single" w:sz="4" w:space="1" w:color="auto"/>
                              </w:pBdr>
                              <w:rPr>
                                <w:kern w:val="2"/>
                                <w:sz w:val="17"/>
                                <w:szCs w:val="17"/>
                              </w:rPr>
                            </w:pPr>
                            <w:r w:rsidRPr="00C747FD">
                              <w:rPr>
                                <w:kern w:val="2"/>
                                <w:sz w:val="17"/>
                                <w:szCs w:val="17"/>
                              </w:rPr>
                              <w:t>(Přidaná hodnota na zaměstnance v tis. EUR)</w:t>
                            </w:r>
                          </w:p>
                          <w:tbl>
                            <w:tblPr>
                              <w:tblW w:w="5000" w:type="pct"/>
                              <w:tblCellMar>
                                <w:left w:w="0" w:type="dxa"/>
                                <w:right w:w="0" w:type="dxa"/>
                              </w:tblCellMar>
                              <w:tblLook w:val="04A0" w:firstRow="1" w:lastRow="0" w:firstColumn="1" w:lastColumn="0" w:noHBand="0" w:noVBand="1"/>
                            </w:tblPr>
                            <w:tblGrid>
                              <w:gridCol w:w="689"/>
                              <w:gridCol w:w="319"/>
                              <w:gridCol w:w="319"/>
                              <w:gridCol w:w="319"/>
                              <w:gridCol w:w="319"/>
                              <w:gridCol w:w="319"/>
                              <w:gridCol w:w="319"/>
                              <w:gridCol w:w="319"/>
                              <w:gridCol w:w="319"/>
                              <w:gridCol w:w="319"/>
                              <w:gridCol w:w="319"/>
                              <w:gridCol w:w="319"/>
                              <w:gridCol w:w="319"/>
                              <w:gridCol w:w="320"/>
                            </w:tblGrid>
                            <w:tr w:rsidR="002B6B23" w:rsidRPr="00C747FD" w14:paraId="2A2847B0" w14:textId="77777777" w:rsidTr="004B2528">
                              <w:trPr>
                                <w:cantSplit/>
                                <w:trHeight w:val="2508"/>
                              </w:trPr>
                              <w:tc>
                                <w:tcPr>
                                  <w:tcW w:w="446" w:type="pct"/>
                                  <w:tcBorders>
                                    <w:top w:val="nil"/>
                                    <w:left w:val="nil"/>
                                    <w:bottom w:val="single" w:sz="4" w:space="0" w:color="auto"/>
                                    <w:right w:val="single" w:sz="4" w:space="0" w:color="auto"/>
                                  </w:tcBorders>
                                  <w:shd w:val="clear" w:color="auto" w:fill="auto"/>
                                  <w:noWrap/>
                                  <w:hideMark/>
                                </w:tcPr>
                                <w:p w14:paraId="70442950" w14:textId="77777777" w:rsidR="002B6B23" w:rsidRPr="00C747FD" w:rsidRDefault="002B6B23" w:rsidP="004B2528">
                                  <w:pPr>
                                    <w:spacing w:after="0"/>
                                    <w:jc w:val="left"/>
                                    <w:rPr>
                                      <w:rFonts w:ascii="Calibri" w:eastAsia="Times New Roman" w:hAnsi="Calibri" w:cs="Calibri"/>
                                      <w:color w:val="000000"/>
                                      <w:sz w:val="17"/>
                                      <w:szCs w:val="17"/>
                                      <w:lang w:eastAsia="cs-CZ"/>
                                    </w:rPr>
                                  </w:pPr>
                                  <w:r w:rsidRPr="00C747FD">
                                    <w:rPr>
                                      <w:rFonts w:ascii="Calibri" w:eastAsia="Times New Roman" w:hAnsi="Calibri" w:cs="Calibri"/>
                                      <w:color w:val="000000"/>
                                      <w:sz w:val="17"/>
                                      <w:szCs w:val="17"/>
                                      <w:lang w:eastAsia="cs-CZ"/>
                                    </w:rPr>
                                    <w:t>CZ-NACE</w:t>
                                  </w:r>
                                </w:p>
                              </w:tc>
                              <w:tc>
                                <w:tcPr>
                                  <w:tcW w:w="350" w:type="pct"/>
                                  <w:tcBorders>
                                    <w:top w:val="nil"/>
                                    <w:left w:val="nil"/>
                                    <w:bottom w:val="single" w:sz="4" w:space="0" w:color="auto"/>
                                    <w:right w:val="nil"/>
                                  </w:tcBorders>
                                  <w:shd w:val="clear" w:color="auto" w:fill="auto"/>
                                  <w:noWrap/>
                                  <w:textDirection w:val="btLr"/>
                                  <w:hideMark/>
                                </w:tcPr>
                                <w:p w14:paraId="01F1D5E8" w14:textId="77777777" w:rsidR="002B6B23" w:rsidRPr="00C747FD" w:rsidRDefault="002B6B23" w:rsidP="004B2528">
                                  <w:pPr>
                                    <w:spacing w:after="0"/>
                                    <w:ind w:left="113" w:right="113"/>
                                    <w:jc w:val="left"/>
                                    <w:rPr>
                                      <w:rFonts w:ascii="Calibri" w:eastAsia="Times New Roman" w:hAnsi="Calibri" w:cs="Calibri"/>
                                      <w:color w:val="000000"/>
                                      <w:sz w:val="17"/>
                                      <w:szCs w:val="17"/>
                                      <w:lang w:eastAsia="cs-CZ"/>
                                    </w:rPr>
                                  </w:pPr>
                                  <w:r w:rsidRPr="00C747FD">
                                    <w:rPr>
                                      <w:rFonts w:ascii="Calibri" w:eastAsia="Times New Roman" w:hAnsi="Calibri" w:cs="Calibri"/>
                                      <w:color w:val="000000"/>
                                      <w:sz w:val="17"/>
                                      <w:szCs w:val="17"/>
                                      <w:lang w:eastAsia="cs-CZ"/>
                                    </w:rPr>
                                    <w:t>A – Zemědělství</w:t>
                                  </w:r>
                                  <w:r>
                                    <w:rPr>
                                      <w:rFonts w:ascii="Calibri" w:eastAsia="Times New Roman" w:hAnsi="Calibri" w:cs="Calibri"/>
                                      <w:color w:val="000000"/>
                                      <w:sz w:val="17"/>
                                      <w:szCs w:val="17"/>
                                      <w:lang w:eastAsia="cs-CZ"/>
                                    </w:rPr>
                                    <w:t>, lesy a rybolov</w:t>
                                  </w:r>
                                </w:p>
                              </w:tc>
                              <w:tc>
                                <w:tcPr>
                                  <w:tcW w:w="350" w:type="pct"/>
                                  <w:tcBorders>
                                    <w:top w:val="nil"/>
                                    <w:left w:val="nil"/>
                                    <w:bottom w:val="single" w:sz="4" w:space="0" w:color="auto"/>
                                    <w:right w:val="nil"/>
                                  </w:tcBorders>
                                  <w:shd w:val="clear" w:color="auto" w:fill="auto"/>
                                  <w:noWrap/>
                                  <w:textDirection w:val="btLr"/>
                                  <w:hideMark/>
                                </w:tcPr>
                                <w:p w14:paraId="35A7D1DD" w14:textId="77777777" w:rsidR="002B6B23" w:rsidRPr="00C747FD" w:rsidRDefault="002B6B23" w:rsidP="004B2528">
                                  <w:pPr>
                                    <w:spacing w:after="0"/>
                                    <w:ind w:left="113" w:right="113"/>
                                    <w:jc w:val="left"/>
                                    <w:rPr>
                                      <w:rFonts w:ascii="Calibri" w:eastAsia="Times New Roman" w:hAnsi="Calibri" w:cs="Calibri"/>
                                      <w:color w:val="000000"/>
                                      <w:sz w:val="17"/>
                                      <w:szCs w:val="17"/>
                                      <w:lang w:eastAsia="cs-CZ"/>
                                    </w:rPr>
                                  </w:pPr>
                                  <w:r w:rsidRPr="00C747FD">
                                    <w:rPr>
                                      <w:rFonts w:ascii="Calibri" w:eastAsia="Times New Roman" w:hAnsi="Calibri" w:cs="Calibri"/>
                                      <w:color w:val="000000"/>
                                      <w:sz w:val="17"/>
                                      <w:szCs w:val="17"/>
                                      <w:lang w:eastAsia="cs-CZ"/>
                                    </w:rPr>
                                    <w:t>B – Těžba</w:t>
                                  </w:r>
                                  <w:r>
                                    <w:rPr>
                                      <w:rFonts w:ascii="Calibri" w:eastAsia="Times New Roman" w:hAnsi="Calibri" w:cs="Calibri"/>
                                      <w:color w:val="000000"/>
                                      <w:sz w:val="17"/>
                                      <w:szCs w:val="17"/>
                                      <w:lang w:eastAsia="cs-CZ"/>
                                    </w:rPr>
                                    <w:t xml:space="preserve"> a dobývání</w:t>
                                  </w:r>
                                </w:p>
                              </w:tc>
                              <w:tc>
                                <w:tcPr>
                                  <w:tcW w:w="350" w:type="pct"/>
                                  <w:tcBorders>
                                    <w:top w:val="nil"/>
                                    <w:left w:val="nil"/>
                                    <w:bottom w:val="single" w:sz="4" w:space="0" w:color="auto"/>
                                    <w:right w:val="nil"/>
                                  </w:tcBorders>
                                  <w:shd w:val="clear" w:color="auto" w:fill="auto"/>
                                  <w:noWrap/>
                                  <w:textDirection w:val="btLr"/>
                                  <w:hideMark/>
                                </w:tcPr>
                                <w:p w14:paraId="022AE80E" w14:textId="77777777" w:rsidR="002B6B23" w:rsidRPr="00C747FD" w:rsidRDefault="002B6B23" w:rsidP="004B2528">
                                  <w:pPr>
                                    <w:spacing w:after="0"/>
                                    <w:ind w:left="113" w:right="113"/>
                                    <w:jc w:val="left"/>
                                    <w:rPr>
                                      <w:rFonts w:ascii="Calibri" w:eastAsia="Times New Roman" w:hAnsi="Calibri" w:cs="Calibri"/>
                                      <w:color w:val="000000"/>
                                      <w:sz w:val="17"/>
                                      <w:szCs w:val="17"/>
                                      <w:lang w:eastAsia="cs-CZ"/>
                                    </w:rPr>
                                  </w:pPr>
                                  <w:r w:rsidRPr="00C747FD">
                                    <w:rPr>
                                      <w:rFonts w:ascii="Calibri" w:eastAsia="Times New Roman" w:hAnsi="Calibri" w:cs="Calibri"/>
                                      <w:color w:val="000000"/>
                                      <w:sz w:val="17"/>
                                      <w:szCs w:val="17"/>
                                      <w:lang w:eastAsia="cs-CZ"/>
                                    </w:rPr>
                                    <w:t>C – Zpracovatelský p</w:t>
                                  </w:r>
                                  <w:r>
                                    <w:rPr>
                                      <w:rFonts w:ascii="Calibri" w:eastAsia="Times New Roman" w:hAnsi="Calibri" w:cs="Calibri"/>
                                      <w:color w:val="000000"/>
                                      <w:sz w:val="17"/>
                                      <w:szCs w:val="17"/>
                                      <w:lang w:eastAsia="cs-CZ"/>
                                    </w:rPr>
                                    <w:t>růmysl</w:t>
                                  </w:r>
                                </w:p>
                              </w:tc>
                              <w:tc>
                                <w:tcPr>
                                  <w:tcW w:w="350" w:type="pct"/>
                                  <w:tcBorders>
                                    <w:top w:val="nil"/>
                                    <w:left w:val="nil"/>
                                    <w:bottom w:val="single" w:sz="4" w:space="0" w:color="auto"/>
                                    <w:right w:val="nil"/>
                                  </w:tcBorders>
                                  <w:shd w:val="clear" w:color="auto" w:fill="auto"/>
                                  <w:noWrap/>
                                  <w:textDirection w:val="btLr"/>
                                  <w:hideMark/>
                                </w:tcPr>
                                <w:p w14:paraId="43150042" w14:textId="77777777" w:rsidR="002B6B23" w:rsidRPr="00C747FD" w:rsidRDefault="002B6B23" w:rsidP="004B2528">
                                  <w:pPr>
                                    <w:spacing w:after="0"/>
                                    <w:ind w:left="113" w:right="113"/>
                                    <w:jc w:val="left"/>
                                    <w:rPr>
                                      <w:rFonts w:ascii="Calibri" w:eastAsia="Times New Roman" w:hAnsi="Calibri" w:cs="Calibri"/>
                                      <w:color w:val="000000"/>
                                      <w:sz w:val="17"/>
                                      <w:szCs w:val="17"/>
                                      <w:lang w:eastAsia="cs-CZ"/>
                                    </w:rPr>
                                  </w:pPr>
                                  <w:r w:rsidRPr="00C747FD">
                                    <w:rPr>
                                      <w:rFonts w:ascii="Calibri" w:eastAsia="Times New Roman" w:hAnsi="Calibri" w:cs="Calibri"/>
                                      <w:color w:val="000000"/>
                                      <w:sz w:val="17"/>
                                      <w:szCs w:val="17"/>
                                      <w:lang w:eastAsia="cs-CZ"/>
                                    </w:rPr>
                                    <w:t>E – Voda a odpady</w:t>
                                  </w:r>
                                </w:p>
                              </w:tc>
                              <w:tc>
                                <w:tcPr>
                                  <w:tcW w:w="350" w:type="pct"/>
                                  <w:tcBorders>
                                    <w:top w:val="nil"/>
                                    <w:left w:val="nil"/>
                                    <w:bottom w:val="single" w:sz="4" w:space="0" w:color="auto"/>
                                    <w:right w:val="nil"/>
                                  </w:tcBorders>
                                  <w:shd w:val="clear" w:color="auto" w:fill="auto"/>
                                  <w:noWrap/>
                                  <w:textDirection w:val="btLr"/>
                                  <w:hideMark/>
                                </w:tcPr>
                                <w:p w14:paraId="17B7AD09" w14:textId="77777777" w:rsidR="002B6B23" w:rsidRPr="00C747FD" w:rsidRDefault="002B6B23" w:rsidP="004B2528">
                                  <w:pPr>
                                    <w:spacing w:after="0"/>
                                    <w:ind w:left="113" w:right="113"/>
                                    <w:jc w:val="left"/>
                                    <w:rPr>
                                      <w:rFonts w:ascii="Calibri" w:eastAsia="Times New Roman" w:hAnsi="Calibri" w:cs="Calibri"/>
                                      <w:color w:val="000000"/>
                                      <w:sz w:val="17"/>
                                      <w:szCs w:val="17"/>
                                      <w:lang w:eastAsia="cs-CZ"/>
                                    </w:rPr>
                                  </w:pPr>
                                  <w:r w:rsidRPr="00C747FD">
                                    <w:rPr>
                                      <w:rFonts w:ascii="Calibri" w:eastAsia="Times New Roman" w:hAnsi="Calibri" w:cs="Calibri"/>
                                      <w:color w:val="000000"/>
                                      <w:sz w:val="17"/>
                                      <w:szCs w:val="17"/>
                                      <w:lang w:eastAsia="cs-CZ"/>
                                    </w:rPr>
                                    <w:t>F – Stavebnictví</w:t>
                                  </w:r>
                                </w:p>
                              </w:tc>
                              <w:tc>
                                <w:tcPr>
                                  <w:tcW w:w="350" w:type="pct"/>
                                  <w:tcBorders>
                                    <w:top w:val="nil"/>
                                    <w:left w:val="nil"/>
                                    <w:bottom w:val="single" w:sz="4" w:space="0" w:color="auto"/>
                                    <w:right w:val="nil"/>
                                  </w:tcBorders>
                                  <w:shd w:val="clear" w:color="auto" w:fill="auto"/>
                                  <w:noWrap/>
                                  <w:textDirection w:val="btLr"/>
                                  <w:hideMark/>
                                </w:tcPr>
                                <w:p w14:paraId="7C760091" w14:textId="77777777" w:rsidR="002B6B23" w:rsidRPr="00C747FD" w:rsidRDefault="002B6B23" w:rsidP="004B2528">
                                  <w:pPr>
                                    <w:spacing w:after="0"/>
                                    <w:ind w:left="113" w:right="113"/>
                                    <w:jc w:val="left"/>
                                    <w:rPr>
                                      <w:rFonts w:ascii="Calibri" w:eastAsia="Times New Roman" w:hAnsi="Calibri" w:cs="Calibri"/>
                                      <w:color w:val="000000"/>
                                      <w:sz w:val="17"/>
                                      <w:szCs w:val="17"/>
                                      <w:lang w:eastAsia="cs-CZ"/>
                                    </w:rPr>
                                  </w:pPr>
                                  <w:r w:rsidRPr="00C747FD">
                                    <w:rPr>
                                      <w:rFonts w:ascii="Calibri" w:eastAsia="Times New Roman" w:hAnsi="Calibri" w:cs="Calibri"/>
                                      <w:color w:val="000000"/>
                                      <w:sz w:val="17"/>
                                      <w:szCs w:val="17"/>
                                      <w:lang w:eastAsia="cs-CZ"/>
                                    </w:rPr>
                                    <w:t xml:space="preserve">G – </w:t>
                                  </w:r>
                                  <w:r>
                                    <w:rPr>
                                      <w:rFonts w:ascii="Calibri" w:eastAsia="Times New Roman" w:hAnsi="Calibri" w:cs="Calibri"/>
                                      <w:color w:val="000000"/>
                                      <w:sz w:val="17"/>
                                      <w:szCs w:val="17"/>
                                      <w:lang w:eastAsia="cs-CZ"/>
                                    </w:rPr>
                                    <w:t>Obchod a údržba</w:t>
                                  </w:r>
                                </w:p>
                              </w:tc>
                              <w:tc>
                                <w:tcPr>
                                  <w:tcW w:w="350" w:type="pct"/>
                                  <w:tcBorders>
                                    <w:top w:val="nil"/>
                                    <w:left w:val="nil"/>
                                    <w:bottom w:val="single" w:sz="4" w:space="0" w:color="auto"/>
                                    <w:right w:val="nil"/>
                                  </w:tcBorders>
                                  <w:shd w:val="clear" w:color="auto" w:fill="auto"/>
                                  <w:noWrap/>
                                  <w:textDirection w:val="btLr"/>
                                  <w:hideMark/>
                                </w:tcPr>
                                <w:p w14:paraId="5600B3C2" w14:textId="77777777" w:rsidR="002B6B23" w:rsidRPr="00C747FD" w:rsidRDefault="002B6B23" w:rsidP="004B2528">
                                  <w:pPr>
                                    <w:spacing w:after="0"/>
                                    <w:ind w:left="113" w:right="113"/>
                                    <w:jc w:val="left"/>
                                    <w:rPr>
                                      <w:rFonts w:ascii="Calibri" w:eastAsia="Times New Roman" w:hAnsi="Calibri" w:cs="Calibri"/>
                                      <w:color w:val="000000"/>
                                      <w:sz w:val="17"/>
                                      <w:szCs w:val="17"/>
                                      <w:lang w:eastAsia="cs-CZ"/>
                                    </w:rPr>
                                  </w:pPr>
                                  <w:r w:rsidRPr="00C747FD">
                                    <w:rPr>
                                      <w:rFonts w:ascii="Calibri" w:eastAsia="Times New Roman" w:hAnsi="Calibri" w:cs="Calibri"/>
                                      <w:color w:val="000000"/>
                                      <w:sz w:val="17"/>
                                      <w:szCs w:val="17"/>
                                      <w:lang w:eastAsia="cs-CZ"/>
                                    </w:rPr>
                                    <w:t>H – Doprava</w:t>
                                  </w:r>
                                </w:p>
                              </w:tc>
                              <w:tc>
                                <w:tcPr>
                                  <w:tcW w:w="350" w:type="pct"/>
                                  <w:tcBorders>
                                    <w:top w:val="nil"/>
                                    <w:left w:val="nil"/>
                                    <w:bottom w:val="single" w:sz="4" w:space="0" w:color="auto"/>
                                    <w:right w:val="nil"/>
                                  </w:tcBorders>
                                  <w:shd w:val="clear" w:color="auto" w:fill="auto"/>
                                  <w:noWrap/>
                                  <w:textDirection w:val="btLr"/>
                                  <w:hideMark/>
                                </w:tcPr>
                                <w:p w14:paraId="73FD07B1" w14:textId="77777777" w:rsidR="002B6B23" w:rsidRPr="00C747FD" w:rsidRDefault="002B6B23" w:rsidP="004B2528">
                                  <w:pPr>
                                    <w:spacing w:after="0"/>
                                    <w:ind w:left="113" w:right="113"/>
                                    <w:jc w:val="left"/>
                                    <w:rPr>
                                      <w:rFonts w:ascii="Calibri" w:eastAsia="Times New Roman" w:hAnsi="Calibri" w:cs="Calibri"/>
                                      <w:color w:val="000000"/>
                                      <w:sz w:val="17"/>
                                      <w:szCs w:val="17"/>
                                      <w:lang w:eastAsia="cs-CZ"/>
                                    </w:rPr>
                                  </w:pPr>
                                  <w:r w:rsidRPr="00C747FD">
                                    <w:rPr>
                                      <w:rFonts w:ascii="Calibri" w:eastAsia="Times New Roman" w:hAnsi="Calibri" w:cs="Calibri"/>
                                      <w:color w:val="000000"/>
                                      <w:sz w:val="17"/>
                                      <w:szCs w:val="17"/>
                                      <w:lang w:eastAsia="cs-CZ"/>
                                    </w:rPr>
                                    <w:t>I – Ubytování a stravování</w:t>
                                  </w:r>
                                </w:p>
                              </w:tc>
                              <w:tc>
                                <w:tcPr>
                                  <w:tcW w:w="350" w:type="pct"/>
                                  <w:tcBorders>
                                    <w:top w:val="nil"/>
                                    <w:left w:val="nil"/>
                                    <w:bottom w:val="single" w:sz="4" w:space="0" w:color="auto"/>
                                    <w:right w:val="nil"/>
                                  </w:tcBorders>
                                  <w:shd w:val="clear" w:color="auto" w:fill="auto"/>
                                  <w:noWrap/>
                                  <w:textDirection w:val="btLr"/>
                                  <w:hideMark/>
                                </w:tcPr>
                                <w:p w14:paraId="4D1D18EC" w14:textId="77777777" w:rsidR="002B6B23" w:rsidRPr="00C747FD" w:rsidRDefault="002B6B23" w:rsidP="004B2528">
                                  <w:pPr>
                                    <w:spacing w:after="0"/>
                                    <w:ind w:left="113" w:right="113"/>
                                    <w:jc w:val="left"/>
                                    <w:rPr>
                                      <w:rFonts w:ascii="Calibri" w:eastAsia="Times New Roman" w:hAnsi="Calibri" w:cs="Calibri"/>
                                      <w:color w:val="000000"/>
                                      <w:sz w:val="17"/>
                                      <w:szCs w:val="17"/>
                                      <w:lang w:eastAsia="cs-CZ"/>
                                    </w:rPr>
                                  </w:pPr>
                                  <w:r w:rsidRPr="00C747FD">
                                    <w:rPr>
                                      <w:rFonts w:ascii="Calibri" w:eastAsia="Times New Roman" w:hAnsi="Calibri" w:cs="Calibri"/>
                                      <w:color w:val="000000"/>
                                      <w:sz w:val="17"/>
                                      <w:szCs w:val="17"/>
                                      <w:lang w:eastAsia="cs-CZ"/>
                                    </w:rPr>
                                    <w:t>J – Informační a komunikační č</w:t>
                                  </w:r>
                                  <w:r>
                                    <w:rPr>
                                      <w:rFonts w:ascii="Calibri" w:eastAsia="Times New Roman" w:hAnsi="Calibri" w:cs="Calibri"/>
                                      <w:color w:val="000000"/>
                                      <w:sz w:val="17"/>
                                      <w:szCs w:val="17"/>
                                      <w:lang w:eastAsia="cs-CZ"/>
                                    </w:rPr>
                                    <w:t>.</w:t>
                                  </w:r>
                                </w:p>
                              </w:tc>
                              <w:tc>
                                <w:tcPr>
                                  <w:tcW w:w="350" w:type="pct"/>
                                  <w:tcBorders>
                                    <w:top w:val="nil"/>
                                    <w:left w:val="nil"/>
                                    <w:bottom w:val="single" w:sz="4" w:space="0" w:color="auto"/>
                                    <w:right w:val="nil"/>
                                  </w:tcBorders>
                                  <w:shd w:val="clear" w:color="auto" w:fill="auto"/>
                                  <w:noWrap/>
                                  <w:textDirection w:val="btLr"/>
                                  <w:hideMark/>
                                </w:tcPr>
                                <w:p w14:paraId="7051E6E1" w14:textId="77777777" w:rsidR="002B6B23" w:rsidRPr="00C747FD" w:rsidRDefault="002B6B23" w:rsidP="004B2528">
                                  <w:pPr>
                                    <w:spacing w:after="0"/>
                                    <w:ind w:left="113" w:right="113"/>
                                    <w:jc w:val="left"/>
                                    <w:rPr>
                                      <w:rFonts w:ascii="Calibri" w:eastAsia="Times New Roman" w:hAnsi="Calibri" w:cs="Calibri"/>
                                      <w:color w:val="000000"/>
                                      <w:sz w:val="17"/>
                                      <w:szCs w:val="17"/>
                                      <w:lang w:eastAsia="cs-CZ"/>
                                    </w:rPr>
                                  </w:pPr>
                                  <w:r w:rsidRPr="00C747FD">
                                    <w:rPr>
                                      <w:rFonts w:ascii="Calibri" w:eastAsia="Times New Roman" w:hAnsi="Calibri" w:cs="Calibri"/>
                                      <w:color w:val="000000"/>
                                      <w:sz w:val="17"/>
                                      <w:szCs w:val="17"/>
                                      <w:lang w:eastAsia="cs-CZ"/>
                                    </w:rPr>
                                    <w:t>M – Profesní a vědecké č</w:t>
                                  </w:r>
                                  <w:r>
                                    <w:rPr>
                                      <w:rFonts w:ascii="Calibri" w:eastAsia="Times New Roman" w:hAnsi="Calibri" w:cs="Calibri"/>
                                      <w:color w:val="000000"/>
                                      <w:sz w:val="17"/>
                                      <w:szCs w:val="17"/>
                                      <w:lang w:eastAsia="cs-CZ"/>
                                    </w:rPr>
                                    <w:t>innosti</w:t>
                                  </w:r>
                                </w:p>
                              </w:tc>
                              <w:tc>
                                <w:tcPr>
                                  <w:tcW w:w="350" w:type="pct"/>
                                  <w:tcBorders>
                                    <w:top w:val="nil"/>
                                    <w:left w:val="nil"/>
                                    <w:bottom w:val="single" w:sz="4" w:space="0" w:color="auto"/>
                                    <w:right w:val="nil"/>
                                  </w:tcBorders>
                                  <w:shd w:val="clear" w:color="auto" w:fill="auto"/>
                                  <w:noWrap/>
                                  <w:textDirection w:val="btLr"/>
                                  <w:hideMark/>
                                </w:tcPr>
                                <w:p w14:paraId="11133B14" w14:textId="77777777" w:rsidR="002B6B23" w:rsidRPr="00C747FD" w:rsidRDefault="002B6B23" w:rsidP="004B2528">
                                  <w:pPr>
                                    <w:spacing w:after="0"/>
                                    <w:ind w:left="113" w:right="113"/>
                                    <w:jc w:val="left"/>
                                    <w:rPr>
                                      <w:rFonts w:ascii="Calibri" w:eastAsia="Times New Roman" w:hAnsi="Calibri" w:cs="Calibri"/>
                                      <w:color w:val="000000"/>
                                      <w:sz w:val="17"/>
                                      <w:szCs w:val="17"/>
                                      <w:lang w:eastAsia="cs-CZ"/>
                                    </w:rPr>
                                  </w:pPr>
                                  <w:r w:rsidRPr="00C747FD">
                                    <w:rPr>
                                      <w:rFonts w:ascii="Calibri" w:eastAsia="Times New Roman" w:hAnsi="Calibri" w:cs="Calibri"/>
                                      <w:color w:val="000000"/>
                                      <w:sz w:val="17"/>
                                      <w:szCs w:val="17"/>
                                      <w:lang w:eastAsia="cs-CZ"/>
                                    </w:rPr>
                                    <w:t>N – Administrativní č</w:t>
                                  </w:r>
                                  <w:r>
                                    <w:rPr>
                                      <w:rFonts w:ascii="Calibri" w:eastAsia="Times New Roman" w:hAnsi="Calibri" w:cs="Calibri"/>
                                      <w:color w:val="000000"/>
                                      <w:sz w:val="17"/>
                                      <w:szCs w:val="17"/>
                                      <w:lang w:eastAsia="cs-CZ"/>
                                    </w:rPr>
                                    <w:t>innosti</w:t>
                                  </w:r>
                                </w:p>
                              </w:tc>
                              <w:tc>
                                <w:tcPr>
                                  <w:tcW w:w="350" w:type="pct"/>
                                  <w:tcBorders>
                                    <w:top w:val="nil"/>
                                    <w:left w:val="nil"/>
                                    <w:bottom w:val="single" w:sz="4" w:space="0" w:color="auto"/>
                                    <w:right w:val="nil"/>
                                  </w:tcBorders>
                                  <w:shd w:val="clear" w:color="auto" w:fill="auto"/>
                                  <w:noWrap/>
                                  <w:textDirection w:val="btLr"/>
                                  <w:hideMark/>
                                </w:tcPr>
                                <w:p w14:paraId="29CE3320" w14:textId="77777777" w:rsidR="002B6B23" w:rsidRPr="00C747FD" w:rsidRDefault="002B6B23" w:rsidP="004B2528">
                                  <w:pPr>
                                    <w:spacing w:after="0"/>
                                    <w:ind w:left="113" w:right="113"/>
                                    <w:jc w:val="left"/>
                                    <w:rPr>
                                      <w:rFonts w:ascii="Calibri" w:eastAsia="Times New Roman" w:hAnsi="Calibri" w:cs="Calibri"/>
                                      <w:color w:val="000000"/>
                                      <w:sz w:val="17"/>
                                      <w:szCs w:val="17"/>
                                      <w:lang w:eastAsia="cs-CZ"/>
                                    </w:rPr>
                                  </w:pPr>
                                  <w:r w:rsidRPr="00C747FD">
                                    <w:rPr>
                                      <w:rFonts w:ascii="Calibri" w:eastAsia="Times New Roman" w:hAnsi="Calibri" w:cs="Calibri"/>
                                      <w:color w:val="000000"/>
                                      <w:sz w:val="17"/>
                                      <w:szCs w:val="17"/>
                                      <w:lang w:eastAsia="cs-CZ"/>
                                    </w:rPr>
                                    <w:t>Q – Zdravotní a sociální péče</w:t>
                                  </w:r>
                                </w:p>
                              </w:tc>
                              <w:tc>
                                <w:tcPr>
                                  <w:tcW w:w="350" w:type="pct"/>
                                  <w:tcBorders>
                                    <w:top w:val="nil"/>
                                    <w:left w:val="nil"/>
                                    <w:bottom w:val="single" w:sz="4" w:space="0" w:color="auto"/>
                                    <w:right w:val="single" w:sz="4" w:space="0" w:color="auto"/>
                                  </w:tcBorders>
                                  <w:shd w:val="clear" w:color="auto" w:fill="auto"/>
                                  <w:noWrap/>
                                  <w:textDirection w:val="btLr"/>
                                  <w:hideMark/>
                                </w:tcPr>
                                <w:p w14:paraId="668C29B1" w14:textId="77777777" w:rsidR="002B6B23" w:rsidRPr="00C747FD" w:rsidRDefault="002B6B23" w:rsidP="004B2528">
                                  <w:pPr>
                                    <w:spacing w:after="0"/>
                                    <w:ind w:left="113" w:right="113"/>
                                    <w:jc w:val="left"/>
                                    <w:rPr>
                                      <w:rFonts w:ascii="Calibri" w:eastAsia="Times New Roman" w:hAnsi="Calibri" w:cs="Calibri"/>
                                      <w:color w:val="000000"/>
                                      <w:sz w:val="17"/>
                                      <w:szCs w:val="17"/>
                                      <w:lang w:eastAsia="cs-CZ"/>
                                    </w:rPr>
                                  </w:pPr>
                                  <w:r w:rsidRPr="00C747FD">
                                    <w:rPr>
                                      <w:rFonts w:ascii="Calibri" w:eastAsia="Times New Roman" w:hAnsi="Calibri" w:cs="Calibri"/>
                                      <w:color w:val="000000"/>
                                      <w:sz w:val="17"/>
                                      <w:szCs w:val="17"/>
                                      <w:lang w:eastAsia="cs-CZ"/>
                                    </w:rPr>
                                    <w:t>R – Kultura, zábava a rekreace</w:t>
                                  </w:r>
                                </w:p>
                              </w:tc>
                            </w:tr>
                            <w:tr w:rsidR="002B6B23" w:rsidRPr="004B2528" w14:paraId="66213D77" w14:textId="77777777" w:rsidTr="004B2528">
                              <w:trPr>
                                <w:trHeight w:val="80"/>
                              </w:trPr>
                              <w:tc>
                                <w:tcPr>
                                  <w:tcW w:w="446" w:type="pct"/>
                                  <w:tcBorders>
                                    <w:top w:val="nil"/>
                                    <w:left w:val="nil"/>
                                    <w:bottom w:val="nil"/>
                                    <w:right w:val="single" w:sz="4" w:space="0" w:color="auto"/>
                                  </w:tcBorders>
                                  <w:shd w:val="clear" w:color="auto" w:fill="auto"/>
                                  <w:noWrap/>
                                  <w:vAlign w:val="bottom"/>
                                  <w:hideMark/>
                                </w:tcPr>
                                <w:p w14:paraId="6653035A" w14:textId="77777777" w:rsidR="002B6B23" w:rsidRPr="004B2528" w:rsidRDefault="002B6B23" w:rsidP="004B2528">
                                  <w:pPr>
                                    <w:spacing w:after="0"/>
                                    <w:jc w:val="left"/>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ČR</w:t>
                                  </w:r>
                                </w:p>
                              </w:tc>
                              <w:tc>
                                <w:tcPr>
                                  <w:tcW w:w="350" w:type="pct"/>
                                  <w:tcBorders>
                                    <w:top w:val="nil"/>
                                    <w:left w:val="nil"/>
                                    <w:bottom w:val="nil"/>
                                    <w:right w:val="nil"/>
                                  </w:tcBorders>
                                  <w:shd w:val="clear" w:color="000000" w:fill="FCE5E8"/>
                                  <w:noWrap/>
                                  <w:vAlign w:val="bottom"/>
                                  <w:hideMark/>
                                </w:tcPr>
                                <w:p w14:paraId="19B47A6D"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27</w:t>
                                  </w:r>
                                </w:p>
                              </w:tc>
                              <w:tc>
                                <w:tcPr>
                                  <w:tcW w:w="350" w:type="pct"/>
                                  <w:tcBorders>
                                    <w:top w:val="nil"/>
                                    <w:left w:val="nil"/>
                                    <w:bottom w:val="nil"/>
                                    <w:right w:val="nil"/>
                                  </w:tcBorders>
                                  <w:shd w:val="clear" w:color="000000" w:fill="FDCBCC"/>
                                  <w:noWrap/>
                                  <w:vAlign w:val="bottom"/>
                                  <w:hideMark/>
                                </w:tcPr>
                                <w:p w14:paraId="3BC95C33"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44</w:t>
                                  </w:r>
                                </w:p>
                              </w:tc>
                              <w:tc>
                                <w:tcPr>
                                  <w:tcW w:w="350" w:type="pct"/>
                                  <w:tcBorders>
                                    <w:top w:val="nil"/>
                                    <w:left w:val="nil"/>
                                    <w:bottom w:val="nil"/>
                                    <w:right w:val="nil"/>
                                  </w:tcBorders>
                                  <w:shd w:val="clear" w:color="000000" w:fill="FCD7D9"/>
                                  <w:noWrap/>
                                  <w:vAlign w:val="bottom"/>
                                  <w:hideMark/>
                                </w:tcPr>
                                <w:p w14:paraId="36E2D7A3"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36</w:t>
                                  </w:r>
                                </w:p>
                              </w:tc>
                              <w:tc>
                                <w:tcPr>
                                  <w:tcW w:w="350" w:type="pct"/>
                                  <w:tcBorders>
                                    <w:top w:val="nil"/>
                                    <w:left w:val="nil"/>
                                    <w:bottom w:val="nil"/>
                                    <w:right w:val="nil"/>
                                  </w:tcBorders>
                                  <w:shd w:val="clear" w:color="000000" w:fill="FDD1D3"/>
                                  <w:noWrap/>
                                  <w:vAlign w:val="bottom"/>
                                  <w:hideMark/>
                                </w:tcPr>
                                <w:p w14:paraId="37774A27"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40</w:t>
                                  </w:r>
                                </w:p>
                              </w:tc>
                              <w:tc>
                                <w:tcPr>
                                  <w:tcW w:w="350" w:type="pct"/>
                                  <w:tcBorders>
                                    <w:top w:val="nil"/>
                                    <w:left w:val="nil"/>
                                    <w:bottom w:val="nil"/>
                                    <w:right w:val="nil"/>
                                  </w:tcBorders>
                                  <w:shd w:val="clear" w:color="000000" w:fill="FCE1E3"/>
                                  <w:noWrap/>
                                  <w:vAlign w:val="bottom"/>
                                  <w:hideMark/>
                                </w:tcPr>
                                <w:p w14:paraId="76648E02"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30</w:t>
                                  </w:r>
                                </w:p>
                              </w:tc>
                              <w:tc>
                                <w:tcPr>
                                  <w:tcW w:w="350" w:type="pct"/>
                                  <w:tcBorders>
                                    <w:top w:val="nil"/>
                                    <w:left w:val="nil"/>
                                    <w:bottom w:val="nil"/>
                                    <w:right w:val="nil"/>
                                  </w:tcBorders>
                                  <w:shd w:val="clear" w:color="000000" w:fill="FCDDDF"/>
                                  <w:noWrap/>
                                  <w:vAlign w:val="bottom"/>
                                  <w:hideMark/>
                                </w:tcPr>
                                <w:p w14:paraId="0AA8ECC0"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33</w:t>
                                  </w:r>
                                </w:p>
                              </w:tc>
                              <w:tc>
                                <w:tcPr>
                                  <w:tcW w:w="350" w:type="pct"/>
                                  <w:tcBorders>
                                    <w:top w:val="nil"/>
                                    <w:left w:val="nil"/>
                                    <w:bottom w:val="nil"/>
                                    <w:right w:val="nil"/>
                                  </w:tcBorders>
                                  <w:shd w:val="clear" w:color="000000" w:fill="FDD6D8"/>
                                  <w:noWrap/>
                                  <w:vAlign w:val="bottom"/>
                                  <w:hideMark/>
                                </w:tcPr>
                                <w:p w14:paraId="0D8F2558"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37</w:t>
                                  </w:r>
                                </w:p>
                              </w:tc>
                              <w:tc>
                                <w:tcPr>
                                  <w:tcW w:w="350" w:type="pct"/>
                                  <w:tcBorders>
                                    <w:top w:val="nil"/>
                                    <w:left w:val="nil"/>
                                    <w:bottom w:val="nil"/>
                                    <w:right w:val="nil"/>
                                  </w:tcBorders>
                                  <w:shd w:val="clear" w:color="000000" w:fill="FCF8FB"/>
                                  <w:noWrap/>
                                  <w:vAlign w:val="bottom"/>
                                  <w:hideMark/>
                                </w:tcPr>
                                <w:p w14:paraId="47985F29"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15</w:t>
                                  </w:r>
                                </w:p>
                              </w:tc>
                              <w:tc>
                                <w:tcPr>
                                  <w:tcW w:w="350" w:type="pct"/>
                                  <w:tcBorders>
                                    <w:top w:val="nil"/>
                                    <w:left w:val="nil"/>
                                    <w:bottom w:val="nil"/>
                                    <w:right w:val="nil"/>
                                  </w:tcBorders>
                                  <w:shd w:val="clear" w:color="000000" w:fill="FF8989"/>
                                  <w:noWrap/>
                                  <w:vAlign w:val="bottom"/>
                                  <w:hideMark/>
                                </w:tcPr>
                                <w:p w14:paraId="3B877898"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86</w:t>
                                  </w:r>
                                </w:p>
                              </w:tc>
                              <w:tc>
                                <w:tcPr>
                                  <w:tcW w:w="350" w:type="pct"/>
                                  <w:tcBorders>
                                    <w:top w:val="nil"/>
                                    <w:left w:val="nil"/>
                                    <w:bottom w:val="nil"/>
                                    <w:right w:val="nil"/>
                                  </w:tcBorders>
                                  <w:shd w:val="clear" w:color="000000" w:fill="FDD4D6"/>
                                  <w:noWrap/>
                                  <w:vAlign w:val="bottom"/>
                                  <w:hideMark/>
                                </w:tcPr>
                                <w:p w14:paraId="572A2ABF"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38</w:t>
                                  </w:r>
                                </w:p>
                              </w:tc>
                              <w:tc>
                                <w:tcPr>
                                  <w:tcW w:w="350" w:type="pct"/>
                                  <w:tcBorders>
                                    <w:top w:val="nil"/>
                                    <w:left w:val="nil"/>
                                    <w:bottom w:val="nil"/>
                                    <w:right w:val="nil"/>
                                  </w:tcBorders>
                                  <w:shd w:val="clear" w:color="000000" w:fill="FCE6E8"/>
                                  <w:noWrap/>
                                  <w:vAlign w:val="bottom"/>
                                  <w:hideMark/>
                                </w:tcPr>
                                <w:p w14:paraId="07B6BED3"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27</w:t>
                                  </w:r>
                                </w:p>
                              </w:tc>
                              <w:tc>
                                <w:tcPr>
                                  <w:tcW w:w="350" w:type="pct"/>
                                  <w:tcBorders>
                                    <w:top w:val="nil"/>
                                    <w:left w:val="nil"/>
                                    <w:bottom w:val="nil"/>
                                    <w:right w:val="nil"/>
                                  </w:tcBorders>
                                  <w:shd w:val="clear" w:color="000000" w:fill="FCDCDE"/>
                                  <w:noWrap/>
                                  <w:vAlign w:val="bottom"/>
                                  <w:hideMark/>
                                </w:tcPr>
                                <w:p w14:paraId="08C36B8A"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33</w:t>
                                  </w:r>
                                </w:p>
                              </w:tc>
                              <w:tc>
                                <w:tcPr>
                                  <w:tcW w:w="350" w:type="pct"/>
                                  <w:tcBorders>
                                    <w:top w:val="nil"/>
                                    <w:left w:val="nil"/>
                                    <w:bottom w:val="nil"/>
                                    <w:right w:val="single" w:sz="4" w:space="0" w:color="auto"/>
                                  </w:tcBorders>
                                  <w:shd w:val="clear" w:color="000000" w:fill="FCE5E8"/>
                                  <w:noWrap/>
                                  <w:vAlign w:val="bottom"/>
                                  <w:hideMark/>
                                </w:tcPr>
                                <w:p w14:paraId="4C013A2A"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27</w:t>
                                  </w:r>
                                </w:p>
                              </w:tc>
                            </w:tr>
                            <w:tr w:rsidR="002B6B23" w:rsidRPr="004B2528" w14:paraId="794C2EBB" w14:textId="77777777" w:rsidTr="004B2528">
                              <w:trPr>
                                <w:trHeight w:val="165"/>
                              </w:trPr>
                              <w:tc>
                                <w:tcPr>
                                  <w:tcW w:w="446" w:type="pct"/>
                                  <w:tcBorders>
                                    <w:top w:val="nil"/>
                                    <w:left w:val="nil"/>
                                    <w:bottom w:val="nil"/>
                                    <w:right w:val="single" w:sz="4" w:space="0" w:color="auto"/>
                                  </w:tcBorders>
                                  <w:shd w:val="clear" w:color="auto" w:fill="auto"/>
                                  <w:noWrap/>
                                  <w:vAlign w:val="bottom"/>
                                  <w:hideMark/>
                                </w:tcPr>
                                <w:p w14:paraId="243FE0C3" w14:textId="77777777" w:rsidR="002B6B23" w:rsidRPr="004B2528" w:rsidRDefault="002B6B23" w:rsidP="004B2528">
                                  <w:pPr>
                                    <w:spacing w:after="0"/>
                                    <w:jc w:val="left"/>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Slovinsko</w:t>
                                  </w:r>
                                </w:p>
                              </w:tc>
                              <w:tc>
                                <w:tcPr>
                                  <w:tcW w:w="350" w:type="pct"/>
                                  <w:tcBorders>
                                    <w:top w:val="nil"/>
                                    <w:left w:val="nil"/>
                                    <w:bottom w:val="nil"/>
                                    <w:right w:val="nil"/>
                                  </w:tcBorders>
                                  <w:shd w:val="clear" w:color="000000" w:fill="FCFCFF"/>
                                  <w:noWrap/>
                                  <w:vAlign w:val="bottom"/>
                                  <w:hideMark/>
                                </w:tcPr>
                                <w:p w14:paraId="419E6D36"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13</w:t>
                                  </w:r>
                                </w:p>
                              </w:tc>
                              <w:tc>
                                <w:tcPr>
                                  <w:tcW w:w="350" w:type="pct"/>
                                  <w:tcBorders>
                                    <w:top w:val="nil"/>
                                    <w:left w:val="nil"/>
                                    <w:bottom w:val="nil"/>
                                    <w:right w:val="nil"/>
                                  </w:tcBorders>
                                  <w:shd w:val="clear" w:color="000000" w:fill="FDC0C1"/>
                                  <w:noWrap/>
                                  <w:vAlign w:val="bottom"/>
                                  <w:hideMark/>
                                </w:tcPr>
                                <w:p w14:paraId="75D07852"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51</w:t>
                                  </w:r>
                                </w:p>
                              </w:tc>
                              <w:tc>
                                <w:tcPr>
                                  <w:tcW w:w="350" w:type="pct"/>
                                  <w:tcBorders>
                                    <w:top w:val="nil"/>
                                    <w:left w:val="nil"/>
                                    <w:bottom w:val="nil"/>
                                    <w:right w:val="nil"/>
                                  </w:tcBorders>
                                  <w:shd w:val="clear" w:color="000000" w:fill="FDC5C7"/>
                                  <w:noWrap/>
                                  <w:vAlign w:val="bottom"/>
                                  <w:hideMark/>
                                </w:tcPr>
                                <w:p w14:paraId="59A4DB79"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48</w:t>
                                  </w:r>
                                </w:p>
                              </w:tc>
                              <w:tc>
                                <w:tcPr>
                                  <w:tcW w:w="350" w:type="pct"/>
                                  <w:tcBorders>
                                    <w:top w:val="nil"/>
                                    <w:left w:val="nil"/>
                                    <w:bottom w:val="nil"/>
                                    <w:right w:val="nil"/>
                                  </w:tcBorders>
                                  <w:shd w:val="clear" w:color="000000" w:fill="FDCFD1"/>
                                  <w:noWrap/>
                                  <w:vAlign w:val="bottom"/>
                                  <w:hideMark/>
                                </w:tcPr>
                                <w:p w14:paraId="24848A33"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41</w:t>
                                  </w:r>
                                </w:p>
                              </w:tc>
                              <w:tc>
                                <w:tcPr>
                                  <w:tcW w:w="350" w:type="pct"/>
                                  <w:tcBorders>
                                    <w:top w:val="nil"/>
                                    <w:left w:val="nil"/>
                                    <w:bottom w:val="nil"/>
                                    <w:right w:val="nil"/>
                                  </w:tcBorders>
                                  <w:shd w:val="clear" w:color="000000" w:fill="FCD8DA"/>
                                  <w:noWrap/>
                                  <w:vAlign w:val="bottom"/>
                                  <w:hideMark/>
                                </w:tcPr>
                                <w:p w14:paraId="0BB686D2"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36</w:t>
                                  </w:r>
                                </w:p>
                              </w:tc>
                              <w:tc>
                                <w:tcPr>
                                  <w:tcW w:w="350" w:type="pct"/>
                                  <w:tcBorders>
                                    <w:top w:val="nil"/>
                                    <w:left w:val="nil"/>
                                    <w:bottom w:val="nil"/>
                                    <w:right w:val="nil"/>
                                  </w:tcBorders>
                                  <w:shd w:val="clear" w:color="000000" w:fill="FDCACB"/>
                                  <w:noWrap/>
                                  <w:vAlign w:val="bottom"/>
                                  <w:hideMark/>
                                </w:tcPr>
                                <w:p w14:paraId="745ED3EB"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45</w:t>
                                  </w:r>
                                </w:p>
                              </w:tc>
                              <w:tc>
                                <w:tcPr>
                                  <w:tcW w:w="350" w:type="pct"/>
                                  <w:tcBorders>
                                    <w:top w:val="nil"/>
                                    <w:left w:val="nil"/>
                                    <w:bottom w:val="nil"/>
                                    <w:right w:val="nil"/>
                                  </w:tcBorders>
                                  <w:shd w:val="clear" w:color="000000" w:fill="FDC5C7"/>
                                  <w:noWrap/>
                                  <w:vAlign w:val="bottom"/>
                                  <w:hideMark/>
                                </w:tcPr>
                                <w:p w14:paraId="74F4CFF6"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48</w:t>
                                  </w:r>
                                </w:p>
                              </w:tc>
                              <w:tc>
                                <w:tcPr>
                                  <w:tcW w:w="350" w:type="pct"/>
                                  <w:tcBorders>
                                    <w:top w:val="nil"/>
                                    <w:left w:val="nil"/>
                                    <w:bottom w:val="nil"/>
                                    <w:right w:val="nil"/>
                                  </w:tcBorders>
                                  <w:shd w:val="clear" w:color="000000" w:fill="FCF1F3"/>
                                  <w:noWrap/>
                                  <w:vAlign w:val="bottom"/>
                                  <w:hideMark/>
                                </w:tcPr>
                                <w:p w14:paraId="6EDAF84A"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20</w:t>
                                  </w:r>
                                </w:p>
                              </w:tc>
                              <w:tc>
                                <w:tcPr>
                                  <w:tcW w:w="350" w:type="pct"/>
                                  <w:tcBorders>
                                    <w:top w:val="nil"/>
                                    <w:left w:val="nil"/>
                                    <w:bottom w:val="nil"/>
                                    <w:right w:val="nil"/>
                                  </w:tcBorders>
                                  <w:shd w:val="clear" w:color="000000" w:fill="FDB5B6"/>
                                  <w:noWrap/>
                                  <w:vAlign w:val="bottom"/>
                                  <w:hideMark/>
                                </w:tcPr>
                                <w:p w14:paraId="61742CB0"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58</w:t>
                                  </w:r>
                                </w:p>
                              </w:tc>
                              <w:tc>
                                <w:tcPr>
                                  <w:tcW w:w="350" w:type="pct"/>
                                  <w:tcBorders>
                                    <w:top w:val="nil"/>
                                    <w:left w:val="nil"/>
                                    <w:bottom w:val="nil"/>
                                    <w:right w:val="nil"/>
                                  </w:tcBorders>
                                  <w:shd w:val="clear" w:color="000000" w:fill="FDD3D5"/>
                                  <w:noWrap/>
                                  <w:vAlign w:val="bottom"/>
                                  <w:hideMark/>
                                </w:tcPr>
                                <w:p w14:paraId="40E334E1"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39</w:t>
                                  </w:r>
                                </w:p>
                              </w:tc>
                              <w:tc>
                                <w:tcPr>
                                  <w:tcW w:w="350" w:type="pct"/>
                                  <w:tcBorders>
                                    <w:top w:val="nil"/>
                                    <w:left w:val="nil"/>
                                    <w:bottom w:val="nil"/>
                                    <w:right w:val="nil"/>
                                  </w:tcBorders>
                                  <w:shd w:val="clear" w:color="000000" w:fill="FCE9EB"/>
                                  <w:noWrap/>
                                  <w:vAlign w:val="bottom"/>
                                  <w:hideMark/>
                                </w:tcPr>
                                <w:p w14:paraId="67706684"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25</w:t>
                                  </w:r>
                                </w:p>
                              </w:tc>
                              <w:tc>
                                <w:tcPr>
                                  <w:tcW w:w="350" w:type="pct"/>
                                  <w:tcBorders>
                                    <w:top w:val="nil"/>
                                    <w:left w:val="nil"/>
                                    <w:bottom w:val="nil"/>
                                    <w:right w:val="nil"/>
                                  </w:tcBorders>
                                  <w:shd w:val="clear" w:color="000000" w:fill="FDD2D4"/>
                                  <w:noWrap/>
                                  <w:vAlign w:val="bottom"/>
                                  <w:hideMark/>
                                </w:tcPr>
                                <w:p w14:paraId="5E19BA6E"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39</w:t>
                                  </w:r>
                                </w:p>
                              </w:tc>
                              <w:tc>
                                <w:tcPr>
                                  <w:tcW w:w="350" w:type="pct"/>
                                  <w:tcBorders>
                                    <w:top w:val="nil"/>
                                    <w:left w:val="nil"/>
                                    <w:bottom w:val="nil"/>
                                    <w:right w:val="single" w:sz="4" w:space="0" w:color="auto"/>
                                  </w:tcBorders>
                                  <w:shd w:val="clear" w:color="000000" w:fill="FCE7EA"/>
                                  <w:noWrap/>
                                  <w:vAlign w:val="bottom"/>
                                  <w:hideMark/>
                                </w:tcPr>
                                <w:p w14:paraId="1C11FE0E"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26</w:t>
                                  </w:r>
                                </w:p>
                              </w:tc>
                            </w:tr>
                            <w:tr w:rsidR="002B6B23" w:rsidRPr="004B2528" w14:paraId="7B43784E" w14:textId="77777777" w:rsidTr="004B2528">
                              <w:trPr>
                                <w:trHeight w:val="81"/>
                              </w:trPr>
                              <w:tc>
                                <w:tcPr>
                                  <w:tcW w:w="446" w:type="pct"/>
                                  <w:tcBorders>
                                    <w:top w:val="nil"/>
                                    <w:left w:val="nil"/>
                                    <w:bottom w:val="nil"/>
                                    <w:right w:val="single" w:sz="4" w:space="0" w:color="auto"/>
                                  </w:tcBorders>
                                  <w:shd w:val="clear" w:color="auto" w:fill="auto"/>
                                  <w:noWrap/>
                                  <w:vAlign w:val="bottom"/>
                                  <w:hideMark/>
                                </w:tcPr>
                                <w:p w14:paraId="7AA9BF5B" w14:textId="77777777" w:rsidR="002B6B23" w:rsidRPr="004B2528" w:rsidRDefault="002B6B23" w:rsidP="004B2528">
                                  <w:pPr>
                                    <w:spacing w:after="0"/>
                                    <w:jc w:val="left"/>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Visegr</w:t>
                                  </w:r>
                                  <w:r>
                                    <w:rPr>
                                      <w:rFonts w:ascii="Calibri" w:eastAsia="Times New Roman" w:hAnsi="Calibri" w:cs="Calibri"/>
                                      <w:color w:val="000000"/>
                                      <w:sz w:val="18"/>
                                      <w:szCs w:val="18"/>
                                      <w:lang w:eastAsia="cs-CZ"/>
                                    </w:rPr>
                                    <w:t>á</w:t>
                                  </w:r>
                                  <w:r w:rsidRPr="004B2528">
                                    <w:rPr>
                                      <w:rFonts w:ascii="Calibri" w:eastAsia="Times New Roman" w:hAnsi="Calibri" w:cs="Calibri"/>
                                      <w:color w:val="000000"/>
                                      <w:sz w:val="18"/>
                                      <w:szCs w:val="18"/>
                                      <w:lang w:eastAsia="cs-CZ"/>
                                    </w:rPr>
                                    <w:t>d</w:t>
                                  </w:r>
                                </w:p>
                              </w:tc>
                              <w:tc>
                                <w:tcPr>
                                  <w:tcW w:w="350" w:type="pct"/>
                                  <w:tcBorders>
                                    <w:top w:val="nil"/>
                                    <w:left w:val="nil"/>
                                    <w:bottom w:val="nil"/>
                                    <w:right w:val="nil"/>
                                  </w:tcBorders>
                                  <w:shd w:val="clear" w:color="000000" w:fill="FCFCFF"/>
                                  <w:noWrap/>
                                  <w:vAlign w:val="bottom"/>
                                  <w:hideMark/>
                                </w:tcPr>
                                <w:p w14:paraId="5D1EF6F9"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13</w:t>
                                  </w:r>
                                </w:p>
                              </w:tc>
                              <w:tc>
                                <w:tcPr>
                                  <w:tcW w:w="350" w:type="pct"/>
                                  <w:tcBorders>
                                    <w:top w:val="nil"/>
                                    <w:left w:val="nil"/>
                                    <w:bottom w:val="nil"/>
                                    <w:right w:val="nil"/>
                                  </w:tcBorders>
                                  <w:shd w:val="clear" w:color="000000" w:fill="FDCCCD"/>
                                  <w:noWrap/>
                                  <w:vAlign w:val="bottom"/>
                                  <w:hideMark/>
                                </w:tcPr>
                                <w:p w14:paraId="07F5A479"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44</w:t>
                                  </w:r>
                                </w:p>
                              </w:tc>
                              <w:tc>
                                <w:tcPr>
                                  <w:tcW w:w="350" w:type="pct"/>
                                  <w:tcBorders>
                                    <w:top w:val="nil"/>
                                    <w:left w:val="nil"/>
                                    <w:bottom w:val="nil"/>
                                    <w:right w:val="nil"/>
                                  </w:tcBorders>
                                  <w:shd w:val="clear" w:color="000000" w:fill="FCDDDF"/>
                                  <w:noWrap/>
                                  <w:vAlign w:val="bottom"/>
                                  <w:hideMark/>
                                </w:tcPr>
                                <w:p w14:paraId="75B36CA7"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33</w:t>
                                  </w:r>
                                </w:p>
                              </w:tc>
                              <w:tc>
                                <w:tcPr>
                                  <w:tcW w:w="350" w:type="pct"/>
                                  <w:tcBorders>
                                    <w:top w:val="nil"/>
                                    <w:left w:val="nil"/>
                                    <w:bottom w:val="nil"/>
                                    <w:right w:val="nil"/>
                                  </w:tcBorders>
                                  <w:shd w:val="clear" w:color="000000" w:fill="FDD6D8"/>
                                  <w:noWrap/>
                                  <w:vAlign w:val="bottom"/>
                                  <w:hideMark/>
                                </w:tcPr>
                                <w:p w14:paraId="7F5C336E"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37</w:t>
                                  </w:r>
                                </w:p>
                              </w:tc>
                              <w:tc>
                                <w:tcPr>
                                  <w:tcW w:w="350" w:type="pct"/>
                                  <w:tcBorders>
                                    <w:top w:val="nil"/>
                                    <w:left w:val="nil"/>
                                    <w:bottom w:val="nil"/>
                                    <w:right w:val="nil"/>
                                  </w:tcBorders>
                                  <w:shd w:val="clear" w:color="000000" w:fill="FCE8EB"/>
                                  <w:noWrap/>
                                  <w:vAlign w:val="bottom"/>
                                  <w:hideMark/>
                                </w:tcPr>
                                <w:p w14:paraId="0F2E1167"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26</w:t>
                                  </w:r>
                                </w:p>
                              </w:tc>
                              <w:tc>
                                <w:tcPr>
                                  <w:tcW w:w="350" w:type="pct"/>
                                  <w:tcBorders>
                                    <w:top w:val="nil"/>
                                    <w:left w:val="nil"/>
                                    <w:bottom w:val="nil"/>
                                    <w:right w:val="nil"/>
                                  </w:tcBorders>
                                  <w:shd w:val="clear" w:color="000000" w:fill="FCDEE1"/>
                                  <w:noWrap/>
                                  <w:vAlign w:val="bottom"/>
                                  <w:hideMark/>
                                </w:tcPr>
                                <w:p w14:paraId="755E5B6E"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32</w:t>
                                  </w:r>
                                </w:p>
                              </w:tc>
                              <w:tc>
                                <w:tcPr>
                                  <w:tcW w:w="350" w:type="pct"/>
                                  <w:tcBorders>
                                    <w:top w:val="nil"/>
                                    <w:left w:val="nil"/>
                                    <w:bottom w:val="nil"/>
                                    <w:right w:val="nil"/>
                                  </w:tcBorders>
                                  <w:shd w:val="clear" w:color="000000" w:fill="FCE1E3"/>
                                  <w:noWrap/>
                                  <w:vAlign w:val="bottom"/>
                                  <w:hideMark/>
                                </w:tcPr>
                                <w:p w14:paraId="3FE681F3"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30</w:t>
                                  </w:r>
                                </w:p>
                              </w:tc>
                              <w:tc>
                                <w:tcPr>
                                  <w:tcW w:w="350" w:type="pct"/>
                                  <w:tcBorders>
                                    <w:top w:val="nil"/>
                                    <w:left w:val="nil"/>
                                    <w:bottom w:val="nil"/>
                                    <w:right w:val="nil"/>
                                  </w:tcBorders>
                                  <w:shd w:val="clear" w:color="000000" w:fill="FCF8FB"/>
                                  <w:noWrap/>
                                  <w:vAlign w:val="bottom"/>
                                  <w:hideMark/>
                                </w:tcPr>
                                <w:p w14:paraId="09140BD7"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15</w:t>
                                  </w:r>
                                </w:p>
                              </w:tc>
                              <w:tc>
                                <w:tcPr>
                                  <w:tcW w:w="350" w:type="pct"/>
                                  <w:tcBorders>
                                    <w:top w:val="nil"/>
                                    <w:left w:val="nil"/>
                                    <w:bottom w:val="nil"/>
                                    <w:right w:val="nil"/>
                                  </w:tcBorders>
                                  <w:shd w:val="clear" w:color="000000" w:fill="FDB9BB"/>
                                  <w:noWrap/>
                                  <w:vAlign w:val="bottom"/>
                                  <w:hideMark/>
                                </w:tcPr>
                                <w:p w14:paraId="6116F24C"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55</w:t>
                                  </w:r>
                                </w:p>
                              </w:tc>
                              <w:tc>
                                <w:tcPr>
                                  <w:tcW w:w="350" w:type="pct"/>
                                  <w:tcBorders>
                                    <w:top w:val="nil"/>
                                    <w:left w:val="nil"/>
                                    <w:bottom w:val="nil"/>
                                    <w:right w:val="nil"/>
                                  </w:tcBorders>
                                  <w:shd w:val="clear" w:color="000000" w:fill="FDD5D7"/>
                                  <w:noWrap/>
                                  <w:vAlign w:val="bottom"/>
                                  <w:hideMark/>
                                </w:tcPr>
                                <w:p w14:paraId="485A3A7B"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37</w:t>
                                  </w:r>
                                </w:p>
                              </w:tc>
                              <w:tc>
                                <w:tcPr>
                                  <w:tcW w:w="350" w:type="pct"/>
                                  <w:tcBorders>
                                    <w:top w:val="nil"/>
                                    <w:left w:val="nil"/>
                                    <w:bottom w:val="nil"/>
                                    <w:right w:val="nil"/>
                                  </w:tcBorders>
                                  <w:shd w:val="clear" w:color="000000" w:fill="FCE5E7"/>
                                  <w:noWrap/>
                                  <w:vAlign w:val="bottom"/>
                                  <w:hideMark/>
                                </w:tcPr>
                                <w:p w14:paraId="4882579A"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28</w:t>
                                  </w:r>
                                </w:p>
                              </w:tc>
                              <w:tc>
                                <w:tcPr>
                                  <w:tcW w:w="350" w:type="pct"/>
                                  <w:tcBorders>
                                    <w:top w:val="nil"/>
                                    <w:left w:val="nil"/>
                                    <w:bottom w:val="nil"/>
                                    <w:right w:val="nil"/>
                                  </w:tcBorders>
                                  <w:shd w:val="clear" w:color="000000" w:fill="FCE6E9"/>
                                  <w:noWrap/>
                                  <w:vAlign w:val="bottom"/>
                                  <w:hideMark/>
                                </w:tcPr>
                                <w:p w14:paraId="4B677D65"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27</w:t>
                                  </w:r>
                                </w:p>
                              </w:tc>
                              <w:tc>
                                <w:tcPr>
                                  <w:tcW w:w="350" w:type="pct"/>
                                  <w:tcBorders>
                                    <w:top w:val="nil"/>
                                    <w:left w:val="nil"/>
                                    <w:bottom w:val="nil"/>
                                    <w:right w:val="single" w:sz="4" w:space="0" w:color="auto"/>
                                  </w:tcBorders>
                                  <w:shd w:val="clear" w:color="000000" w:fill="FCEDF0"/>
                                  <w:noWrap/>
                                  <w:vAlign w:val="bottom"/>
                                  <w:hideMark/>
                                </w:tcPr>
                                <w:p w14:paraId="5C426C59"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22</w:t>
                                  </w:r>
                                </w:p>
                              </w:tc>
                            </w:tr>
                          </w:tbl>
                          <w:p w14:paraId="666B50B4" w14:textId="3AEAB2B6" w:rsidR="002B6B23" w:rsidRDefault="002B6B23" w:rsidP="002B6B23">
                            <w:pPr>
                              <w:widowControl w:val="0"/>
                              <w:pBdr>
                                <w:top w:val="single" w:sz="4" w:space="0" w:color="auto"/>
                              </w:pBdr>
                              <w:spacing w:after="0"/>
                              <w:rPr>
                                <w:kern w:val="2"/>
                                <w:sz w:val="14"/>
                                <w:szCs w:val="16"/>
                              </w:rPr>
                            </w:pPr>
                            <w:r w:rsidRPr="007B5A7A">
                              <w:rPr>
                                <w:kern w:val="2"/>
                                <w:sz w:val="14"/>
                                <w:szCs w:val="16"/>
                              </w:rPr>
                              <w:t>Pramen: data</w:t>
                            </w:r>
                            <w:r>
                              <w:rPr>
                                <w:kern w:val="2"/>
                                <w:sz w:val="14"/>
                                <w:szCs w:val="16"/>
                              </w:rPr>
                              <w:t xml:space="preserve"> Eurostat </w:t>
                            </w:r>
                            <w:r w:rsidR="007C73F5">
                              <w:rPr>
                                <w:kern w:val="2"/>
                                <w:sz w:val="14"/>
                                <w:szCs w:val="16"/>
                              </w:rPr>
                              <w:t>(</w:t>
                            </w:r>
                            <w:r>
                              <w:rPr>
                                <w:kern w:val="2"/>
                                <w:sz w:val="14"/>
                                <w:szCs w:val="16"/>
                              </w:rPr>
                              <w:t>za rok 2021</w:t>
                            </w:r>
                            <w:r w:rsidR="007C73F5">
                              <w:rPr>
                                <w:kern w:val="2"/>
                                <w:sz w:val="14"/>
                                <w:szCs w:val="16"/>
                              </w:rPr>
                              <w:t>)</w:t>
                            </w:r>
                            <w:r>
                              <w:rPr>
                                <w:kern w:val="2"/>
                                <w:sz w:val="14"/>
                                <w:szCs w:val="16"/>
                              </w:rPr>
                              <w:t>, tabulka MPO</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63D19697" id="Textové pole 108" o:spid="_x0000_s1051" type="#_x0000_t202" style="position:absolute;left:0;text-align:left;margin-left:190.85pt;margin-top:246.3pt;width:242.05pt;height:199.05pt;z-index:251826176;visibility:visible;mso-wrap-style:square;mso-width-percent:0;mso-height-percent:0;mso-wrap-distance-left:9pt;mso-wrap-distance-top:11.9pt;mso-wrap-distance-right:9pt;mso-wrap-distance-bottom:11.9pt;mso-position-horizontal:right;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" filled="f" stroked="f">
                <v:textbox inset="0,0,0,0">
                  <w:txbxContent>
                    <w:p w14:paraId="298F96CB" w14:textId="77777777" w:rsidR="002B6B23" w:rsidRPr="00C747FD" w:rsidRDefault="002B6B23" w:rsidP="00301991">
                      <w:pPr>
                        <w:pStyle w:val="Bezmezer"/>
                        <w:rPr>
                          <w:sz w:val="17"/>
                          <w:szCs w:val="17"/>
                        </w:rPr>
                      </w:pPr>
                      <w:r>
                        <w:t>P</w:t>
                      </w:r>
                      <w:r w:rsidRPr="00670242">
                        <w:t xml:space="preserve">roduktivita práce </w:t>
                      </w:r>
                      <w:r>
                        <w:t>v hospodářství v hlavních sektorech</w:t>
                      </w:r>
                    </w:p>
                    <w:p w14:paraId="0498AD7C" w14:textId="77777777" w:rsidR="002B6B23" w:rsidRPr="00C747FD" w:rsidRDefault="002B6B23" w:rsidP="002B6B23">
                      <w:pPr>
                        <w:pStyle w:val="Bezmezer"/>
                        <w:keepNext/>
                        <w:widowControl w:val="0"/>
                        <w:pBdr>
                          <w:bottom w:val="single" w:sz="4" w:space="1" w:color="auto"/>
                        </w:pBdr>
                        <w:rPr>
                          <w:kern w:val="2"/>
                          <w:sz w:val="17"/>
                          <w:szCs w:val="17"/>
                        </w:rPr>
                      </w:pPr>
                      <w:r w:rsidRPr="00C747FD">
                        <w:rPr>
                          <w:kern w:val="2"/>
                          <w:sz w:val="17"/>
                          <w:szCs w:val="17"/>
                        </w:rPr>
                        <w:t>(Přidaná hodnota na zaměstnance v tis. EUR)</w:t>
                      </w:r>
                    </w:p>
                    <w:tbl>
                      <w:tblPr>
                        <w:tblW w:w="5000" w:type="pct"/>
                        <w:tblCellMar>
                          <w:left w:w="0" w:type="dxa"/>
                          <w:right w:w="0" w:type="dxa"/>
                        </w:tblCellMar>
                        <w:tblLook w:val="04A0" w:firstRow="1" w:lastRow="0" w:firstColumn="1" w:lastColumn="0" w:noHBand="0" w:noVBand="1"/>
                      </w:tblPr>
                      <w:tblGrid>
                        <w:gridCol w:w="689"/>
                        <w:gridCol w:w="319"/>
                        <w:gridCol w:w="319"/>
                        <w:gridCol w:w="319"/>
                        <w:gridCol w:w="319"/>
                        <w:gridCol w:w="319"/>
                        <w:gridCol w:w="319"/>
                        <w:gridCol w:w="319"/>
                        <w:gridCol w:w="319"/>
                        <w:gridCol w:w="319"/>
                        <w:gridCol w:w="319"/>
                        <w:gridCol w:w="319"/>
                        <w:gridCol w:w="319"/>
                        <w:gridCol w:w="320"/>
                      </w:tblGrid>
                      <w:tr w:rsidR="002B6B23" w:rsidRPr="00C747FD" w14:paraId="2A2847B0" w14:textId="77777777" w:rsidTr="004B2528">
                        <w:trPr>
                          <w:cantSplit/>
                          <w:trHeight w:val="2508"/>
                        </w:trPr>
                        <w:tc>
                          <w:tcPr>
                            <w:tcW w:w="446" w:type="pct"/>
                            <w:tcBorders>
                              <w:top w:val="nil"/>
                              <w:left w:val="nil"/>
                              <w:bottom w:val="single" w:sz="4" w:space="0" w:color="auto"/>
                              <w:right w:val="single" w:sz="4" w:space="0" w:color="auto"/>
                            </w:tcBorders>
                            <w:shd w:val="clear" w:color="auto" w:fill="auto"/>
                            <w:noWrap/>
                            <w:hideMark/>
                          </w:tcPr>
                          <w:p w14:paraId="70442950" w14:textId="77777777" w:rsidR="002B6B23" w:rsidRPr="00C747FD" w:rsidRDefault="002B6B23" w:rsidP="004B2528">
                            <w:pPr>
                              <w:spacing w:after="0"/>
                              <w:jc w:val="left"/>
                              <w:rPr>
                                <w:rFonts w:ascii="Calibri" w:eastAsia="Times New Roman" w:hAnsi="Calibri" w:cs="Calibri"/>
                                <w:color w:val="000000"/>
                                <w:sz w:val="17"/>
                                <w:szCs w:val="17"/>
                                <w:lang w:eastAsia="cs-CZ"/>
                              </w:rPr>
                            </w:pPr>
                            <w:r w:rsidRPr="00C747FD">
                              <w:rPr>
                                <w:rFonts w:ascii="Calibri" w:eastAsia="Times New Roman" w:hAnsi="Calibri" w:cs="Calibri"/>
                                <w:color w:val="000000"/>
                                <w:sz w:val="17"/>
                                <w:szCs w:val="17"/>
                                <w:lang w:eastAsia="cs-CZ"/>
                              </w:rPr>
                              <w:t>CZ-NACE</w:t>
                            </w:r>
                          </w:p>
                        </w:tc>
                        <w:tc>
                          <w:tcPr>
                            <w:tcW w:w="350" w:type="pct"/>
                            <w:tcBorders>
                              <w:top w:val="nil"/>
                              <w:left w:val="nil"/>
                              <w:bottom w:val="single" w:sz="4" w:space="0" w:color="auto"/>
                              <w:right w:val="nil"/>
                            </w:tcBorders>
                            <w:shd w:val="clear" w:color="auto" w:fill="auto"/>
                            <w:noWrap/>
                            <w:textDirection w:val="btLr"/>
                            <w:hideMark/>
                          </w:tcPr>
                          <w:p w14:paraId="01F1D5E8" w14:textId="77777777" w:rsidR="002B6B23" w:rsidRPr="00C747FD" w:rsidRDefault="002B6B23" w:rsidP="004B2528">
                            <w:pPr>
                              <w:spacing w:after="0"/>
                              <w:ind w:left="113" w:right="113"/>
                              <w:jc w:val="left"/>
                              <w:rPr>
                                <w:rFonts w:ascii="Calibri" w:eastAsia="Times New Roman" w:hAnsi="Calibri" w:cs="Calibri"/>
                                <w:color w:val="000000"/>
                                <w:sz w:val="17"/>
                                <w:szCs w:val="17"/>
                                <w:lang w:eastAsia="cs-CZ"/>
                              </w:rPr>
                            </w:pPr>
                            <w:r w:rsidRPr="00C747FD">
                              <w:rPr>
                                <w:rFonts w:ascii="Calibri" w:eastAsia="Times New Roman" w:hAnsi="Calibri" w:cs="Calibri"/>
                                <w:color w:val="000000"/>
                                <w:sz w:val="17"/>
                                <w:szCs w:val="17"/>
                                <w:lang w:eastAsia="cs-CZ"/>
                              </w:rPr>
                              <w:t>A – Zemědělství</w:t>
                            </w:r>
                            <w:r>
                              <w:rPr>
                                <w:rFonts w:ascii="Calibri" w:eastAsia="Times New Roman" w:hAnsi="Calibri" w:cs="Calibri"/>
                                <w:color w:val="000000"/>
                                <w:sz w:val="17"/>
                                <w:szCs w:val="17"/>
                                <w:lang w:eastAsia="cs-CZ"/>
                              </w:rPr>
                              <w:t>, lesy a rybolov</w:t>
                            </w:r>
                          </w:p>
                        </w:tc>
                        <w:tc>
                          <w:tcPr>
                            <w:tcW w:w="350" w:type="pct"/>
                            <w:tcBorders>
                              <w:top w:val="nil"/>
                              <w:left w:val="nil"/>
                              <w:bottom w:val="single" w:sz="4" w:space="0" w:color="auto"/>
                              <w:right w:val="nil"/>
                            </w:tcBorders>
                            <w:shd w:val="clear" w:color="auto" w:fill="auto"/>
                            <w:noWrap/>
                            <w:textDirection w:val="btLr"/>
                            <w:hideMark/>
                          </w:tcPr>
                          <w:p w14:paraId="35A7D1DD" w14:textId="77777777" w:rsidR="002B6B23" w:rsidRPr="00C747FD" w:rsidRDefault="002B6B23" w:rsidP="004B2528">
                            <w:pPr>
                              <w:spacing w:after="0"/>
                              <w:ind w:left="113" w:right="113"/>
                              <w:jc w:val="left"/>
                              <w:rPr>
                                <w:rFonts w:ascii="Calibri" w:eastAsia="Times New Roman" w:hAnsi="Calibri" w:cs="Calibri"/>
                                <w:color w:val="000000"/>
                                <w:sz w:val="17"/>
                                <w:szCs w:val="17"/>
                                <w:lang w:eastAsia="cs-CZ"/>
                              </w:rPr>
                            </w:pPr>
                            <w:r w:rsidRPr="00C747FD">
                              <w:rPr>
                                <w:rFonts w:ascii="Calibri" w:eastAsia="Times New Roman" w:hAnsi="Calibri" w:cs="Calibri"/>
                                <w:color w:val="000000"/>
                                <w:sz w:val="17"/>
                                <w:szCs w:val="17"/>
                                <w:lang w:eastAsia="cs-CZ"/>
                              </w:rPr>
                              <w:t>B – Těžba</w:t>
                            </w:r>
                            <w:r>
                              <w:rPr>
                                <w:rFonts w:ascii="Calibri" w:eastAsia="Times New Roman" w:hAnsi="Calibri" w:cs="Calibri"/>
                                <w:color w:val="000000"/>
                                <w:sz w:val="17"/>
                                <w:szCs w:val="17"/>
                                <w:lang w:eastAsia="cs-CZ"/>
                              </w:rPr>
                              <w:t xml:space="preserve"> a dobývání</w:t>
                            </w:r>
                          </w:p>
                        </w:tc>
                        <w:tc>
                          <w:tcPr>
                            <w:tcW w:w="350" w:type="pct"/>
                            <w:tcBorders>
                              <w:top w:val="nil"/>
                              <w:left w:val="nil"/>
                              <w:bottom w:val="single" w:sz="4" w:space="0" w:color="auto"/>
                              <w:right w:val="nil"/>
                            </w:tcBorders>
                            <w:shd w:val="clear" w:color="auto" w:fill="auto"/>
                            <w:noWrap/>
                            <w:textDirection w:val="btLr"/>
                            <w:hideMark/>
                          </w:tcPr>
                          <w:p w14:paraId="022AE80E" w14:textId="77777777" w:rsidR="002B6B23" w:rsidRPr="00C747FD" w:rsidRDefault="002B6B23" w:rsidP="004B2528">
                            <w:pPr>
                              <w:spacing w:after="0"/>
                              <w:ind w:left="113" w:right="113"/>
                              <w:jc w:val="left"/>
                              <w:rPr>
                                <w:rFonts w:ascii="Calibri" w:eastAsia="Times New Roman" w:hAnsi="Calibri" w:cs="Calibri"/>
                                <w:color w:val="000000"/>
                                <w:sz w:val="17"/>
                                <w:szCs w:val="17"/>
                                <w:lang w:eastAsia="cs-CZ"/>
                              </w:rPr>
                            </w:pPr>
                            <w:r w:rsidRPr="00C747FD">
                              <w:rPr>
                                <w:rFonts w:ascii="Calibri" w:eastAsia="Times New Roman" w:hAnsi="Calibri" w:cs="Calibri"/>
                                <w:color w:val="000000"/>
                                <w:sz w:val="17"/>
                                <w:szCs w:val="17"/>
                                <w:lang w:eastAsia="cs-CZ"/>
                              </w:rPr>
                              <w:t>C – Zpracovatelský p</w:t>
                            </w:r>
                            <w:r>
                              <w:rPr>
                                <w:rFonts w:ascii="Calibri" w:eastAsia="Times New Roman" w:hAnsi="Calibri" w:cs="Calibri"/>
                                <w:color w:val="000000"/>
                                <w:sz w:val="17"/>
                                <w:szCs w:val="17"/>
                                <w:lang w:eastAsia="cs-CZ"/>
                              </w:rPr>
                              <w:t>růmysl</w:t>
                            </w:r>
                          </w:p>
                        </w:tc>
                        <w:tc>
                          <w:tcPr>
                            <w:tcW w:w="350" w:type="pct"/>
                            <w:tcBorders>
                              <w:top w:val="nil"/>
                              <w:left w:val="nil"/>
                              <w:bottom w:val="single" w:sz="4" w:space="0" w:color="auto"/>
                              <w:right w:val="nil"/>
                            </w:tcBorders>
                            <w:shd w:val="clear" w:color="auto" w:fill="auto"/>
                            <w:noWrap/>
                            <w:textDirection w:val="btLr"/>
                            <w:hideMark/>
                          </w:tcPr>
                          <w:p w14:paraId="43150042" w14:textId="77777777" w:rsidR="002B6B23" w:rsidRPr="00C747FD" w:rsidRDefault="002B6B23" w:rsidP="004B2528">
                            <w:pPr>
                              <w:spacing w:after="0"/>
                              <w:ind w:left="113" w:right="113"/>
                              <w:jc w:val="left"/>
                              <w:rPr>
                                <w:rFonts w:ascii="Calibri" w:eastAsia="Times New Roman" w:hAnsi="Calibri" w:cs="Calibri"/>
                                <w:color w:val="000000"/>
                                <w:sz w:val="17"/>
                                <w:szCs w:val="17"/>
                                <w:lang w:eastAsia="cs-CZ"/>
                              </w:rPr>
                            </w:pPr>
                            <w:r w:rsidRPr="00C747FD">
                              <w:rPr>
                                <w:rFonts w:ascii="Calibri" w:eastAsia="Times New Roman" w:hAnsi="Calibri" w:cs="Calibri"/>
                                <w:color w:val="000000"/>
                                <w:sz w:val="17"/>
                                <w:szCs w:val="17"/>
                                <w:lang w:eastAsia="cs-CZ"/>
                              </w:rPr>
                              <w:t>E – Voda a odpady</w:t>
                            </w:r>
                          </w:p>
                        </w:tc>
                        <w:tc>
                          <w:tcPr>
                            <w:tcW w:w="350" w:type="pct"/>
                            <w:tcBorders>
                              <w:top w:val="nil"/>
                              <w:left w:val="nil"/>
                              <w:bottom w:val="single" w:sz="4" w:space="0" w:color="auto"/>
                              <w:right w:val="nil"/>
                            </w:tcBorders>
                            <w:shd w:val="clear" w:color="auto" w:fill="auto"/>
                            <w:noWrap/>
                            <w:textDirection w:val="btLr"/>
                            <w:hideMark/>
                          </w:tcPr>
                          <w:p w14:paraId="17B7AD09" w14:textId="77777777" w:rsidR="002B6B23" w:rsidRPr="00C747FD" w:rsidRDefault="002B6B23" w:rsidP="004B2528">
                            <w:pPr>
                              <w:spacing w:after="0"/>
                              <w:ind w:left="113" w:right="113"/>
                              <w:jc w:val="left"/>
                              <w:rPr>
                                <w:rFonts w:ascii="Calibri" w:eastAsia="Times New Roman" w:hAnsi="Calibri" w:cs="Calibri"/>
                                <w:color w:val="000000"/>
                                <w:sz w:val="17"/>
                                <w:szCs w:val="17"/>
                                <w:lang w:eastAsia="cs-CZ"/>
                              </w:rPr>
                            </w:pPr>
                            <w:r w:rsidRPr="00C747FD">
                              <w:rPr>
                                <w:rFonts w:ascii="Calibri" w:eastAsia="Times New Roman" w:hAnsi="Calibri" w:cs="Calibri"/>
                                <w:color w:val="000000"/>
                                <w:sz w:val="17"/>
                                <w:szCs w:val="17"/>
                                <w:lang w:eastAsia="cs-CZ"/>
                              </w:rPr>
                              <w:t>F – Stavebnictví</w:t>
                            </w:r>
                          </w:p>
                        </w:tc>
                        <w:tc>
                          <w:tcPr>
                            <w:tcW w:w="350" w:type="pct"/>
                            <w:tcBorders>
                              <w:top w:val="nil"/>
                              <w:left w:val="nil"/>
                              <w:bottom w:val="single" w:sz="4" w:space="0" w:color="auto"/>
                              <w:right w:val="nil"/>
                            </w:tcBorders>
                            <w:shd w:val="clear" w:color="auto" w:fill="auto"/>
                            <w:noWrap/>
                            <w:textDirection w:val="btLr"/>
                            <w:hideMark/>
                          </w:tcPr>
                          <w:p w14:paraId="7C760091" w14:textId="77777777" w:rsidR="002B6B23" w:rsidRPr="00C747FD" w:rsidRDefault="002B6B23" w:rsidP="004B2528">
                            <w:pPr>
                              <w:spacing w:after="0"/>
                              <w:ind w:left="113" w:right="113"/>
                              <w:jc w:val="left"/>
                              <w:rPr>
                                <w:rFonts w:ascii="Calibri" w:eastAsia="Times New Roman" w:hAnsi="Calibri" w:cs="Calibri"/>
                                <w:color w:val="000000"/>
                                <w:sz w:val="17"/>
                                <w:szCs w:val="17"/>
                                <w:lang w:eastAsia="cs-CZ"/>
                              </w:rPr>
                            </w:pPr>
                            <w:r w:rsidRPr="00C747FD">
                              <w:rPr>
                                <w:rFonts w:ascii="Calibri" w:eastAsia="Times New Roman" w:hAnsi="Calibri" w:cs="Calibri"/>
                                <w:color w:val="000000"/>
                                <w:sz w:val="17"/>
                                <w:szCs w:val="17"/>
                                <w:lang w:eastAsia="cs-CZ"/>
                              </w:rPr>
                              <w:t xml:space="preserve">G – </w:t>
                            </w:r>
                            <w:r>
                              <w:rPr>
                                <w:rFonts w:ascii="Calibri" w:eastAsia="Times New Roman" w:hAnsi="Calibri" w:cs="Calibri"/>
                                <w:color w:val="000000"/>
                                <w:sz w:val="17"/>
                                <w:szCs w:val="17"/>
                                <w:lang w:eastAsia="cs-CZ"/>
                              </w:rPr>
                              <w:t>Obchod a údržba</w:t>
                            </w:r>
                          </w:p>
                        </w:tc>
                        <w:tc>
                          <w:tcPr>
                            <w:tcW w:w="350" w:type="pct"/>
                            <w:tcBorders>
                              <w:top w:val="nil"/>
                              <w:left w:val="nil"/>
                              <w:bottom w:val="single" w:sz="4" w:space="0" w:color="auto"/>
                              <w:right w:val="nil"/>
                            </w:tcBorders>
                            <w:shd w:val="clear" w:color="auto" w:fill="auto"/>
                            <w:noWrap/>
                            <w:textDirection w:val="btLr"/>
                            <w:hideMark/>
                          </w:tcPr>
                          <w:p w14:paraId="5600B3C2" w14:textId="77777777" w:rsidR="002B6B23" w:rsidRPr="00C747FD" w:rsidRDefault="002B6B23" w:rsidP="004B2528">
                            <w:pPr>
                              <w:spacing w:after="0"/>
                              <w:ind w:left="113" w:right="113"/>
                              <w:jc w:val="left"/>
                              <w:rPr>
                                <w:rFonts w:ascii="Calibri" w:eastAsia="Times New Roman" w:hAnsi="Calibri" w:cs="Calibri"/>
                                <w:color w:val="000000"/>
                                <w:sz w:val="17"/>
                                <w:szCs w:val="17"/>
                                <w:lang w:eastAsia="cs-CZ"/>
                              </w:rPr>
                            </w:pPr>
                            <w:r w:rsidRPr="00C747FD">
                              <w:rPr>
                                <w:rFonts w:ascii="Calibri" w:eastAsia="Times New Roman" w:hAnsi="Calibri" w:cs="Calibri"/>
                                <w:color w:val="000000"/>
                                <w:sz w:val="17"/>
                                <w:szCs w:val="17"/>
                                <w:lang w:eastAsia="cs-CZ"/>
                              </w:rPr>
                              <w:t>H – Doprava</w:t>
                            </w:r>
                          </w:p>
                        </w:tc>
                        <w:tc>
                          <w:tcPr>
                            <w:tcW w:w="350" w:type="pct"/>
                            <w:tcBorders>
                              <w:top w:val="nil"/>
                              <w:left w:val="nil"/>
                              <w:bottom w:val="single" w:sz="4" w:space="0" w:color="auto"/>
                              <w:right w:val="nil"/>
                            </w:tcBorders>
                            <w:shd w:val="clear" w:color="auto" w:fill="auto"/>
                            <w:noWrap/>
                            <w:textDirection w:val="btLr"/>
                            <w:hideMark/>
                          </w:tcPr>
                          <w:p w14:paraId="73FD07B1" w14:textId="77777777" w:rsidR="002B6B23" w:rsidRPr="00C747FD" w:rsidRDefault="002B6B23" w:rsidP="004B2528">
                            <w:pPr>
                              <w:spacing w:after="0"/>
                              <w:ind w:left="113" w:right="113"/>
                              <w:jc w:val="left"/>
                              <w:rPr>
                                <w:rFonts w:ascii="Calibri" w:eastAsia="Times New Roman" w:hAnsi="Calibri" w:cs="Calibri"/>
                                <w:color w:val="000000"/>
                                <w:sz w:val="17"/>
                                <w:szCs w:val="17"/>
                                <w:lang w:eastAsia="cs-CZ"/>
                              </w:rPr>
                            </w:pPr>
                            <w:r w:rsidRPr="00C747FD">
                              <w:rPr>
                                <w:rFonts w:ascii="Calibri" w:eastAsia="Times New Roman" w:hAnsi="Calibri" w:cs="Calibri"/>
                                <w:color w:val="000000"/>
                                <w:sz w:val="17"/>
                                <w:szCs w:val="17"/>
                                <w:lang w:eastAsia="cs-CZ"/>
                              </w:rPr>
                              <w:t>I – Ubytování a stravování</w:t>
                            </w:r>
                          </w:p>
                        </w:tc>
                        <w:tc>
                          <w:tcPr>
                            <w:tcW w:w="350" w:type="pct"/>
                            <w:tcBorders>
                              <w:top w:val="nil"/>
                              <w:left w:val="nil"/>
                              <w:bottom w:val="single" w:sz="4" w:space="0" w:color="auto"/>
                              <w:right w:val="nil"/>
                            </w:tcBorders>
                            <w:shd w:val="clear" w:color="auto" w:fill="auto"/>
                            <w:noWrap/>
                            <w:textDirection w:val="btLr"/>
                            <w:hideMark/>
                          </w:tcPr>
                          <w:p w14:paraId="4D1D18EC" w14:textId="77777777" w:rsidR="002B6B23" w:rsidRPr="00C747FD" w:rsidRDefault="002B6B23" w:rsidP="004B2528">
                            <w:pPr>
                              <w:spacing w:after="0"/>
                              <w:ind w:left="113" w:right="113"/>
                              <w:jc w:val="left"/>
                              <w:rPr>
                                <w:rFonts w:ascii="Calibri" w:eastAsia="Times New Roman" w:hAnsi="Calibri" w:cs="Calibri"/>
                                <w:color w:val="000000"/>
                                <w:sz w:val="17"/>
                                <w:szCs w:val="17"/>
                                <w:lang w:eastAsia="cs-CZ"/>
                              </w:rPr>
                            </w:pPr>
                            <w:r w:rsidRPr="00C747FD">
                              <w:rPr>
                                <w:rFonts w:ascii="Calibri" w:eastAsia="Times New Roman" w:hAnsi="Calibri" w:cs="Calibri"/>
                                <w:color w:val="000000"/>
                                <w:sz w:val="17"/>
                                <w:szCs w:val="17"/>
                                <w:lang w:eastAsia="cs-CZ"/>
                              </w:rPr>
                              <w:t>J – Informační a komunikační č</w:t>
                            </w:r>
                            <w:r>
                              <w:rPr>
                                <w:rFonts w:ascii="Calibri" w:eastAsia="Times New Roman" w:hAnsi="Calibri" w:cs="Calibri"/>
                                <w:color w:val="000000"/>
                                <w:sz w:val="17"/>
                                <w:szCs w:val="17"/>
                                <w:lang w:eastAsia="cs-CZ"/>
                              </w:rPr>
                              <w:t>.</w:t>
                            </w:r>
                          </w:p>
                        </w:tc>
                        <w:tc>
                          <w:tcPr>
                            <w:tcW w:w="350" w:type="pct"/>
                            <w:tcBorders>
                              <w:top w:val="nil"/>
                              <w:left w:val="nil"/>
                              <w:bottom w:val="single" w:sz="4" w:space="0" w:color="auto"/>
                              <w:right w:val="nil"/>
                            </w:tcBorders>
                            <w:shd w:val="clear" w:color="auto" w:fill="auto"/>
                            <w:noWrap/>
                            <w:textDirection w:val="btLr"/>
                            <w:hideMark/>
                          </w:tcPr>
                          <w:p w14:paraId="7051E6E1" w14:textId="77777777" w:rsidR="002B6B23" w:rsidRPr="00C747FD" w:rsidRDefault="002B6B23" w:rsidP="004B2528">
                            <w:pPr>
                              <w:spacing w:after="0"/>
                              <w:ind w:left="113" w:right="113"/>
                              <w:jc w:val="left"/>
                              <w:rPr>
                                <w:rFonts w:ascii="Calibri" w:eastAsia="Times New Roman" w:hAnsi="Calibri" w:cs="Calibri"/>
                                <w:color w:val="000000"/>
                                <w:sz w:val="17"/>
                                <w:szCs w:val="17"/>
                                <w:lang w:eastAsia="cs-CZ"/>
                              </w:rPr>
                            </w:pPr>
                            <w:r w:rsidRPr="00C747FD">
                              <w:rPr>
                                <w:rFonts w:ascii="Calibri" w:eastAsia="Times New Roman" w:hAnsi="Calibri" w:cs="Calibri"/>
                                <w:color w:val="000000"/>
                                <w:sz w:val="17"/>
                                <w:szCs w:val="17"/>
                                <w:lang w:eastAsia="cs-CZ"/>
                              </w:rPr>
                              <w:t>M – Profesní a vědecké č</w:t>
                            </w:r>
                            <w:r>
                              <w:rPr>
                                <w:rFonts w:ascii="Calibri" w:eastAsia="Times New Roman" w:hAnsi="Calibri" w:cs="Calibri"/>
                                <w:color w:val="000000"/>
                                <w:sz w:val="17"/>
                                <w:szCs w:val="17"/>
                                <w:lang w:eastAsia="cs-CZ"/>
                              </w:rPr>
                              <w:t>innosti</w:t>
                            </w:r>
                          </w:p>
                        </w:tc>
                        <w:tc>
                          <w:tcPr>
                            <w:tcW w:w="350" w:type="pct"/>
                            <w:tcBorders>
                              <w:top w:val="nil"/>
                              <w:left w:val="nil"/>
                              <w:bottom w:val="single" w:sz="4" w:space="0" w:color="auto"/>
                              <w:right w:val="nil"/>
                            </w:tcBorders>
                            <w:shd w:val="clear" w:color="auto" w:fill="auto"/>
                            <w:noWrap/>
                            <w:textDirection w:val="btLr"/>
                            <w:hideMark/>
                          </w:tcPr>
                          <w:p w14:paraId="11133B14" w14:textId="77777777" w:rsidR="002B6B23" w:rsidRPr="00C747FD" w:rsidRDefault="002B6B23" w:rsidP="004B2528">
                            <w:pPr>
                              <w:spacing w:after="0"/>
                              <w:ind w:left="113" w:right="113"/>
                              <w:jc w:val="left"/>
                              <w:rPr>
                                <w:rFonts w:ascii="Calibri" w:eastAsia="Times New Roman" w:hAnsi="Calibri" w:cs="Calibri"/>
                                <w:color w:val="000000"/>
                                <w:sz w:val="17"/>
                                <w:szCs w:val="17"/>
                                <w:lang w:eastAsia="cs-CZ"/>
                              </w:rPr>
                            </w:pPr>
                            <w:r w:rsidRPr="00C747FD">
                              <w:rPr>
                                <w:rFonts w:ascii="Calibri" w:eastAsia="Times New Roman" w:hAnsi="Calibri" w:cs="Calibri"/>
                                <w:color w:val="000000"/>
                                <w:sz w:val="17"/>
                                <w:szCs w:val="17"/>
                                <w:lang w:eastAsia="cs-CZ"/>
                              </w:rPr>
                              <w:t>N – Administrativní č</w:t>
                            </w:r>
                            <w:r>
                              <w:rPr>
                                <w:rFonts w:ascii="Calibri" w:eastAsia="Times New Roman" w:hAnsi="Calibri" w:cs="Calibri"/>
                                <w:color w:val="000000"/>
                                <w:sz w:val="17"/>
                                <w:szCs w:val="17"/>
                                <w:lang w:eastAsia="cs-CZ"/>
                              </w:rPr>
                              <w:t>innosti</w:t>
                            </w:r>
                          </w:p>
                        </w:tc>
                        <w:tc>
                          <w:tcPr>
                            <w:tcW w:w="350" w:type="pct"/>
                            <w:tcBorders>
                              <w:top w:val="nil"/>
                              <w:left w:val="nil"/>
                              <w:bottom w:val="single" w:sz="4" w:space="0" w:color="auto"/>
                              <w:right w:val="nil"/>
                            </w:tcBorders>
                            <w:shd w:val="clear" w:color="auto" w:fill="auto"/>
                            <w:noWrap/>
                            <w:textDirection w:val="btLr"/>
                            <w:hideMark/>
                          </w:tcPr>
                          <w:p w14:paraId="29CE3320" w14:textId="77777777" w:rsidR="002B6B23" w:rsidRPr="00C747FD" w:rsidRDefault="002B6B23" w:rsidP="004B2528">
                            <w:pPr>
                              <w:spacing w:after="0"/>
                              <w:ind w:left="113" w:right="113"/>
                              <w:jc w:val="left"/>
                              <w:rPr>
                                <w:rFonts w:ascii="Calibri" w:eastAsia="Times New Roman" w:hAnsi="Calibri" w:cs="Calibri"/>
                                <w:color w:val="000000"/>
                                <w:sz w:val="17"/>
                                <w:szCs w:val="17"/>
                                <w:lang w:eastAsia="cs-CZ"/>
                              </w:rPr>
                            </w:pPr>
                            <w:r w:rsidRPr="00C747FD">
                              <w:rPr>
                                <w:rFonts w:ascii="Calibri" w:eastAsia="Times New Roman" w:hAnsi="Calibri" w:cs="Calibri"/>
                                <w:color w:val="000000"/>
                                <w:sz w:val="17"/>
                                <w:szCs w:val="17"/>
                                <w:lang w:eastAsia="cs-CZ"/>
                              </w:rPr>
                              <w:t>Q – Zdravotní a sociální péče</w:t>
                            </w:r>
                          </w:p>
                        </w:tc>
                        <w:tc>
                          <w:tcPr>
                            <w:tcW w:w="350" w:type="pct"/>
                            <w:tcBorders>
                              <w:top w:val="nil"/>
                              <w:left w:val="nil"/>
                              <w:bottom w:val="single" w:sz="4" w:space="0" w:color="auto"/>
                              <w:right w:val="single" w:sz="4" w:space="0" w:color="auto"/>
                            </w:tcBorders>
                            <w:shd w:val="clear" w:color="auto" w:fill="auto"/>
                            <w:noWrap/>
                            <w:textDirection w:val="btLr"/>
                            <w:hideMark/>
                          </w:tcPr>
                          <w:p w14:paraId="668C29B1" w14:textId="77777777" w:rsidR="002B6B23" w:rsidRPr="00C747FD" w:rsidRDefault="002B6B23" w:rsidP="004B2528">
                            <w:pPr>
                              <w:spacing w:after="0"/>
                              <w:ind w:left="113" w:right="113"/>
                              <w:jc w:val="left"/>
                              <w:rPr>
                                <w:rFonts w:ascii="Calibri" w:eastAsia="Times New Roman" w:hAnsi="Calibri" w:cs="Calibri"/>
                                <w:color w:val="000000"/>
                                <w:sz w:val="17"/>
                                <w:szCs w:val="17"/>
                                <w:lang w:eastAsia="cs-CZ"/>
                              </w:rPr>
                            </w:pPr>
                            <w:r w:rsidRPr="00C747FD">
                              <w:rPr>
                                <w:rFonts w:ascii="Calibri" w:eastAsia="Times New Roman" w:hAnsi="Calibri" w:cs="Calibri"/>
                                <w:color w:val="000000"/>
                                <w:sz w:val="17"/>
                                <w:szCs w:val="17"/>
                                <w:lang w:eastAsia="cs-CZ"/>
                              </w:rPr>
                              <w:t>R – Kultura, zábava a rekreace</w:t>
                            </w:r>
                          </w:p>
                        </w:tc>
                      </w:tr>
                      <w:tr w:rsidR="002B6B23" w:rsidRPr="004B2528" w14:paraId="66213D77" w14:textId="77777777" w:rsidTr="004B2528">
                        <w:trPr>
                          <w:trHeight w:val="80"/>
                        </w:trPr>
                        <w:tc>
                          <w:tcPr>
                            <w:tcW w:w="446" w:type="pct"/>
                            <w:tcBorders>
                              <w:top w:val="nil"/>
                              <w:left w:val="nil"/>
                              <w:bottom w:val="nil"/>
                              <w:right w:val="single" w:sz="4" w:space="0" w:color="auto"/>
                            </w:tcBorders>
                            <w:shd w:val="clear" w:color="auto" w:fill="auto"/>
                            <w:noWrap/>
                            <w:vAlign w:val="bottom"/>
                            <w:hideMark/>
                          </w:tcPr>
                          <w:p w14:paraId="6653035A" w14:textId="77777777" w:rsidR="002B6B23" w:rsidRPr="004B2528" w:rsidRDefault="002B6B23" w:rsidP="004B2528">
                            <w:pPr>
                              <w:spacing w:after="0"/>
                              <w:jc w:val="left"/>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ČR</w:t>
                            </w:r>
                          </w:p>
                        </w:tc>
                        <w:tc>
                          <w:tcPr>
                            <w:tcW w:w="350" w:type="pct"/>
                            <w:tcBorders>
                              <w:top w:val="nil"/>
                              <w:left w:val="nil"/>
                              <w:bottom w:val="nil"/>
                              <w:right w:val="nil"/>
                            </w:tcBorders>
                            <w:shd w:val="clear" w:color="000000" w:fill="FCE5E8"/>
                            <w:noWrap/>
                            <w:vAlign w:val="bottom"/>
                            <w:hideMark/>
                          </w:tcPr>
                          <w:p w14:paraId="19B47A6D"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27</w:t>
                            </w:r>
                          </w:p>
                        </w:tc>
                        <w:tc>
                          <w:tcPr>
                            <w:tcW w:w="350" w:type="pct"/>
                            <w:tcBorders>
                              <w:top w:val="nil"/>
                              <w:left w:val="nil"/>
                              <w:bottom w:val="nil"/>
                              <w:right w:val="nil"/>
                            </w:tcBorders>
                            <w:shd w:val="clear" w:color="000000" w:fill="FDCBCC"/>
                            <w:noWrap/>
                            <w:vAlign w:val="bottom"/>
                            <w:hideMark/>
                          </w:tcPr>
                          <w:p w14:paraId="3BC95C33"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44</w:t>
                            </w:r>
                          </w:p>
                        </w:tc>
                        <w:tc>
                          <w:tcPr>
                            <w:tcW w:w="350" w:type="pct"/>
                            <w:tcBorders>
                              <w:top w:val="nil"/>
                              <w:left w:val="nil"/>
                              <w:bottom w:val="nil"/>
                              <w:right w:val="nil"/>
                            </w:tcBorders>
                            <w:shd w:val="clear" w:color="000000" w:fill="FCD7D9"/>
                            <w:noWrap/>
                            <w:vAlign w:val="bottom"/>
                            <w:hideMark/>
                          </w:tcPr>
                          <w:p w14:paraId="36E2D7A3"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36</w:t>
                            </w:r>
                          </w:p>
                        </w:tc>
                        <w:tc>
                          <w:tcPr>
                            <w:tcW w:w="350" w:type="pct"/>
                            <w:tcBorders>
                              <w:top w:val="nil"/>
                              <w:left w:val="nil"/>
                              <w:bottom w:val="nil"/>
                              <w:right w:val="nil"/>
                            </w:tcBorders>
                            <w:shd w:val="clear" w:color="000000" w:fill="FDD1D3"/>
                            <w:noWrap/>
                            <w:vAlign w:val="bottom"/>
                            <w:hideMark/>
                          </w:tcPr>
                          <w:p w14:paraId="37774A27"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40</w:t>
                            </w:r>
                          </w:p>
                        </w:tc>
                        <w:tc>
                          <w:tcPr>
                            <w:tcW w:w="350" w:type="pct"/>
                            <w:tcBorders>
                              <w:top w:val="nil"/>
                              <w:left w:val="nil"/>
                              <w:bottom w:val="nil"/>
                              <w:right w:val="nil"/>
                            </w:tcBorders>
                            <w:shd w:val="clear" w:color="000000" w:fill="FCE1E3"/>
                            <w:noWrap/>
                            <w:vAlign w:val="bottom"/>
                            <w:hideMark/>
                          </w:tcPr>
                          <w:p w14:paraId="76648E02"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30</w:t>
                            </w:r>
                          </w:p>
                        </w:tc>
                        <w:tc>
                          <w:tcPr>
                            <w:tcW w:w="350" w:type="pct"/>
                            <w:tcBorders>
                              <w:top w:val="nil"/>
                              <w:left w:val="nil"/>
                              <w:bottom w:val="nil"/>
                              <w:right w:val="nil"/>
                            </w:tcBorders>
                            <w:shd w:val="clear" w:color="000000" w:fill="FCDDDF"/>
                            <w:noWrap/>
                            <w:vAlign w:val="bottom"/>
                            <w:hideMark/>
                          </w:tcPr>
                          <w:p w14:paraId="0AA8ECC0"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33</w:t>
                            </w:r>
                          </w:p>
                        </w:tc>
                        <w:tc>
                          <w:tcPr>
                            <w:tcW w:w="350" w:type="pct"/>
                            <w:tcBorders>
                              <w:top w:val="nil"/>
                              <w:left w:val="nil"/>
                              <w:bottom w:val="nil"/>
                              <w:right w:val="nil"/>
                            </w:tcBorders>
                            <w:shd w:val="clear" w:color="000000" w:fill="FDD6D8"/>
                            <w:noWrap/>
                            <w:vAlign w:val="bottom"/>
                            <w:hideMark/>
                          </w:tcPr>
                          <w:p w14:paraId="0D8F2558"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37</w:t>
                            </w:r>
                          </w:p>
                        </w:tc>
                        <w:tc>
                          <w:tcPr>
                            <w:tcW w:w="350" w:type="pct"/>
                            <w:tcBorders>
                              <w:top w:val="nil"/>
                              <w:left w:val="nil"/>
                              <w:bottom w:val="nil"/>
                              <w:right w:val="nil"/>
                            </w:tcBorders>
                            <w:shd w:val="clear" w:color="000000" w:fill="FCF8FB"/>
                            <w:noWrap/>
                            <w:vAlign w:val="bottom"/>
                            <w:hideMark/>
                          </w:tcPr>
                          <w:p w14:paraId="47985F29"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15</w:t>
                            </w:r>
                          </w:p>
                        </w:tc>
                        <w:tc>
                          <w:tcPr>
                            <w:tcW w:w="350" w:type="pct"/>
                            <w:tcBorders>
                              <w:top w:val="nil"/>
                              <w:left w:val="nil"/>
                              <w:bottom w:val="nil"/>
                              <w:right w:val="nil"/>
                            </w:tcBorders>
                            <w:shd w:val="clear" w:color="000000" w:fill="FF8989"/>
                            <w:noWrap/>
                            <w:vAlign w:val="bottom"/>
                            <w:hideMark/>
                          </w:tcPr>
                          <w:p w14:paraId="3B877898"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86</w:t>
                            </w:r>
                          </w:p>
                        </w:tc>
                        <w:tc>
                          <w:tcPr>
                            <w:tcW w:w="350" w:type="pct"/>
                            <w:tcBorders>
                              <w:top w:val="nil"/>
                              <w:left w:val="nil"/>
                              <w:bottom w:val="nil"/>
                              <w:right w:val="nil"/>
                            </w:tcBorders>
                            <w:shd w:val="clear" w:color="000000" w:fill="FDD4D6"/>
                            <w:noWrap/>
                            <w:vAlign w:val="bottom"/>
                            <w:hideMark/>
                          </w:tcPr>
                          <w:p w14:paraId="572A2ABF"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38</w:t>
                            </w:r>
                          </w:p>
                        </w:tc>
                        <w:tc>
                          <w:tcPr>
                            <w:tcW w:w="350" w:type="pct"/>
                            <w:tcBorders>
                              <w:top w:val="nil"/>
                              <w:left w:val="nil"/>
                              <w:bottom w:val="nil"/>
                              <w:right w:val="nil"/>
                            </w:tcBorders>
                            <w:shd w:val="clear" w:color="000000" w:fill="FCE6E8"/>
                            <w:noWrap/>
                            <w:vAlign w:val="bottom"/>
                            <w:hideMark/>
                          </w:tcPr>
                          <w:p w14:paraId="07B6BED3"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27</w:t>
                            </w:r>
                          </w:p>
                        </w:tc>
                        <w:tc>
                          <w:tcPr>
                            <w:tcW w:w="350" w:type="pct"/>
                            <w:tcBorders>
                              <w:top w:val="nil"/>
                              <w:left w:val="nil"/>
                              <w:bottom w:val="nil"/>
                              <w:right w:val="nil"/>
                            </w:tcBorders>
                            <w:shd w:val="clear" w:color="000000" w:fill="FCDCDE"/>
                            <w:noWrap/>
                            <w:vAlign w:val="bottom"/>
                            <w:hideMark/>
                          </w:tcPr>
                          <w:p w14:paraId="08C36B8A"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33</w:t>
                            </w:r>
                          </w:p>
                        </w:tc>
                        <w:tc>
                          <w:tcPr>
                            <w:tcW w:w="350" w:type="pct"/>
                            <w:tcBorders>
                              <w:top w:val="nil"/>
                              <w:left w:val="nil"/>
                              <w:bottom w:val="nil"/>
                              <w:right w:val="single" w:sz="4" w:space="0" w:color="auto"/>
                            </w:tcBorders>
                            <w:shd w:val="clear" w:color="000000" w:fill="FCE5E8"/>
                            <w:noWrap/>
                            <w:vAlign w:val="bottom"/>
                            <w:hideMark/>
                          </w:tcPr>
                          <w:p w14:paraId="4C013A2A"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27</w:t>
                            </w:r>
                          </w:p>
                        </w:tc>
                      </w:tr>
                      <w:tr w:rsidR="002B6B23" w:rsidRPr="004B2528" w14:paraId="794C2EBB" w14:textId="77777777" w:rsidTr="004B2528">
                        <w:trPr>
                          <w:trHeight w:val="165"/>
                        </w:trPr>
                        <w:tc>
                          <w:tcPr>
                            <w:tcW w:w="446" w:type="pct"/>
                            <w:tcBorders>
                              <w:top w:val="nil"/>
                              <w:left w:val="nil"/>
                              <w:bottom w:val="nil"/>
                              <w:right w:val="single" w:sz="4" w:space="0" w:color="auto"/>
                            </w:tcBorders>
                            <w:shd w:val="clear" w:color="auto" w:fill="auto"/>
                            <w:noWrap/>
                            <w:vAlign w:val="bottom"/>
                            <w:hideMark/>
                          </w:tcPr>
                          <w:p w14:paraId="243FE0C3" w14:textId="77777777" w:rsidR="002B6B23" w:rsidRPr="004B2528" w:rsidRDefault="002B6B23" w:rsidP="004B2528">
                            <w:pPr>
                              <w:spacing w:after="0"/>
                              <w:jc w:val="left"/>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Slovinsko</w:t>
                            </w:r>
                          </w:p>
                        </w:tc>
                        <w:tc>
                          <w:tcPr>
                            <w:tcW w:w="350" w:type="pct"/>
                            <w:tcBorders>
                              <w:top w:val="nil"/>
                              <w:left w:val="nil"/>
                              <w:bottom w:val="nil"/>
                              <w:right w:val="nil"/>
                            </w:tcBorders>
                            <w:shd w:val="clear" w:color="000000" w:fill="FCFCFF"/>
                            <w:noWrap/>
                            <w:vAlign w:val="bottom"/>
                            <w:hideMark/>
                          </w:tcPr>
                          <w:p w14:paraId="419E6D36"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13</w:t>
                            </w:r>
                          </w:p>
                        </w:tc>
                        <w:tc>
                          <w:tcPr>
                            <w:tcW w:w="350" w:type="pct"/>
                            <w:tcBorders>
                              <w:top w:val="nil"/>
                              <w:left w:val="nil"/>
                              <w:bottom w:val="nil"/>
                              <w:right w:val="nil"/>
                            </w:tcBorders>
                            <w:shd w:val="clear" w:color="000000" w:fill="FDC0C1"/>
                            <w:noWrap/>
                            <w:vAlign w:val="bottom"/>
                            <w:hideMark/>
                          </w:tcPr>
                          <w:p w14:paraId="75D07852"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51</w:t>
                            </w:r>
                          </w:p>
                        </w:tc>
                        <w:tc>
                          <w:tcPr>
                            <w:tcW w:w="350" w:type="pct"/>
                            <w:tcBorders>
                              <w:top w:val="nil"/>
                              <w:left w:val="nil"/>
                              <w:bottom w:val="nil"/>
                              <w:right w:val="nil"/>
                            </w:tcBorders>
                            <w:shd w:val="clear" w:color="000000" w:fill="FDC5C7"/>
                            <w:noWrap/>
                            <w:vAlign w:val="bottom"/>
                            <w:hideMark/>
                          </w:tcPr>
                          <w:p w14:paraId="59A4DB79"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48</w:t>
                            </w:r>
                          </w:p>
                        </w:tc>
                        <w:tc>
                          <w:tcPr>
                            <w:tcW w:w="350" w:type="pct"/>
                            <w:tcBorders>
                              <w:top w:val="nil"/>
                              <w:left w:val="nil"/>
                              <w:bottom w:val="nil"/>
                              <w:right w:val="nil"/>
                            </w:tcBorders>
                            <w:shd w:val="clear" w:color="000000" w:fill="FDCFD1"/>
                            <w:noWrap/>
                            <w:vAlign w:val="bottom"/>
                            <w:hideMark/>
                          </w:tcPr>
                          <w:p w14:paraId="24848A33"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41</w:t>
                            </w:r>
                          </w:p>
                        </w:tc>
                        <w:tc>
                          <w:tcPr>
                            <w:tcW w:w="350" w:type="pct"/>
                            <w:tcBorders>
                              <w:top w:val="nil"/>
                              <w:left w:val="nil"/>
                              <w:bottom w:val="nil"/>
                              <w:right w:val="nil"/>
                            </w:tcBorders>
                            <w:shd w:val="clear" w:color="000000" w:fill="FCD8DA"/>
                            <w:noWrap/>
                            <w:vAlign w:val="bottom"/>
                            <w:hideMark/>
                          </w:tcPr>
                          <w:p w14:paraId="0BB686D2"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36</w:t>
                            </w:r>
                          </w:p>
                        </w:tc>
                        <w:tc>
                          <w:tcPr>
                            <w:tcW w:w="350" w:type="pct"/>
                            <w:tcBorders>
                              <w:top w:val="nil"/>
                              <w:left w:val="nil"/>
                              <w:bottom w:val="nil"/>
                              <w:right w:val="nil"/>
                            </w:tcBorders>
                            <w:shd w:val="clear" w:color="000000" w:fill="FDCACB"/>
                            <w:noWrap/>
                            <w:vAlign w:val="bottom"/>
                            <w:hideMark/>
                          </w:tcPr>
                          <w:p w14:paraId="745ED3EB"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45</w:t>
                            </w:r>
                          </w:p>
                        </w:tc>
                        <w:tc>
                          <w:tcPr>
                            <w:tcW w:w="350" w:type="pct"/>
                            <w:tcBorders>
                              <w:top w:val="nil"/>
                              <w:left w:val="nil"/>
                              <w:bottom w:val="nil"/>
                              <w:right w:val="nil"/>
                            </w:tcBorders>
                            <w:shd w:val="clear" w:color="000000" w:fill="FDC5C7"/>
                            <w:noWrap/>
                            <w:vAlign w:val="bottom"/>
                            <w:hideMark/>
                          </w:tcPr>
                          <w:p w14:paraId="74F4CFF6"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48</w:t>
                            </w:r>
                          </w:p>
                        </w:tc>
                        <w:tc>
                          <w:tcPr>
                            <w:tcW w:w="350" w:type="pct"/>
                            <w:tcBorders>
                              <w:top w:val="nil"/>
                              <w:left w:val="nil"/>
                              <w:bottom w:val="nil"/>
                              <w:right w:val="nil"/>
                            </w:tcBorders>
                            <w:shd w:val="clear" w:color="000000" w:fill="FCF1F3"/>
                            <w:noWrap/>
                            <w:vAlign w:val="bottom"/>
                            <w:hideMark/>
                          </w:tcPr>
                          <w:p w14:paraId="6EDAF84A"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20</w:t>
                            </w:r>
                          </w:p>
                        </w:tc>
                        <w:tc>
                          <w:tcPr>
                            <w:tcW w:w="350" w:type="pct"/>
                            <w:tcBorders>
                              <w:top w:val="nil"/>
                              <w:left w:val="nil"/>
                              <w:bottom w:val="nil"/>
                              <w:right w:val="nil"/>
                            </w:tcBorders>
                            <w:shd w:val="clear" w:color="000000" w:fill="FDB5B6"/>
                            <w:noWrap/>
                            <w:vAlign w:val="bottom"/>
                            <w:hideMark/>
                          </w:tcPr>
                          <w:p w14:paraId="61742CB0"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58</w:t>
                            </w:r>
                          </w:p>
                        </w:tc>
                        <w:tc>
                          <w:tcPr>
                            <w:tcW w:w="350" w:type="pct"/>
                            <w:tcBorders>
                              <w:top w:val="nil"/>
                              <w:left w:val="nil"/>
                              <w:bottom w:val="nil"/>
                              <w:right w:val="nil"/>
                            </w:tcBorders>
                            <w:shd w:val="clear" w:color="000000" w:fill="FDD3D5"/>
                            <w:noWrap/>
                            <w:vAlign w:val="bottom"/>
                            <w:hideMark/>
                          </w:tcPr>
                          <w:p w14:paraId="40E334E1"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39</w:t>
                            </w:r>
                          </w:p>
                        </w:tc>
                        <w:tc>
                          <w:tcPr>
                            <w:tcW w:w="350" w:type="pct"/>
                            <w:tcBorders>
                              <w:top w:val="nil"/>
                              <w:left w:val="nil"/>
                              <w:bottom w:val="nil"/>
                              <w:right w:val="nil"/>
                            </w:tcBorders>
                            <w:shd w:val="clear" w:color="000000" w:fill="FCE9EB"/>
                            <w:noWrap/>
                            <w:vAlign w:val="bottom"/>
                            <w:hideMark/>
                          </w:tcPr>
                          <w:p w14:paraId="67706684"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25</w:t>
                            </w:r>
                          </w:p>
                        </w:tc>
                        <w:tc>
                          <w:tcPr>
                            <w:tcW w:w="350" w:type="pct"/>
                            <w:tcBorders>
                              <w:top w:val="nil"/>
                              <w:left w:val="nil"/>
                              <w:bottom w:val="nil"/>
                              <w:right w:val="nil"/>
                            </w:tcBorders>
                            <w:shd w:val="clear" w:color="000000" w:fill="FDD2D4"/>
                            <w:noWrap/>
                            <w:vAlign w:val="bottom"/>
                            <w:hideMark/>
                          </w:tcPr>
                          <w:p w14:paraId="5E19BA6E"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39</w:t>
                            </w:r>
                          </w:p>
                        </w:tc>
                        <w:tc>
                          <w:tcPr>
                            <w:tcW w:w="350" w:type="pct"/>
                            <w:tcBorders>
                              <w:top w:val="nil"/>
                              <w:left w:val="nil"/>
                              <w:bottom w:val="nil"/>
                              <w:right w:val="single" w:sz="4" w:space="0" w:color="auto"/>
                            </w:tcBorders>
                            <w:shd w:val="clear" w:color="000000" w:fill="FCE7EA"/>
                            <w:noWrap/>
                            <w:vAlign w:val="bottom"/>
                            <w:hideMark/>
                          </w:tcPr>
                          <w:p w14:paraId="1C11FE0E"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26</w:t>
                            </w:r>
                          </w:p>
                        </w:tc>
                      </w:tr>
                      <w:tr w:rsidR="002B6B23" w:rsidRPr="004B2528" w14:paraId="7B43784E" w14:textId="77777777" w:rsidTr="004B2528">
                        <w:trPr>
                          <w:trHeight w:val="81"/>
                        </w:trPr>
                        <w:tc>
                          <w:tcPr>
                            <w:tcW w:w="446" w:type="pct"/>
                            <w:tcBorders>
                              <w:top w:val="nil"/>
                              <w:left w:val="nil"/>
                              <w:bottom w:val="nil"/>
                              <w:right w:val="single" w:sz="4" w:space="0" w:color="auto"/>
                            </w:tcBorders>
                            <w:shd w:val="clear" w:color="auto" w:fill="auto"/>
                            <w:noWrap/>
                            <w:vAlign w:val="bottom"/>
                            <w:hideMark/>
                          </w:tcPr>
                          <w:p w14:paraId="7AA9BF5B" w14:textId="77777777" w:rsidR="002B6B23" w:rsidRPr="004B2528" w:rsidRDefault="002B6B23" w:rsidP="004B2528">
                            <w:pPr>
                              <w:spacing w:after="0"/>
                              <w:jc w:val="left"/>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Visegr</w:t>
                            </w:r>
                            <w:r>
                              <w:rPr>
                                <w:rFonts w:ascii="Calibri" w:eastAsia="Times New Roman" w:hAnsi="Calibri" w:cs="Calibri"/>
                                <w:color w:val="000000"/>
                                <w:sz w:val="18"/>
                                <w:szCs w:val="18"/>
                                <w:lang w:eastAsia="cs-CZ"/>
                              </w:rPr>
                              <w:t>á</w:t>
                            </w:r>
                            <w:r w:rsidRPr="004B2528">
                              <w:rPr>
                                <w:rFonts w:ascii="Calibri" w:eastAsia="Times New Roman" w:hAnsi="Calibri" w:cs="Calibri"/>
                                <w:color w:val="000000"/>
                                <w:sz w:val="18"/>
                                <w:szCs w:val="18"/>
                                <w:lang w:eastAsia="cs-CZ"/>
                              </w:rPr>
                              <w:t>d</w:t>
                            </w:r>
                          </w:p>
                        </w:tc>
                        <w:tc>
                          <w:tcPr>
                            <w:tcW w:w="350" w:type="pct"/>
                            <w:tcBorders>
                              <w:top w:val="nil"/>
                              <w:left w:val="nil"/>
                              <w:bottom w:val="nil"/>
                              <w:right w:val="nil"/>
                            </w:tcBorders>
                            <w:shd w:val="clear" w:color="000000" w:fill="FCFCFF"/>
                            <w:noWrap/>
                            <w:vAlign w:val="bottom"/>
                            <w:hideMark/>
                          </w:tcPr>
                          <w:p w14:paraId="5D1EF6F9"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13</w:t>
                            </w:r>
                          </w:p>
                        </w:tc>
                        <w:tc>
                          <w:tcPr>
                            <w:tcW w:w="350" w:type="pct"/>
                            <w:tcBorders>
                              <w:top w:val="nil"/>
                              <w:left w:val="nil"/>
                              <w:bottom w:val="nil"/>
                              <w:right w:val="nil"/>
                            </w:tcBorders>
                            <w:shd w:val="clear" w:color="000000" w:fill="FDCCCD"/>
                            <w:noWrap/>
                            <w:vAlign w:val="bottom"/>
                            <w:hideMark/>
                          </w:tcPr>
                          <w:p w14:paraId="07F5A479"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44</w:t>
                            </w:r>
                          </w:p>
                        </w:tc>
                        <w:tc>
                          <w:tcPr>
                            <w:tcW w:w="350" w:type="pct"/>
                            <w:tcBorders>
                              <w:top w:val="nil"/>
                              <w:left w:val="nil"/>
                              <w:bottom w:val="nil"/>
                              <w:right w:val="nil"/>
                            </w:tcBorders>
                            <w:shd w:val="clear" w:color="000000" w:fill="FCDDDF"/>
                            <w:noWrap/>
                            <w:vAlign w:val="bottom"/>
                            <w:hideMark/>
                          </w:tcPr>
                          <w:p w14:paraId="75B36CA7"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33</w:t>
                            </w:r>
                          </w:p>
                        </w:tc>
                        <w:tc>
                          <w:tcPr>
                            <w:tcW w:w="350" w:type="pct"/>
                            <w:tcBorders>
                              <w:top w:val="nil"/>
                              <w:left w:val="nil"/>
                              <w:bottom w:val="nil"/>
                              <w:right w:val="nil"/>
                            </w:tcBorders>
                            <w:shd w:val="clear" w:color="000000" w:fill="FDD6D8"/>
                            <w:noWrap/>
                            <w:vAlign w:val="bottom"/>
                            <w:hideMark/>
                          </w:tcPr>
                          <w:p w14:paraId="7F5C336E"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37</w:t>
                            </w:r>
                          </w:p>
                        </w:tc>
                        <w:tc>
                          <w:tcPr>
                            <w:tcW w:w="350" w:type="pct"/>
                            <w:tcBorders>
                              <w:top w:val="nil"/>
                              <w:left w:val="nil"/>
                              <w:bottom w:val="nil"/>
                              <w:right w:val="nil"/>
                            </w:tcBorders>
                            <w:shd w:val="clear" w:color="000000" w:fill="FCE8EB"/>
                            <w:noWrap/>
                            <w:vAlign w:val="bottom"/>
                            <w:hideMark/>
                          </w:tcPr>
                          <w:p w14:paraId="0F2E1167"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26</w:t>
                            </w:r>
                          </w:p>
                        </w:tc>
                        <w:tc>
                          <w:tcPr>
                            <w:tcW w:w="350" w:type="pct"/>
                            <w:tcBorders>
                              <w:top w:val="nil"/>
                              <w:left w:val="nil"/>
                              <w:bottom w:val="nil"/>
                              <w:right w:val="nil"/>
                            </w:tcBorders>
                            <w:shd w:val="clear" w:color="000000" w:fill="FCDEE1"/>
                            <w:noWrap/>
                            <w:vAlign w:val="bottom"/>
                            <w:hideMark/>
                          </w:tcPr>
                          <w:p w14:paraId="755E5B6E"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32</w:t>
                            </w:r>
                          </w:p>
                        </w:tc>
                        <w:tc>
                          <w:tcPr>
                            <w:tcW w:w="350" w:type="pct"/>
                            <w:tcBorders>
                              <w:top w:val="nil"/>
                              <w:left w:val="nil"/>
                              <w:bottom w:val="nil"/>
                              <w:right w:val="nil"/>
                            </w:tcBorders>
                            <w:shd w:val="clear" w:color="000000" w:fill="FCE1E3"/>
                            <w:noWrap/>
                            <w:vAlign w:val="bottom"/>
                            <w:hideMark/>
                          </w:tcPr>
                          <w:p w14:paraId="3FE681F3"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30</w:t>
                            </w:r>
                          </w:p>
                        </w:tc>
                        <w:tc>
                          <w:tcPr>
                            <w:tcW w:w="350" w:type="pct"/>
                            <w:tcBorders>
                              <w:top w:val="nil"/>
                              <w:left w:val="nil"/>
                              <w:bottom w:val="nil"/>
                              <w:right w:val="nil"/>
                            </w:tcBorders>
                            <w:shd w:val="clear" w:color="000000" w:fill="FCF8FB"/>
                            <w:noWrap/>
                            <w:vAlign w:val="bottom"/>
                            <w:hideMark/>
                          </w:tcPr>
                          <w:p w14:paraId="09140BD7"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15</w:t>
                            </w:r>
                          </w:p>
                        </w:tc>
                        <w:tc>
                          <w:tcPr>
                            <w:tcW w:w="350" w:type="pct"/>
                            <w:tcBorders>
                              <w:top w:val="nil"/>
                              <w:left w:val="nil"/>
                              <w:bottom w:val="nil"/>
                              <w:right w:val="nil"/>
                            </w:tcBorders>
                            <w:shd w:val="clear" w:color="000000" w:fill="FDB9BB"/>
                            <w:noWrap/>
                            <w:vAlign w:val="bottom"/>
                            <w:hideMark/>
                          </w:tcPr>
                          <w:p w14:paraId="6116F24C"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55</w:t>
                            </w:r>
                          </w:p>
                        </w:tc>
                        <w:tc>
                          <w:tcPr>
                            <w:tcW w:w="350" w:type="pct"/>
                            <w:tcBorders>
                              <w:top w:val="nil"/>
                              <w:left w:val="nil"/>
                              <w:bottom w:val="nil"/>
                              <w:right w:val="nil"/>
                            </w:tcBorders>
                            <w:shd w:val="clear" w:color="000000" w:fill="FDD5D7"/>
                            <w:noWrap/>
                            <w:vAlign w:val="bottom"/>
                            <w:hideMark/>
                          </w:tcPr>
                          <w:p w14:paraId="485A3A7B"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37</w:t>
                            </w:r>
                          </w:p>
                        </w:tc>
                        <w:tc>
                          <w:tcPr>
                            <w:tcW w:w="350" w:type="pct"/>
                            <w:tcBorders>
                              <w:top w:val="nil"/>
                              <w:left w:val="nil"/>
                              <w:bottom w:val="nil"/>
                              <w:right w:val="nil"/>
                            </w:tcBorders>
                            <w:shd w:val="clear" w:color="000000" w:fill="FCE5E7"/>
                            <w:noWrap/>
                            <w:vAlign w:val="bottom"/>
                            <w:hideMark/>
                          </w:tcPr>
                          <w:p w14:paraId="4882579A"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28</w:t>
                            </w:r>
                          </w:p>
                        </w:tc>
                        <w:tc>
                          <w:tcPr>
                            <w:tcW w:w="350" w:type="pct"/>
                            <w:tcBorders>
                              <w:top w:val="nil"/>
                              <w:left w:val="nil"/>
                              <w:bottom w:val="nil"/>
                              <w:right w:val="nil"/>
                            </w:tcBorders>
                            <w:shd w:val="clear" w:color="000000" w:fill="FCE6E9"/>
                            <w:noWrap/>
                            <w:vAlign w:val="bottom"/>
                            <w:hideMark/>
                          </w:tcPr>
                          <w:p w14:paraId="4B677D65"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27</w:t>
                            </w:r>
                          </w:p>
                        </w:tc>
                        <w:tc>
                          <w:tcPr>
                            <w:tcW w:w="350" w:type="pct"/>
                            <w:tcBorders>
                              <w:top w:val="nil"/>
                              <w:left w:val="nil"/>
                              <w:bottom w:val="nil"/>
                              <w:right w:val="single" w:sz="4" w:space="0" w:color="auto"/>
                            </w:tcBorders>
                            <w:shd w:val="clear" w:color="000000" w:fill="FCEDF0"/>
                            <w:noWrap/>
                            <w:vAlign w:val="bottom"/>
                            <w:hideMark/>
                          </w:tcPr>
                          <w:p w14:paraId="5C426C59" w14:textId="77777777" w:rsidR="002B6B23" w:rsidRPr="004B2528" w:rsidRDefault="002B6B23" w:rsidP="004B2528">
                            <w:pPr>
                              <w:spacing w:after="0"/>
                              <w:jc w:val="center"/>
                              <w:rPr>
                                <w:rFonts w:ascii="Calibri" w:eastAsia="Times New Roman" w:hAnsi="Calibri" w:cs="Calibri"/>
                                <w:color w:val="000000"/>
                                <w:sz w:val="18"/>
                                <w:szCs w:val="18"/>
                                <w:lang w:eastAsia="cs-CZ"/>
                              </w:rPr>
                            </w:pPr>
                            <w:r w:rsidRPr="004B2528">
                              <w:rPr>
                                <w:rFonts w:ascii="Calibri" w:eastAsia="Times New Roman" w:hAnsi="Calibri" w:cs="Calibri"/>
                                <w:color w:val="000000"/>
                                <w:sz w:val="18"/>
                                <w:szCs w:val="18"/>
                                <w:lang w:eastAsia="cs-CZ"/>
                              </w:rPr>
                              <w:t>22</w:t>
                            </w:r>
                          </w:p>
                        </w:tc>
                      </w:tr>
                    </w:tbl>
                    <w:p w14:paraId="666B50B4" w14:textId="3AEAB2B6" w:rsidR="002B6B23" w:rsidRDefault="002B6B23" w:rsidP="002B6B23">
                      <w:pPr>
                        <w:widowControl w:val="0"/>
                        <w:pBdr>
                          <w:top w:val="single" w:sz="4" w:space="0" w:color="auto"/>
                        </w:pBdr>
                        <w:spacing w:after="0"/>
                        <w:rPr>
                          <w:kern w:val="2"/>
                          <w:sz w:val="14"/>
                          <w:szCs w:val="16"/>
                        </w:rPr>
                      </w:pPr>
                      <w:r w:rsidRPr="007B5A7A">
                        <w:rPr>
                          <w:kern w:val="2"/>
                          <w:sz w:val="14"/>
                          <w:szCs w:val="16"/>
                        </w:rPr>
                        <w:t>Pramen: data</w:t>
                      </w:r>
                      <w:r>
                        <w:rPr>
                          <w:kern w:val="2"/>
                          <w:sz w:val="14"/>
                          <w:szCs w:val="16"/>
                        </w:rPr>
                        <w:t xml:space="preserve"> Eurostat </w:t>
                      </w:r>
                      <w:r w:rsidR="007C73F5">
                        <w:rPr>
                          <w:kern w:val="2"/>
                          <w:sz w:val="14"/>
                          <w:szCs w:val="16"/>
                        </w:rPr>
                        <w:t>(</w:t>
                      </w:r>
                      <w:r>
                        <w:rPr>
                          <w:kern w:val="2"/>
                          <w:sz w:val="14"/>
                          <w:szCs w:val="16"/>
                        </w:rPr>
                        <w:t>za rok 2021</w:t>
                      </w:r>
                      <w:r w:rsidR="007C73F5">
                        <w:rPr>
                          <w:kern w:val="2"/>
                          <w:sz w:val="14"/>
                          <w:szCs w:val="16"/>
                        </w:rPr>
                        <w:t>)</w:t>
                      </w:r>
                      <w:r>
                        <w:rPr>
                          <w:kern w:val="2"/>
                          <w:sz w:val="14"/>
                          <w:szCs w:val="16"/>
                        </w:rPr>
                        <w:t>, tabulka MPO</w:t>
                      </w:r>
                    </w:p>
                  </w:txbxContent>
                </v:textbox>
                <w10:wrap type="square" anchorx="margin" anchory="margin"/>
              </v:shape>
            </w:pict>
          </mc:Fallback>
        </mc:AlternateContent>
      </w:r>
      <w:r w:rsidRPr="003A3161">
        <w:rPr>
          <w:noProof/>
          <w:lang w:eastAsia="cs-CZ"/>
        </w:rPr>
        <mc:AlternateContent>
          <mc:Choice Requires="wps">
            <w:drawing>
              <wp:anchor distT="151130" distB="151130" distL="114300" distR="114300" simplePos="0" relativeHeight="251825152" behindDoc="0" locked="0" layoutInCell="1" allowOverlap="1" wp14:anchorId="44226BEB" wp14:editId="7792E6EA">
                <wp:simplePos x="0" y="0"/>
                <wp:positionH relativeFrom="margin">
                  <wp:align>right</wp:align>
                </wp:positionH>
                <wp:positionV relativeFrom="margin">
                  <wp:posOffset>5939538</wp:posOffset>
                </wp:positionV>
                <wp:extent cx="3059430" cy="2553335"/>
                <wp:effectExtent l="0" t="0" r="7620" b="0"/>
                <wp:wrapSquare wrapText="bothSides"/>
                <wp:docPr id="109"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59430" cy="2553335"/>
                        </a:xfrm>
                        <a:prstGeom prst="rect">
                          <a:avLst/>
                        </a:prstGeom>
                        <a:noFill/>
                        <a:ln w="9525">
                          <a:noFill/>
                          <a:miter lim="800000"/>
                          <a:headEnd/>
                          <a:tailEnd/>
                        </a:ln>
                      </wps:spPr>
                      <wps:txbx>
                        <w:txbxContent>
                          <w:p w14:paraId="398F794F" w14:textId="77777777" w:rsidR="002B6B23" w:rsidRDefault="002B6B23" w:rsidP="00301991">
                            <w:pPr>
                              <w:pStyle w:val="Bezmezer"/>
                            </w:pPr>
                            <w:r>
                              <w:t>Struktura podílu investic na HDP podle oblasti</w:t>
                            </w:r>
                          </w:p>
                          <w:p w14:paraId="502D9C65" w14:textId="77777777" w:rsidR="002B6B23" w:rsidRPr="00C872A3" w:rsidRDefault="002B6B23" w:rsidP="002B6B23">
                            <w:pPr>
                              <w:pStyle w:val="Bezmezer"/>
                              <w:keepNext/>
                              <w:widowControl w:val="0"/>
                              <w:pBdr>
                                <w:bottom w:val="single" w:sz="4" w:space="1" w:color="auto"/>
                              </w:pBdr>
                              <w:rPr>
                                <w:kern w:val="2"/>
                                <w:szCs w:val="16"/>
                              </w:rPr>
                            </w:pPr>
                            <w:r>
                              <w:rPr>
                                <w:kern w:val="2"/>
                                <w:sz w:val="16"/>
                                <w:szCs w:val="12"/>
                              </w:rPr>
                              <w:t>(podíl za danou oblast v %, průměr za roky 2018 až 2022)</w:t>
                            </w:r>
                          </w:p>
                          <w:p w14:paraId="00D5C096" w14:textId="77777777" w:rsidR="002B6B23" w:rsidRPr="003514B1" w:rsidRDefault="002B6B23" w:rsidP="002B6B23">
                            <w:pPr>
                              <w:pStyle w:val="Bezmezer"/>
                              <w:keepNext/>
                              <w:widowControl w:val="0"/>
                              <w:rPr>
                                <w:kern w:val="2"/>
                                <w:sz w:val="18"/>
                                <w:szCs w:val="16"/>
                              </w:rPr>
                            </w:pPr>
                            <w:r>
                              <w:rPr>
                                <w:noProof/>
                              </w:rPr>
                              <w:drawing>
                                <wp:inline distT="0" distB="0" distL="0" distR="0" wp14:anchorId="30CC62D9" wp14:editId="5D686E97">
                                  <wp:extent cx="3050540" cy="2027076"/>
                                  <wp:effectExtent l="0" t="0" r="0" b="0"/>
                                  <wp:docPr id="31" name="Graf 31">
                                    <a:extLst xmlns:a="http://schemas.openxmlformats.org/drawingml/2006/main">
                                      <a:ext uri="{FF2B5EF4-FFF2-40B4-BE49-F238E27FC236}">
                                        <a16:creationId xmlns:a16="http://schemas.microsoft.com/office/drawing/2014/main" id="{6399461F-D4ED-433D-A96A-0D5A7B33937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14:paraId="2349F191" w14:textId="77777777" w:rsidR="002B6B23" w:rsidRDefault="002B6B23" w:rsidP="002B6B23">
                            <w:pPr>
                              <w:widowControl w:val="0"/>
                              <w:pBdr>
                                <w:top w:val="single" w:sz="4" w:space="0" w:color="auto"/>
                              </w:pBdr>
                              <w:spacing w:after="0"/>
                              <w:rPr>
                                <w:kern w:val="2"/>
                                <w:sz w:val="14"/>
                                <w:szCs w:val="16"/>
                              </w:rPr>
                            </w:pPr>
                            <w:r w:rsidRPr="007B5A7A">
                              <w:rPr>
                                <w:kern w:val="2"/>
                                <w:sz w:val="14"/>
                                <w:szCs w:val="16"/>
                              </w:rPr>
                              <w:t>Pramen: data</w:t>
                            </w:r>
                            <w:r>
                              <w:rPr>
                                <w:kern w:val="2"/>
                                <w:sz w:val="14"/>
                                <w:szCs w:val="16"/>
                              </w:rPr>
                              <w:t xml:space="preserve"> Eurostat</w:t>
                            </w:r>
                            <w:r w:rsidRPr="007B5A7A">
                              <w:rPr>
                                <w:kern w:val="2"/>
                                <w:sz w:val="14"/>
                                <w:szCs w:val="16"/>
                              </w:rPr>
                              <w:t>, graf</w:t>
                            </w:r>
                            <w:r>
                              <w:rPr>
                                <w:kern w:val="2"/>
                                <w:sz w:val="14"/>
                                <w:szCs w:val="16"/>
                              </w:rPr>
                              <w:t xml:space="preserve"> MPO</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44226BEB" id="_x0000_s1052" type="#_x0000_t202" style="position:absolute;left:0;text-align:left;margin-left:189.7pt;margin-top:467.7pt;width:240.9pt;height:201.05pt;z-index:251825152;visibility:visible;mso-wrap-style:square;mso-width-percent:0;mso-height-percent:0;mso-wrap-distance-left:9pt;mso-wrap-distance-top:11.9pt;mso-wrap-distance-right:9pt;mso-wrap-distance-bottom:11.9pt;mso-position-horizontal:right;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" filled="f" stroked="f">
                <v:textbox inset="0,0,0,0">
                  <w:txbxContent>
                    <w:p w14:paraId="398F794F" w14:textId="77777777" w:rsidR="002B6B23" w:rsidRDefault="002B6B23" w:rsidP="00301991">
                      <w:pPr>
                        <w:pStyle w:val="Bezmezer"/>
                      </w:pPr>
                      <w:r>
                        <w:t>Struktura podílu investic na HDP podle oblasti</w:t>
                      </w:r>
                    </w:p>
                    <w:p w14:paraId="502D9C65" w14:textId="77777777" w:rsidR="002B6B23" w:rsidRPr="00C872A3" w:rsidRDefault="002B6B23" w:rsidP="002B6B23">
                      <w:pPr>
                        <w:pStyle w:val="Bezmezer"/>
                        <w:keepNext/>
                        <w:widowControl w:val="0"/>
                        <w:pBdr>
                          <w:bottom w:val="single" w:sz="4" w:space="1" w:color="auto"/>
                        </w:pBdr>
                        <w:rPr>
                          <w:kern w:val="2"/>
                          <w:szCs w:val="16"/>
                        </w:rPr>
                      </w:pPr>
                      <w:r>
                        <w:rPr>
                          <w:kern w:val="2"/>
                          <w:sz w:val="16"/>
                          <w:szCs w:val="12"/>
                        </w:rPr>
                        <w:t>(podíl za danou oblast v %, průměr za roky 2018 až 2022)</w:t>
                      </w:r>
                    </w:p>
                    <w:p w14:paraId="00D5C096" w14:textId="77777777" w:rsidR="002B6B23" w:rsidRPr="003514B1" w:rsidRDefault="002B6B23" w:rsidP="002B6B23">
                      <w:pPr>
                        <w:pStyle w:val="Bezmezer"/>
                        <w:keepNext/>
                        <w:widowControl w:val="0"/>
                        <w:rPr>
                          <w:kern w:val="2"/>
                          <w:sz w:val="18"/>
                          <w:szCs w:val="16"/>
                        </w:rPr>
                      </w:pPr>
                      <w:r>
                        <w:rPr>
                          <w:noProof/>
                        </w:rPr>
                        <w:drawing>
                          <wp:inline distT="0" distB="0" distL="0" distR="0" wp14:anchorId="30CC62D9" wp14:editId="5D686E97">
                            <wp:extent cx="3050540" cy="2027076"/>
                            <wp:effectExtent l="0" t="0" r="0" b="0"/>
                            <wp:docPr id="31" name="Graf 31">
                              <a:extLst xmlns:a="http://schemas.openxmlformats.org/drawingml/2006/main">
                                <a:ext uri="{FF2B5EF4-FFF2-40B4-BE49-F238E27FC236}">
                                  <a16:creationId xmlns:a16="http://schemas.microsoft.com/office/drawing/2014/main" id="{6399461F-D4ED-433D-A96A-0D5A7B33937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14:paraId="2349F191" w14:textId="77777777" w:rsidR="002B6B23" w:rsidRDefault="002B6B23" w:rsidP="002B6B23">
                      <w:pPr>
                        <w:widowControl w:val="0"/>
                        <w:pBdr>
                          <w:top w:val="single" w:sz="4" w:space="0" w:color="auto"/>
                        </w:pBdr>
                        <w:spacing w:after="0"/>
                        <w:rPr>
                          <w:kern w:val="2"/>
                          <w:sz w:val="14"/>
                          <w:szCs w:val="16"/>
                        </w:rPr>
                      </w:pPr>
                      <w:r w:rsidRPr="007B5A7A">
                        <w:rPr>
                          <w:kern w:val="2"/>
                          <w:sz w:val="14"/>
                          <w:szCs w:val="16"/>
                        </w:rPr>
                        <w:t>Pramen: data</w:t>
                      </w:r>
                      <w:r>
                        <w:rPr>
                          <w:kern w:val="2"/>
                          <w:sz w:val="14"/>
                          <w:szCs w:val="16"/>
                        </w:rPr>
                        <w:t xml:space="preserve"> Eurostat</w:t>
                      </w:r>
                      <w:r w:rsidRPr="007B5A7A">
                        <w:rPr>
                          <w:kern w:val="2"/>
                          <w:sz w:val="14"/>
                          <w:szCs w:val="16"/>
                        </w:rPr>
                        <w:t>, graf</w:t>
                      </w:r>
                      <w:r>
                        <w:rPr>
                          <w:kern w:val="2"/>
                          <w:sz w:val="14"/>
                          <w:szCs w:val="16"/>
                        </w:rPr>
                        <w:t xml:space="preserve"> MPO</w:t>
                      </w:r>
                    </w:p>
                  </w:txbxContent>
                </v:textbox>
                <w10:wrap type="square" anchorx="margin" anchory="margin"/>
              </v:shape>
            </w:pict>
          </mc:Fallback>
        </mc:AlternateContent>
      </w:r>
      <w:r w:rsidRPr="003A3161">
        <w:rPr>
          <w:noProof/>
          <w:lang w:eastAsia="cs-CZ"/>
        </w:rPr>
        <mc:AlternateContent>
          <mc:Choice Requires="wps">
            <w:drawing>
              <wp:anchor distT="151130" distB="151130" distL="114300" distR="114300" simplePos="0" relativeHeight="251824128" behindDoc="0" locked="0" layoutInCell="1" allowOverlap="1" wp14:anchorId="59B1A953" wp14:editId="0FB9BAFC">
                <wp:simplePos x="0" y="0"/>
                <wp:positionH relativeFrom="margin">
                  <wp:align>left</wp:align>
                </wp:positionH>
                <wp:positionV relativeFrom="margin">
                  <wp:posOffset>5914162</wp:posOffset>
                </wp:positionV>
                <wp:extent cx="3059430" cy="2553335"/>
                <wp:effectExtent l="0" t="0" r="7620" b="0"/>
                <wp:wrapSquare wrapText="bothSides"/>
                <wp:docPr id="110"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59430" cy="2553419"/>
                        </a:xfrm>
                        <a:prstGeom prst="rect">
                          <a:avLst/>
                        </a:prstGeom>
                        <a:noFill/>
                        <a:ln w="9525">
                          <a:noFill/>
                          <a:miter lim="800000"/>
                          <a:headEnd/>
                          <a:tailEnd/>
                        </a:ln>
                      </wps:spPr>
                      <wps:txbx>
                        <w:txbxContent>
                          <w:p w14:paraId="06D0AE09" w14:textId="77777777" w:rsidR="002B6B23" w:rsidRDefault="002B6B23" w:rsidP="00301991">
                            <w:pPr>
                              <w:pStyle w:val="Bezmezer"/>
                            </w:pPr>
                            <w:r>
                              <w:t>Vývoj podílu celkových investic na HDP</w:t>
                            </w:r>
                          </w:p>
                          <w:p w14:paraId="0EB13B2E" w14:textId="77777777" w:rsidR="002B6B23" w:rsidRPr="00C872A3" w:rsidRDefault="002B6B23" w:rsidP="002B6B23">
                            <w:pPr>
                              <w:pStyle w:val="Bezmezer"/>
                              <w:keepNext/>
                              <w:widowControl w:val="0"/>
                              <w:pBdr>
                                <w:bottom w:val="single" w:sz="4" w:space="1" w:color="auto"/>
                              </w:pBdr>
                              <w:rPr>
                                <w:kern w:val="2"/>
                                <w:szCs w:val="16"/>
                              </w:rPr>
                            </w:pPr>
                            <w:r>
                              <w:rPr>
                                <w:kern w:val="2"/>
                                <w:sz w:val="16"/>
                                <w:szCs w:val="12"/>
                              </w:rPr>
                              <w:t>(podíl v %)</w:t>
                            </w:r>
                          </w:p>
                          <w:p w14:paraId="4038181F" w14:textId="77777777" w:rsidR="002B6B23" w:rsidRPr="003514B1" w:rsidRDefault="002B6B23" w:rsidP="002B6B23">
                            <w:pPr>
                              <w:pStyle w:val="Bezmezer"/>
                              <w:keepNext/>
                              <w:widowControl w:val="0"/>
                              <w:rPr>
                                <w:kern w:val="2"/>
                                <w:sz w:val="18"/>
                                <w:szCs w:val="16"/>
                              </w:rPr>
                            </w:pPr>
                            <w:r>
                              <w:rPr>
                                <w:noProof/>
                              </w:rPr>
                              <w:drawing>
                                <wp:inline distT="0" distB="0" distL="0" distR="0" wp14:anchorId="72D1AD5C" wp14:editId="25836779">
                                  <wp:extent cx="3148641" cy="2052799"/>
                                  <wp:effectExtent l="0" t="0" r="0" b="5080"/>
                                  <wp:docPr id="32" name="Graf 32">
                                    <a:extLst xmlns:a="http://schemas.openxmlformats.org/drawingml/2006/main">
                                      <a:ext uri="{FF2B5EF4-FFF2-40B4-BE49-F238E27FC236}">
                                        <a16:creationId xmlns:a16="http://schemas.microsoft.com/office/drawing/2014/main" id="{E23A3169-5831-4CA4-858A-93854A6B07A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14:paraId="430230E2" w14:textId="77777777" w:rsidR="002B6B23" w:rsidRDefault="002B6B23" w:rsidP="002B6B23">
                            <w:pPr>
                              <w:widowControl w:val="0"/>
                              <w:pBdr>
                                <w:top w:val="single" w:sz="4" w:space="0" w:color="auto"/>
                              </w:pBdr>
                              <w:spacing w:after="0"/>
                              <w:rPr>
                                <w:kern w:val="2"/>
                                <w:sz w:val="14"/>
                                <w:szCs w:val="16"/>
                              </w:rPr>
                            </w:pPr>
                            <w:r w:rsidRPr="007B5A7A">
                              <w:rPr>
                                <w:kern w:val="2"/>
                                <w:sz w:val="14"/>
                                <w:szCs w:val="16"/>
                              </w:rPr>
                              <w:t>Pramen: data</w:t>
                            </w:r>
                            <w:r>
                              <w:rPr>
                                <w:kern w:val="2"/>
                                <w:sz w:val="14"/>
                                <w:szCs w:val="16"/>
                              </w:rPr>
                              <w:t xml:space="preserve"> Eurostat</w:t>
                            </w:r>
                            <w:r w:rsidRPr="007B5A7A">
                              <w:rPr>
                                <w:kern w:val="2"/>
                                <w:sz w:val="14"/>
                                <w:szCs w:val="16"/>
                              </w:rPr>
                              <w:t>, graf</w:t>
                            </w:r>
                            <w:r>
                              <w:rPr>
                                <w:kern w:val="2"/>
                                <w:sz w:val="14"/>
                                <w:szCs w:val="16"/>
                              </w:rPr>
                              <w:t xml:space="preserve"> MPO</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59B1A953" id="_x0000_s1053" type="#_x0000_t202" style="position:absolute;left:0;text-align:left;margin-left:0;margin-top:465.7pt;width:240.9pt;height:201.05pt;z-index:251824128;visibility:visible;mso-wrap-style:square;mso-width-percent:0;mso-height-percent:0;mso-wrap-distance-left:9pt;mso-wrap-distance-top:11.9pt;mso-wrap-distance-right:9pt;mso-wrap-distance-bottom:11.9pt;mso-position-horizontal:left;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" filled="f" stroked="f">
                <v:textbox inset="0,0,0,0">
                  <w:txbxContent>
                    <w:p w14:paraId="06D0AE09" w14:textId="77777777" w:rsidR="002B6B23" w:rsidRDefault="002B6B23" w:rsidP="00301991">
                      <w:pPr>
                        <w:pStyle w:val="Bezmezer"/>
                      </w:pPr>
                      <w:r>
                        <w:t>Vývoj podílu celkových investic na HDP</w:t>
                      </w:r>
                    </w:p>
                    <w:p w14:paraId="0EB13B2E" w14:textId="77777777" w:rsidR="002B6B23" w:rsidRPr="00C872A3" w:rsidRDefault="002B6B23" w:rsidP="002B6B23">
                      <w:pPr>
                        <w:pStyle w:val="Bezmezer"/>
                        <w:keepNext/>
                        <w:widowControl w:val="0"/>
                        <w:pBdr>
                          <w:bottom w:val="single" w:sz="4" w:space="1" w:color="auto"/>
                        </w:pBdr>
                        <w:rPr>
                          <w:kern w:val="2"/>
                          <w:szCs w:val="16"/>
                        </w:rPr>
                      </w:pPr>
                      <w:r>
                        <w:rPr>
                          <w:kern w:val="2"/>
                          <w:sz w:val="16"/>
                          <w:szCs w:val="12"/>
                        </w:rPr>
                        <w:t>(podíl v %)</w:t>
                      </w:r>
                    </w:p>
                    <w:p w14:paraId="4038181F" w14:textId="77777777" w:rsidR="002B6B23" w:rsidRPr="003514B1" w:rsidRDefault="002B6B23" w:rsidP="002B6B23">
                      <w:pPr>
                        <w:pStyle w:val="Bezmezer"/>
                        <w:keepNext/>
                        <w:widowControl w:val="0"/>
                        <w:rPr>
                          <w:kern w:val="2"/>
                          <w:sz w:val="18"/>
                          <w:szCs w:val="16"/>
                        </w:rPr>
                      </w:pPr>
                      <w:r>
                        <w:rPr>
                          <w:noProof/>
                        </w:rPr>
                        <w:drawing>
                          <wp:inline distT="0" distB="0" distL="0" distR="0" wp14:anchorId="72D1AD5C" wp14:editId="25836779">
                            <wp:extent cx="3148641" cy="2052799"/>
                            <wp:effectExtent l="0" t="0" r="0" b="5080"/>
                            <wp:docPr id="32" name="Graf 32">
                              <a:extLst xmlns:a="http://schemas.openxmlformats.org/drawingml/2006/main">
                                <a:ext uri="{FF2B5EF4-FFF2-40B4-BE49-F238E27FC236}">
                                  <a16:creationId xmlns:a16="http://schemas.microsoft.com/office/drawing/2014/main" id="{E23A3169-5831-4CA4-858A-93854A6B07A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14:paraId="430230E2" w14:textId="77777777" w:rsidR="002B6B23" w:rsidRDefault="002B6B23" w:rsidP="002B6B23">
                      <w:pPr>
                        <w:widowControl w:val="0"/>
                        <w:pBdr>
                          <w:top w:val="single" w:sz="4" w:space="0" w:color="auto"/>
                        </w:pBdr>
                        <w:spacing w:after="0"/>
                        <w:rPr>
                          <w:kern w:val="2"/>
                          <w:sz w:val="14"/>
                          <w:szCs w:val="16"/>
                        </w:rPr>
                      </w:pPr>
                      <w:r w:rsidRPr="007B5A7A">
                        <w:rPr>
                          <w:kern w:val="2"/>
                          <w:sz w:val="14"/>
                          <w:szCs w:val="16"/>
                        </w:rPr>
                        <w:t>Pramen: data</w:t>
                      </w:r>
                      <w:r>
                        <w:rPr>
                          <w:kern w:val="2"/>
                          <w:sz w:val="14"/>
                          <w:szCs w:val="16"/>
                        </w:rPr>
                        <w:t xml:space="preserve"> Eurostat</w:t>
                      </w:r>
                      <w:r w:rsidRPr="007B5A7A">
                        <w:rPr>
                          <w:kern w:val="2"/>
                          <w:sz w:val="14"/>
                          <w:szCs w:val="16"/>
                        </w:rPr>
                        <w:t>, graf</w:t>
                      </w:r>
                      <w:r>
                        <w:rPr>
                          <w:kern w:val="2"/>
                          <w:sz w:val="14"/>
                          <w:szCs w:val="16"/>
                        </w:rPr>
                        <w:t xml:space="preserve"> MPO</w:t>
                      </w:r>
                    </w:p>
                  </w:txbxContent>
                </v:textbox>
                <w10:wrap type="square" anchorx="margin" anchory="margin"/>
              </v:shape>
            </w:pict>
          </mc:Fallback>
        </mc:AlternateContent>
      </w:r>
    </w:p>
    <w:p w14:paraId="71CCEEC8" w14:textId="77777777" w:rsidR="002B6B23" w:rsidRDefault="002B6B23" w:rsidP="003C3221">
      <w:pPr>
        <w:pStyle w:val="Obsah2"/>
      </w:pPr>
      <w:r w:rsidRPr="00D67550">
        <w:rPr>
          <w:noProof/>
          <w:lang w:eastAsia="cs-CZ"/>
        </w:rPr>
        <mc:AlternateContent>
          <mc:Choice Requires="wps">
            <w:drawing>
              <wp:anchor distT="151130" distB="151130" distL="114300" distR="114300" simplePos="0" relativeHeight="251823104" behindDoc="0" locked="0" layoutInCell="1" allowOverlap="1" wp14:anchorId="63470340" wp14:editId="3654A6CF">
                <wp:simplePos x="0" y="0"/>
                <wp:positionH relativeFrom="margin">
                  <wp:posOffset>34506</wp:posOffset>
                </wp:positionH>
                <wp:positionV relativeFrom="margin">
                  <wp:posOffset>3226770</wp:posOffset>
                </wp:positionV>
                <wp:extent cx="3009900" cy="2219325"/>
                <wp:effectExtent l="0" t="0" r="0" b="0"/>
                <wp:wrapSquare wrapText="bothSides"/>
                <wp:docPr id="111"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09900" cy="2219325"/>
                        </a:xfrm>
                        <a:prstGeom prst="rect">
                          <a:avLst/>
                        </a:prstGeom>
                        <a:noFill/>
                        <a:ln w="9525">
                          <a:noFill/>
                          <a:miter lim="800000"/>
                          <a:headEnd/>
                          <a:tailEnd/>
                        </a:ln>
                      </wps:spPr>
                      <wps:txbx>
                        <w:txbxContent>
                          <w:p w14:paraId="7368ED5F" w14:textId="77777777" w:rsidR="002B6B23" w:rsidRPr="00C872A3" w:rsidRDefault="002B6B23" w:rsidP="002B6B23">
                            <w:pPr>
                              <w:pStyle w:val="Bezmezer"/>
                              <w:keepNext/>
                              <w:widowControl w:val="0"/>
                              <w:pBdr>
                                <w:bottom w:val="single" w:sz="4" w:space="1" w:color="auto"/>
                              </w:pBdr>
                              <w:rPr>
                                <w:kern w:val="2"/>
                                <w:szCs w:val="16"/>
                              </w:rPr>
                            </w:pPr>
                            <w:r>
                              <w:rPr>
                                <w:kern w:val="2"/>
                                <w:szCs w:val="16"/>
                              </w:rPr>
                              <w:t>Tzv. „Smile křivka“</w:t>
                            </w:r>
                          </w:p>
                          <w:p w14:paraId="1B673ECA" w14:textId="77777777" w:rsidR="002B6B23" w:rsidRPr="003514B1" w:rsidRDefault="002B6B23" w:rsidP="002B6B23">
                            <w:pPr>
                              <w:pStyle w:val="Bezmezer"/>
                              <w:keepNext/>
                              <w:widowControl w:val="0"/>
                              <w:jc w:val="center"/>
                              <w:rPr>
                                <w:kern w:val="2"/>
                                <w:sz w:val="18"/>
                                <w:szCs w:val="16"/>
                              </w:rPr>
                            </w:pPr>
                            <w:r>
                              <w:rPr>
                                <w:noProof/>
                                <w:lang w:eastAsia="cs-CZ"/>
                              </w:rPr>
                              <w:drawing>
                                <wp:inline distT="0" distB="0" distL="0" distR="0" wp14:anchorId="510C6C05" wp14:editId="6498CB63">
                                  <wp:extent cx="2976114" cy="2046700"/>
                                  <wp:effectExtent l="0" t="0" r="0" b="0"/>
                                  <wp:docPr id="33" name="Obráze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014170" cy="2072872"/>
                                          </a:xfrm>
                                          <a:prstGeom prst="rect">
                                            <a:avLst/>
                                          </a:prstGeom>
                                          <a:noFill/>
                                          <a:ln>
                                            <a:noFill/>
                                          </a:ln>
                                        </pic:spPr>
                                      </pic:pic>
                                    </a:graphicData>
                                  </a:graphic>
                                </wp:inline>
                              </w:drawing>
                            </w:r>
                          </w:p>
                          <w:p w14:paraId="62E086CD" w14:textId="77777777" w:rsidR="002B6B23" w:rsidRDefault="002B6B23" w:rsidP="002B6B23">
                            <w:pPr>
                              <w:widowControl w:val="0"/>
                              <w:pBdr>
                                <w:top w:val="single" w:sz="4" w:space="1" w:color="auto"/>
                              </w:pBdr>
                              <w:spacing w:after="0"/>
                              <w:rPr>
                                <w:kern w:val="2"/>
                                <w:sz w:val="14"/>
                                <w:szCs w:val="16"/>
                              </w:rPr>
                            </w:pPr>
                            <w:r w:rsidRPr="007B5A7A">
                              <w:rPr>
                                <w:kern w:val="2"/>
                                <w:sz w:val="14"/>
                                <w:szCs w:val="16"/>
                              </w:rPr>
                              <w:t xml:space="preserve">Pramen: </w:t>
                            </w:r>
                            <w:r w:rsidRPr="005A5380">
                              <w:rPr>
                                <w:kern w:val="2"/>
                                <w:sz w:val="14"/>
                                <w:szCs w:val="16"/>
                              </w:rPr>
                              <w:t xml:space="preserve">OECD (2013), </w:t>
                            </w:r>
                            <w:r>
                              <w:rPr>
                                <w:kern w:val="2"/>
                                <w:sz w:val="14"/>
                                <w:szCs w:val="16"/>
                              </w:rPr>
                              <w:br/>
                            </w:r>
                            <w:r w:rsidRPr="005A5380">
                              <w:rPr>
                                <w:kern w:val="2"/>
                                <w:sz w:val="14"/>
                                <w:szCs w:val="16"/>
                              </w:rPr>
                              <w:t>Interconnected Economies: Benefiting From Global Value Chains</w:t>
                            </w:r>
                          </w:p>
                        </w:txbxContent>
                      </wps:txbx>
                      <wps:bodyPr rot="0" vert="horz" wrap="square" lIns="0" tIns="0" rIns="0" bIns="0" anchor="t" anchorCtr="0">
                        <a:spAutoFit/>
                      </wps:bodyPr>
                    </wps:wsp>
                  </a:graphicData>
                </a:graphic>
                <wp14:sizeRelH relativeFrom="margin">
                  <wp14:pctWidth>0</wp14:pctWidth>
                </wp14:sizeRelH>
                <wp14:sizeRelV relativeFrom="margin">
                  <wp14:pctHeight>0</wp14:pctHeight>
                </wp14:sizeRelV>
              </wp:anchor>
            </w:drawing>
          </mc:Choice>
          <mc:Fallback>
            <w:pict>
              <v:shape w14:anchorId="63470340" id="_x0000_s1054" type="#_x0000_t202" style="position:absolute;left:0;text-align:left;margin-left:2.7pt;margin-top:254.1pt;width:237pt;height:174.75pt;z-index:251823104;visibility:visible;mso-wrap-style:square;mso-width-percent:0;mso-height-percent:0;mso-wrap-distance-left:9pt;mso-wrap-distance-top:11.9pt;mso-wrap-distance-right:9pt;mso-wrap-distance-bottom:11.9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" filled="f" stroked="f">
                <v:textbox style="mso-fit-shape-to-text:t" inset="0,0,0,0">
                  <w:txbxContent>
                    <w:p w14:paraId="7368ED5F" w14:textId="77777777" w:rsidR="002B6B23" w:rsidRPr="00C872A3" w:rsidRDefault="002B6B23" w:rsidP="002B6B23">
                      <w:pPr>
                        <w:pStyle w:val="Bezmezer"/>
                        <w:keepNext/>
                        <w:widowControl w:val="0"/>
                        <w:pBdr>
                          <w:bottom w:val="single" w:sz="4" w:space="1" w:color="auto"/>
                        </w:pBdr>
                        <w:rPr>
                          <w:kern w:val="2"/>
                          <w:szCs w:val="16"/>
                        </w:rPr>
                      </w:pPr>
                      <w:r>
                        <w:rPr>
                          <w:kern w:val="2"/>
                          <w:szCs w:val="16"/>
                        </w:rPr>
                        <w:t>Tzv. „Smile křivka“</w:t>
                      </w:r>
                    </w:p>
                    <w:p w14:paraId="1B673ECA" w14:textId="77777777" w:rsidR="002B6B23" w:rsidRPr="003514B1" w:rsidRDefault="002B6B23" w:rsidP="002B6B23">
                      <w:pPr>
                        <w:pStyle w:val="Bezmezer"/>
                        <w:keepNext/>
                        <w:widowControl w:val="0"/>
                        <w:jc w:val="center"/>
                        <w:rPr>
                          <w:kern w:val="2"/>
                          <w:sz w:val="18"/>
                          <w:szCs w:val="16"/>
                        </w:rPr>
                      </w:pPr>
                      <w:r>
                        <w:rPr>
                          <w:noProof/>
                          <w:lang w:eastAsia="cs-CZ"/>
                        </w:rPr>
                        <w:drawing>
                          <wp:inline distT="0" distB="0" distL="0" distR="0" wp14:anchorId="510C6C05" wp14:editId="6498CB63">
                            <wp:extent cx="2976114" cy="2046700"/>
                            <wp:effectExtent l="0" t="0" r="0" b="0"/>
                            <wp:docPr id="33" name="Obráze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014170" cy="2072872"/>
                                    </a:xfrm>
                                    <a:prstGeom prst="rect">
                                      <a:avLst/>
                                    </a:prstGeom>
                                    <a:noFill/>
                                    <a:ln>
                                      <a:noFill/>
                                    </a:ln>
                                  </pic:spPr>
                                </pic:pic>
                              </a:graphicData>
                            </a:graphic>
                          </wp:inline>
                        </w:drawing>
                      </w:r>
                    </w:p>
                    <w:p w14:paraId="62E086CD" w14:textId="77777777" w:rsidR="002B6B23" w:rsidRDefault="002B6B23" w:rsidP="002B6B23">
                      <w:pPr>
                        <w:widowControl w:val="0"/>
                        <w:pBdr>
                          <w:top w:val="single" w:sz="4" w:space="1" w:color="auto"/>
                        </w:pBdr>
                        <w:spacing w:after="0"/>
                        <w:rPr>
                          <w:kern w:val="2"/>
                          <w:sz w:val="14"/>
                          <w:szCs w:val="16"/>
                        </w:rPr>
                      </w:pPr>
                      <w:r w:rsidRPr="007B5A7A">
                        <w:rPr>
                          <w:kern w:val="2"/>
                          <w:sz w:val="14"/>
                          <w:szCs w:val="16"/>
                        </w:rPr>
                        <w:t xml:space="preserve">Pramen: </w:t>
                      </w:r>
                      <w:r w:rsidRPr="005A5380">
                        <w:rPr>
                          <w:kern w:val="2"/>
                          <w:sz w:val="14"/>
                          <w:szCs w:val="16"/>
                        </w:rPr>
                        <w:t xml:space="preserve">OECD (2013), </w:t>
                      </w:r>
                      <w:r>
                        <w:rPr>
                          <w:kern w:val="2"/>
                          <w:sz w:val="14"/>
                          <w:szCs w:val="16"/>
                        </w:rPr>
                        <w:br/>
                      </w:r>
                      <w:r w:rsidRPr="005A5380">
                        <w:rPr>
                          <w:kern w:val="2"/>
                          <w:sz w:val="14"/>
                          <w:szCs w:val="16"/>
                        </w:rPr>
                        <w:t>Interconnected Economies: Benefiting From Global Value Chains</w:t>
                      </w:r>
                    </w:p>
                  </w:txbxContent>
                </v:textbox>
                <w10:wrap type="square" anchorx="margin" anchory="margin"/>
              </v:shape>
            </w:pict>
          </mc:Fallback>
        </mc:AlternateContent>
      </w:r>
      <w:r w:rsidRPr="003A3161">
        <w:rPr>
          <w:b/>
          <w:noProof/>
          <w:kern w:val="2"/>
          <w:lang w:eastAsia="cs-CZ"/>
        </w:rPr>
        <mc:AlternateContent>
          <mc:Choice Requires="wps">
            <w:drawing>
              <wp:anchor distT="151130" distB="151130" distL="114300" distR="114300" simplePos="0" relativeHeight="251816960" behindDoc="0" locked="0" layoutInCell="1" allowOverlap="1" wp14:anchorId="68903700" wp14:editId="7F9AF91A">
                <wp:simplePos x="0" y="0"/>
                <wp:positionH relativeFrom="margin">
                  <wp:posOffset>3234714</wp:posOffset>
                </wp:positionH>
                <wp:positionV relativeFrom="margin">
                  <wp:posOffset>407</wp:posOffset>
                </wp:positionV>
                <wp:extent cx="3059430" cy="3044190"/>
                <wp:effectExtent l="0" t="0" r="7620" b="3810"/>
                <wp:wrapSquare wrapText="bothSides"/>
                <wp:docPr id="112"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59430" cy="3044190"/>
                        </a:xfrm>
                        <a:prstGeom prst="rect">
                          <a:avLst/>
                        </a:prstGeom>
                        <a:noFill/>
                        <a:ln w="9525">
                          <a:noFill/>
                          <a:miter lim="800000"/>
                          <a:headEnd/>
                          <a:tailEnd/>
                        </a:ln>
                      </wps:spPr>
                      <wps:txbx>
                        <w:txbxContent>
                          <w:p w14:paraId="54BF916B" w14:textId="77777777" w:rsidR="002B6B23" w:rsidRDefault="002B6B23" w:rsidP="00301991">
                            <w:pPr>
                              <w:pStyle w:val="Bezmezer"/>
                            </w:pPr>
                            <w:r w:rsidRPr="003D42EF">
                              <w:t>Produktivita práce ve zpracovatelském průmyslu</w:t>
                            </w:r>
                          </w:p>
                          <w:p w14:paraId="543AAAC2" w14:textId="77777777" w:rsidR="002B6B23" w:rsidRPr="003D42EF" w:rsidRDefault="002B6B23" w:rsidP="002B6B23">
                            <w:pPr>
                              <w:pStyle w:val="Bezmezer"/>
                              <w:keepNext/>
                              <w:widowControl w:val="0"/>
                              <w:pBdr>
                                <w:bottom w:val="single" w:sz="4" w:space="1" w:color="auto"/>
                              </w:pBdr>
                              <w:rPr>
                                <w:kern w:val="2"/>
                                <w:sz w:val="16"/>
                                <w:szCs w:val="12"/>
                              </w:rPr>
                            </w:pPr>
                            <w:r>
                              <w:rPr>
                                <w:kern w:val="2"/>
                                <w:sz w:val="16"/>
                                <w:szCs w:val="12"/>
                              </w:rPr>
                              <w:t>(P</w:t>
                            </w:r>
                            <w:r w:rsidRPr="003D42EF">
                              <w:rPr>
                                <w:kern w:val="2"/>
                                <w:sz w:val="16"/>
                                <w:szCs w:val="12"/>
                              </w:rPr>
                              <w:t xml:space="preserve">roduktivita = </w:t>
                            </w:r>
                            <w:r>
                              <w:rPr>
                                <w:kern w:val="2"/>
                                <w:sz w:val="16"/>
                                <w:szCs w:val="12"/>
                              </w:rPr>
                              <w:t>P</w:t>
                            </w:r>
                            <w:r w:rsidRPr="003D42EF">
                              <w:rPr>
                                <w:kern w:val="2"/>
                                <w:sz w:val="16"/>
                                <w:szCs w:val="12"/>
                              </w:rPr>
                              <w:t xml:space="preserve">řidaná hodnota / </w:t>
                            </w:r>
                            <w:r>
                              <w:rPr>
                                <w:kern w:val="2"/>
                                <w:sz w:val="16"/>
                                <w:szCs w:val="12"/>
                              </w:rPr>
                              <w:t>Z</w:t>
                            </w:r>
                            <w:r w:rsidRPr="003D42EF">
                              <w:rPr>
                                <w:kern w:val="2"/>
                                <w:sz w:val="16"/>
                                <w:szCs w:val="12"/>
                              </w:rPr>
                              <w:t>aměstnanost</w:t>
                            </w:r>
                            <w:r>
                              <w:rPr>
                                <w:kern w:val="2"/>
                                <w:sz w:val="16"/>
                                <w:szCs w:val="12"/>
                              </w:rPr>
                              <w:t>, v tis. EUR)</w:t>
                            </w:r>
                          </w:p>
                          <w:p w14:paraId="69B5BC1A" w14:textId="77777777" w:rsidR="002B6B23" w:rsidRPr="003514B1" w:rsidRDefault="002B6B23" w:rsidP="002B6B23">
                            <w:pPr>
                              <w:pStyle w:val="Bezmezer"/>
                              <w:keepNext/>
                              <w:widowControl w:val="0"/>
                              <w:rPr>
                                <w:kern w:val="2"/>
                                <w:sz w:val="18"/>
                                <w:szCs w:val="16"/>
                              </w:rPr>
                            </w:pPr>
                            <w:r>
                              <w:rPr>
                                <w:noProof/>
                                <w:lang w:eastAsia="cs-CZ"/>
                              </w:rPr>
                              <w:drawing>
                                <wp:inline distT="0" distB="0" distL="0" distR="0" wp14:anchorId="2E859091" wp14:editId="5507E197">
                                  <wp:extent cx="3059430" cy="2609850"/>
                                  <wp:effectExtent l="0" t="0" r="7620" b="0"/>
                                  <wp:docPr id="34" name="Graf 34">
                                    <a:extLst xmlns:a="http://schemas.openxmlformats.org/drawingml/2006/main">
                                      <a:ext uri="{FF2B5EF4-FFF2-40B4-BE49-F238E27FC236}">
                                        <a16:creationId xmlns:a16="http://schemas.microsoft.com/office/drawing/2014/main" id="{B15EEE82-D683-4A4D-925C-A8D826C8D95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14:paraId="7BFE134C" w14:textId="77777777" w:rsidR="002B6B23" w:rsidRDefault="002B6B23" w:rsidP="002B6B23">
                            <w:pPr>
                              <w:widowControl w:val="0"/>
                              <w:pBdr>
                                <w:top w:val="single" w:sz="4" w:space="1" w:color="auto"/>
                              </w:pBdr>
                              <w:spacing w:after="0"/>
                              <w:rPr>
                                <w:kern w:val="2"/>
                                <w:sz w:val="14"/>
                                <w:szCs w:val="16"/>
                              </w:rPr>
                            </w:pPr>
                            <w:r w:rsidRPr="007B5A7A">
                              <w:rPr>
                                <w:kern w:val="2"/>
                                <w:sz w:val="14"/>
                                <w:szCs w:val="16"/>
                              </w:rPr>
                              <w:t>Pramen: data</w:t>
                            </w:r>
                            <w:r>
                              <w:rPr>
                                <w:kern w:val="2"/>
                                <w:sz w:val="14"/>
                                <w:szCs w:val="16"/>
                              </w:rPr>
                              <w:t xml:space="preserve"> Eurostat</w:t>
                            </w:r>
                            <w:r w:rsidRPr="007B5A7A">
                              <w:rPr>
                                <w:kern w:val="2"/>
                                <w:sz w:val="14"/>
                                <w:szCs w:val="16"/>
                              </w:rPr>
                              <w:t>, graf</w:t>
                            </w:r>
                            <w:r>
                              <w:rPr>
                                <w:kern w:val="2"/>
                                <w:sz w:val="14"/>
                                <w:szCs w:val="16"/>
                              </w:rPr>
                              <w:t xml:space="preserve"> MPO</w:t>
                            </w:r>
                          </w:p>
                        </w:txbxContent>
                      </wps:txbx>
                      <wps:bodyPr rot="0" vert="horz" wrap="square" lIns="0" tIns="0" rIns="0" bIns="0" anchor="t" anchorCtr="0">
                        <a:spAutoFit/>
                      </wps:bodyPr>
                    </wps:wsp>
                  </a:graphicData>
                </a:graphic>
                <wp14:sizeRelH relativeFrom="margin">
                  <wp14:pctWidth>0</wp14:pctWidth>
                </wp14:sizeRelH>
                <wp14:sizeRelV relativeFrom="margin">
                  <wp14:pctHeight>0</wp14:pctHeight>
                </wp14:sizeRelV>
              </wp:anchor>
            </w:drawing>
          </mc:Choice>
          <mc:Fallback>
            <w:pict>
              <v:shape w14:anchorId="68903700" id="_x0000_s1055" type="#_x0000_t202" style="position:absolute;left:0;text-align:left;margin-left:254.7pt;margin-top:.05pt;width:240.9pt;height:239.7pt;z-index:251816960;visibility:visible;mso-wrap-style:square;mso-width-percent:0;mso-height-percent:0;mso-wrap-distance-left:9pt;mso-wrap-distance-top:11.9pt;mso-wrap-distance-right:9pt;mso-wrap-distance-bottom:11.9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" filled="f" stroked="f">
                <v:textbox style="mso-fit-shape-to-text:t" inset="0,0,0,0">
                  <w:txbxContent>
                    <w:p w14:paraId="54BF916B" w14:textId="77777777" w:rsidR="002B6B23" w:rsidRDefault="002B6B23" w:rsidP="00301991">
                      <w:pPr>
                        <w:pStyle w:val="Bezmezer"/>
                      </w:pPr>
                      <w:r w:rsidRPr="003D42EF">
                        <w:t>Produktivita práce ve zpracovatelském průmyslu</w:t>
                      </w:r>
                    </w:p>
                    <w:p w14:paraId="543AAAC2" w14:textId="77777777" w:rsidR="002B6B23" w:rsidRPr="003D42EF" w:rsidRDefault="002B6B23" w:rsidP="002B6B23">
                      <w:pPr>
                        <w:pStyle w:val="Bezmezer"/>
                        <w:keepNext/>
                        <w:widowControl w:val="0"/>
                        <w:pBdr>
                          <w:bottom w:val="single" w:sz="4" w:space="1" w:color="auto"/>
                        </w:pBdr>
                        <w:rPr>
                          <w:kern w:val="2"/>
                          <w:sz w:val="16"/>
                          <w:szCs w:val="12"/>
                        </w:rPr>
                      </w:pPr>
                      <w:r>
                        <w:rPr>
                          <w:kern w:val="2"/>
                          <w:sz w:val="16"/>
                          <w:szCs w:val="12"/>
                        </w:rPr>
                        <w:t>(P</w:t>
                      </w:r>
                      <w:r w:rsidRPr="003D42EF">
                        <w:rPr>
                          <w:kern w:val="2"/>
                          <w:sz w:val="16"/>
                          <w:szCs w:val="12"/>
                        </w:rPr>
                        <w:t xml:space="preserve">roduktivita = </w:t>
                      </w:r>
                      <w:r>
                        <w:rPr>
                          <w:kern w:val="2"/>
                          <w:sz w:val="16"/>
                          <w:szCs w:val="12"/>
                        </w:rPr>
                        <w:t>P</w:t>
                      </w:r>
                      <w:r w:rsidRPr="003D42EF">
                        <w:rPr>
                          <w:kern w:val="2"/>
                          <w:sz w:val="16"/>
                          <w:szCs w:val="12"/>
                        </w:rPr>
                        <w:t xml:space="preserve">řidaná hodnota / </w:t>
                      </w:r>
                      <w:r>
                        <w:rPr>
                          <w:kern w:val="2"/>
                          <w:sz w:val="16"/>
                          <w:szCs w:val="12"/>
                        </w:rPr>
                        <w:t>Z</w:t>
                      </w:r>
                      <w:r w:rsidRPr="003D42EF">
                        <w:rPr>
                          <w:kern w:val="2"/>
                          <w:sz w:val="16"/>
                          <w:szCs w:val="12"/>
                        </w:rPr>
                        <w:t>aměstnanost</w:t>
                      </w:r>
                      <w:r>
                        <w:rPr>
                          <w:kern w:val="2"/>
                          <w:sz w:val="16"/>
                          <w:szCs w:val="12"/>
                        </w:rPr>
                        <w:t>, v tis. EUR)</w:t>
                      </w:r>
                    </w:p>
                    <w:p w14:paraId="69B5BC1A" w14:textId="77777777" w:rsidR="002B6B23" w:rsidRPr="003514B1" w:rsidRDefault="002B6B23" w:rsidP="002B6B23">
                      <w:pPr>
                        <w:pStyle w:val="Bezmezer"/>
                        <w:keepNext/>
                        <w:widowControl w:val="0"/>
                        <w:rPr>
                          <w:kern w:val="2"/>
                          <w:sz w:val="18"/>
                          <w:szCs w:val="16"/>
                        </w:rPr>
                      </w:pPr>
                      <w:r>
                        <w:rPr>
                          <w:noProof/>
                          <w:lang w:eastAsia="cs-CZ"/>
                        </w:rPr>
                        <w:drawing>
                          <wp:inline distT="0" distB="0" distL="0" distR="0" wp14:anchorId="2E859091" wp14:editId="5507E197">
                            <wp:extent cx="3059430" cy="2609850"/>
                            <wp:effectExtent l="0" t="0" r="7620" b="0"/>
                            <wp:docPr id="34" name="Graf 34">
                              <a:extLst xmlns:a="http://schemas.openxmlformats.org/drawingml/2006/main">
                                <a:ext uri="{FF2B5EF4-FFF2-40B4-BE49-F238E27FC236}">
                                  <a16:creationId xmlns:a16="http://schemas.microsoft.com/office/drawing/2014/main" id="{B15EEE82-D683-4A4D-925C-A8D826C8D95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14:paraId="7BFE134C" w14:textId="77777777" w:rsidR="002B6B23" w:rsidRDefault="002B6B23" w:rsidP="002B6B23">
                      <w:pPr>
                        <w:widowControl w:val="0"/>
                        <w:pBdr>
                          <w:top w:val="single" w:sz="4" w:space="1" w:color="auto"/>
                        </w:pBdr>
                        <w:spacing w:after="0"/>
                        <w:rPr>
                          <w:kern w:val="2"/>
                          <w:sz w:val="14"/>
                          <w:szCs w:val="16"/>
                        </w:rPr>
                      </w:pPr>
                      <w:r w:rsidRPr="007B5A7A">
                        <w:rPr>
                          <w:kern w:val="2"/>
                          <w:sz w:val="14"/>
                          <w:szCs w:val="16"/>
                        </w:rPr>
                        <w:t>Pramen: data</w:t>
                      </w:r>
                      <w:r>
                        <w:rPr>
                          <w:kern w:val="2"/>
                          <w:sz w:val="14"/>
                          <w:szCs w:val="16"/>
                        </w:rPr>
                        <w:t xml:space="preserve"> Eurostat</w:t>
                      </w:r>
                      <w:r w:rsidRPr="007B5A7A">
                        <w:rPr>
                          <w:kern w:val="2"/>
                          <w:sz w:val="14"/>
                          <w:szCs w:val="16"/>
                        </w:rPr>
                        <w:t>, graf</w:t>
                      </w:r>
                      <w:r>
                        <w:rPr>
                          <w:kern w:val="2"/>
                          <w:sz w:val="14"/>
                          <w:szCs w:val="16"/>
                        </w:rPr>
                        <w:t xml:space="preserve"> MPO</w:t>
                      </w:r>
                    </w:p>
                  </w:txbxContent>
                </v:textbox>
                <w10:wrap type="square" anchorx="margin" anchory="margin"/>
              </v:shape>
            </w:pict>
          </mc:Fallback>
        </mc:AlternateContent>
      </w:r>
      <w:r w:rsidRPr="003A3161">
        <w:rPr>
          <w:b/>
          <w:noProof/>
          <w:kern w:val="2"/>
          <w:lang w:eastAsia="cs-CZ"/>
        </w:rPr>
        <mc:AlternateContent>
          <mc:Choice Requires="wps">
            <w:drawing>
              <wp:anchor distT="151130" distB="151130" distL="114300" distR="114300" simplePos="0" relativeHeight="251813888" behindDoc="0" locked="0" layoutInCell="1" allowOverlap="1" wp14:anchorId="77534F2E" wp14:editId="521197EA">
                <wp:simplePos x="0" y="0"/>
                <wp:positionH relativeFrom="margin">
                  <wp:align>left</wp:align>
                </wp:positionH>
                <wp:positionV relativeFrom="margin">
                  <wp:align>top</wp:align>
                </wp:positionV>
                <wp:extent cx="3059430" cy="2310130"/>
                <wp:effectExtent l="0" t="0" r="7620" b="13970"/>
                <wp:wrapSquare wrapText="bothSides"/>
                <wp:docPr id="113"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59430" cy="2310130"/>
                        </a:xfrm>
                        <a:prstGeom prst="rect">
                          <a:avLst/>
                        </a:prstGeom>
                        <a:noFill/>
                        <a:ln w="9525">
                          <a:noFill/>
                          <a:miter lim="800000"/>
                          <a:headEnd/>
                          <a:tailEnd/>
                        </a:ln>
                      </wps:spPr>
                      <wps:txbx>
                        <w:txbxContent>
                          <w:p w14:paraId="2A6652AC" w14:textId="77777777" w:rsidR="002B6B23" w:rsidRDefault="002B6B23" w:rsidP="00301991">
                            <w:pPr>
                              <w:pStyle w:val="Bezmezer"/>
                            </w:pPr>
                            <w:r w:rsidRPr="00F92E0B">
                              <w:t>Struktura zpracovatelského průmyslu dle přidané hodnoty</w:t>
                            </w:r>
                          </w:p>
                          <w:p w14:paraId="327E4AC8" w14:textId="77777777" w:rsidR="002B6B23" w:rsidRPr="00C872A3" w:rsidRDefault="002B6B23" w:rsidP="002B6B23">
                            <w:pPr>
                              <w:pStyle w:val="Bezmezer"/>
                              <w:keepNext/>
                              <w:widowControl w:val="0"/>
                              <w:pBdr>
                                <w:bottom w:val="single" w:sz="4" w:space="1" w:color="auto"/>
                              </w:pBdr>
                              <w:rPr>
                                <w:kern w:val="2"/>
                                <w:szCs w:val="16"/>
                              </w:rPr>
                            </w:pPr>
                            <w:r>
                              <w:rPr>
                                <w:kern w:val="2"/>
                                <w:sz w:val="16"/>
                                <w:szCs w:val="12"/>
                              </w:rPr>
                              <w:t>(podíl PH na zpracovatelském průmyslu, v %)</w:t>
                            </w:r>
                          </w:p>
                          <w:p w14:paraId="32079A46" w14:textId="77777777" w:rsidR="002B6B23" w:rsidRPr="003514B1" w:rsidRDefault="002B6B23" w:rsidP="002B6B23">
                            <w:pPr>
                              <w:pStyle w:val="Bezmezer"/>
                              <w:keepNext/>
                              <w:widowControl w:val="0"/>
                              <w:rPr>
                                <w:kern w:val="2"/>
                                <w:sz w:val="18"/>
                                <w:szCs w:val="16"/>
                              </w:rPr>
                            </w:pPr>
                            <w:r>
                              <w:rPr>
                                <w:noProof/>
                                <w:lang w:eastAsia="cs-CZ"/>
                              </w:rPr>
                              <w:drawing>
                                <wp:inline distT="0" distB="0" distL="0" distR="0" wp14:anchorId="0BAE531E" wp14:editId="39B7503C">
                                  <wp:extent cx="3050540" cy="2609850"/>
                                  <wp:effectExtent l="0" t="0" r="0" b="0"/>
                                  <wp:docPr id="35" name="Graf 35">
                                    <a:extLst xmlns:a="http://schemas.openxmlformats.org/drawingml/2006/main">
                                      <a:ext uri="{FF2B5EF4-FFF2-40B4-BE49-F238E27FC236}">
                                        <a16:creationId xmlns:a16="http://schemas.microsoft.com/office/drawing/2014/main" id="{A8C64321-AA8E-4D54-8021-28D4757A8FF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14:paraId="68B62B12" w14:textId="77777777" w:rsidR="002B6B23" w:rsidRDefault="002B6B23" w:rsidP="002B6B23">
                            <w:pPr>
                              <w:widowControl w:val="0"/>
                              <w:pBdr>
                                <w:top w:val="single" w:sz="4" w:space="1" w:color="auto"/>
                              </w:pBdr>
                              <w:spacing w:after="0"/>
                              <w:rPr>
                                <w:kern w:val="2"/>
                                <w:sz w:val="14"/>
                                <w:szCs w:val="16"/>
                              </w:rPr>
                            </w:pPr>
                            <w:r w:rsidRPr="007B5A7A">
                              <w:rPr>
                                <w:kern w:val="2"/>
                                <w:sz w:val="14"/>
                                <w:szCs w:val="16"/>
                              </w:rPr>
                              <w:t>Pramen: data</w:t>
                            </w:r>
                            <w:r>
                              <w:rPr>
                                <w:kern w:val="2"/>
                                <w:sz w:val="14"/>
                                <w:szCs w:val="16"/>
                              </w:rPr>
                              <w:t xml:space="preserve"> Eurostat</w:t>
                            </w:r>
                            <w:r w:rsidRPr="007B5A7A">
                              <w:rPr>
                                <w:kern w:val="2"/>
                                <w:sz w:val="14"/>
                                <w:szCs w:val="16"/>
                              </w:rPr>
                              <w:t>, graf</w:t>
                            </w:r>
                            <w:r>
                              <w:rPr>
                                <w:kern w:val="2"/>
                                <w:sz w:val="14"/>
                                <w:szCs w:val="16"/>
                              </w:rPr>
                              <w:t xml:space="preserve"> MPO</w:t>
                            </w:r>
                          </w:p>
                        </w:txbxContent>
                      </wps:txbx>
                      <wps:bodyPr rot="0" vert="horz" wrap="square" lIns="0" tIns="0" rIns="0" bIns="0" anchor="t" anchorCtr="0">
                        <a:spAutoFit/>
                      </wps:bodyPr>
                    </wps:wsp>
                  </a:graphicData>
                </a:graphic>
                <wp14:sizeRelH relativeFrom="margin">
                  <wp14:pctWidth>0</wp14:pctWidth>
                </wp14:sizeRelH>
                <wp14:sizeRelV relativeFrom="margin">
                  <wp14:pctHeight>0</wp14:pctHeight>
                </wp14:sizeRelV>
              </wp:anchor>
            </w:drawing>
          </mc:Choice>
          <mc:Fallback>
            <w:pict>
              <v:shape w14:anchorId="77534F2E" id="_x0000_s1056" type="#_x0000_t202" style="position:absolute;left:0;text-align:left;margin-left:0;margin-top:0;width:240.9pt;height:181.9pt;z-index:251813888;visibility:visible;mso-wrap-style:square;mso-width-percent:0;mso-height-percent:0;mso-wrap-distance-left:9pt;mso-wrap-distance-top:11.9pt;mso-wrap-distance-right:9pt;mso-wrap-distance-bottom:11.9pt;mso-position-horizontal:left;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" filled="f" stroked="f">
                <v:textbox style="mso-fit-shape-to-text:t" inset="0,0,0,0">
                  <w:txbxContent>
                    <w:p w14:paraId="2A6652AC" w14:textId="77777777" w:rsidR="002B6B23" w:rsidRDefault="002B6B23" w:rsidP="00301991">
                      <w:pPr>
                        <w:pStyle w:val="Bezmezer"/>
                      </w:pPr>
                      <w:r w:rsidRPr="00F92E0B">
                        <w:t>Struktura zpracovatelského průmyslu dle přidané hodnoty</w:t>
                      </w:r>
                    </w:p>
                    <w:p w14:paraId="327E4AC8" w14:textId="77777777" w:rsidR="002B6B23" w:rsidRPr="00C872A3" w:rsidRDefault="002B6B23" w:rsidP="002B6B23">
                      <w:pPr>
                        <w:pStyle w:val="Bezmezer"/>
                        <w:keepNext/>
                        <w:widowControl w:val="0"/>
                        <w:pBdr>
                          <w:bottom w:val="single" w:sz="4" w:space="1" w:color="auto"/>
                        </w:pBdr>
                        <w:rPr>
                          <w:kern w:val="2"/>
                          <w:szCs w:val="16"/>
                        </w:rPr>
                      </w:pPr>
                      <w:r>
                        <w:rPr>
                          <w:kern w:val="2"/>
                          <w:sz w:val="16"/>
                          <w:szCs w:val="12"/>
                        </w:rPr>
                        <w:t>(podíl PH na zpracovatelském průmyslu, v %)</w:t>
                      </w:r>
                    </w:p>
                    <w:p w14:paraId="32079A46" w14:textId="77777777" w:rsidR="002B6B23" w:rsidRPr="003514B1" w:rsidRDefault="002B6B23" w:rsidP="002B6B23">
                      <w:pPr>
                        <w:pStyle w:val="Bezmezer"/>
                        <w:keepNext/>
                        <w:widowControl w:val="0"/>
                        <w:rPr>
                          <w:kern w:val="2"/>
                          <w:sz w:val="18"/>
                          <w:szCs w:val="16"/>
                        </w:rPr>
                      </w:pPr>
                      <w:r>
                        <w:rPr>
                          <w:noProof/>
                          <w:lang w:eastAsia="cs-CZ"/>
                        </w:rPr>
                        <w:drawing>
                          <wp:inline distT="0" distB="0" distL="0" distR="0" wp14:anchorId="0BAE531E" wp14:editId="39B7503C">
                            <wp:extent cx="3050540" cy="2609850"/>
                            <wp:effectExtent l="0" t="0" r="0" b="0"/>
                            <wp:docPr id="35" name="Graf 35">
                              <a:extLst xmlns:a="http://schemas.openxmlformats.org/drawingml/2006/main">
                                <a:ext uri="{FF2B5EF4-FFF2-40B4-BE49-F238E27FC236}">
                                  <a16:creationId xmlns:a16="http://schemas.microsoft.com/office/drawing/2014/main" id="{A8C64321-AA8E-4D54-8021-28D4757A8FF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14:paraId="68B62B12" w14:textId="77777777" w:rsidR="002B6B23" w:rsidRDefault="002B6B23" w:rsidP="002B6B23">
                      <w:pPr>
                        <w:widowControl w:val="0"/>
                        <w:pBdr>
                          <w:top w:val="single" w:sz="4" w:space="1" w:color="auto"/>
                        </w:pBdr>
                        <w:spacing w:after="0"/>
                        <w:rPr>
                          <w:kern w:val="2"/>
                          <w:sz w:val="14"/>
                          <w:szCs w:val="16"/>
                        </w:rPr>
                      </w:pPr>
                      <w:r w:rsidRPr="007B5A7A">
                        <w:rPr>
                          <w:kern w:val="2"/>
                          <w:sz w:val="14"/>
                          <w:szCs w:val="16"/>
                        </w:rPr>
                        <w:t>Pramen: data</w:t>
                      </w:r>
                      <w:r>
                        <w:rPr>
                          <w:kern w:val="2"/>
                          <w:sz w:val="14"/>
                          <w:szCs w:val="16"/>
                        </w:rPr>
                        <w:t xml:space="preserve"> Eurostat</w:t>
                      </w:r>
                      <w:r w:rsidRPr="007B5A7A">
                        <w:rPr>
                          <w:kern w:val="2"/>
                          <w:sz w:val="14"/>
                          <w:szCs w:val="16"/>
                        </w:rPr>
                        <w:t>, graf</w:t>
                      </w:r>
                      <w:r>
                        <w:rPr>
                          <w:kern w:val="2"/>
                          <w:sz w:val="14"/>
                          <w:szCs w:val="16"/>
                        </w:rPr>
                        <w:t xml:space="preserve"> MPO</w:t>
                      </w:r>
                    </w:p>
                  </w:txbxContent>
                </v:textbox>
                <w10:wrap type="square" anchorx="margin" anchory="margin"/>
              </v:shape>
            </w:pict>
          </mc:Fallback>
        </mc:AlternateContent>
      </w:r>
      <w:r>
        <w:br w:type="page"/>
      </w:r>
    </w:p>
    <w:p w14:paraId="5DF173E1" w14:textId="77777777" w:rsidR="002B6B23" w:rsidRDefault="002B6B23" w:rsidP="002B6B23">
      <w:pPr>
        <w:pStyle w:val="Text"/>
        <w:sectPr w:rsidR="002B6B23" w:rsidSect="008203F7">
          <w:headerReference w:type="default" r:id="rId44"/>
          <w:type w:val="continuous"/>
          <w:pgSz w:w="11906" w:h="16838"/>
          <w:pgMar w:top="1134" w:right="992" w:bottom="1134" w:left="992" w:header="709" w:footer="709" w:gutter="0"/>
          <w:cols w:space="708"/>
          <w:docGrid w:linePitch="360"/>
        </w:sectPr>
      </w:pPr>
    </w:p>
    <w:p w14:paraId="12F75715" w14:textId="77777777" w:rsidR="002B6B23" w:rsidRPr="00301991" w:rsidRDefault="002B6B23" w:rsidP="003C3221">
      <w:r w:rsidRPr="003A3161">
        <w:rPr>
          <w:noProof/>
          <w:lang w:eastAsia="cs-CZ"/>
        </w:rPr>
        <w:lastRenderedPageBreak/>
        <mc:AlternateContent>
          <mc:Choice Requires="wps">
            <w:drawing>
              <wp:anchor distT="151130" distB="151130" distL="114300" distR="114300" simplePos="0" relativeHeight="251832320" behindDoc="0" locked="0" layoutInCell="1" allowOverlap="1" wp14:anchorId="07FDBDC2" wp14:editId="2C657579">
                <wp:simplePos x="0" y="0"/>
                <wp:positionH relativeFrom="margin">
                  <wp:posOffset>3228975</wp:posOffset>
                </wp:positionH>
                <wp:positionV relativeFrom="margin">
                  <wp:posOffset>2465705</wp:posOffset>
                </wp:positionV>
                <wp:extent cx="3059430" cy="2553335"/>
                <wp:effectExtent l="0" t="0" r="7620" b="0"/>
                <wp:wrapSquare wrapText="bothSides"/>
                <wp:docPr id="114" name="Textové pole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59430" cy="2553335"/>
                        </a:xfrm>
                        <a:prstGeom prst="rect">
                          <a:avLst/>
                        </a:prstGeom>
                        <a:noFill/>
                        <a:ln w="9525">
                          <a:noFill/>
                          <a:miter lim="800000"/>
                          <a:headEnd/>
                          <a:tailEnd/>
                        </a:ln>
                      </wps:spPr>
                      <wps:txbx>
                        <w:txbxContent>
                          <w:p w14:paraId="488DD953" w14:textId="77777777" w:rsidR="002B6B23" w:rsidRDefault="002B6B23" w:rsidP="00301991">
                            <w:pPr>
                              <w:pStyle w:val="Bezmezer"/>
                            </w:pPr>
                            <w:r>
                              <w:t>Hrubý národní důchod na osobu v standardu kupní síly</w:t>
                            </w:r>
                          </w:p>
                          <w:p w14:paraId="04D72298" w14:textId="77777777" w:rsidR="002B6B23" w:rsidRPr="00C872A3" w:rsidRDefault="002B6B23" w:rsidP="002B6B23">
                            <w:pPr>
                              <w:pStyle w:val="Bezmezer"/>
                              <w:keepNext/>
                              <w:widowControl w:val="0"/>
                              <w:pBdr>
                                <w:bottom w:val="single" w:sz="4" w:space="1" w:color="auto"/>
                              </w:pBdr>
                              <w:rPr>
                                <w:kern w:val="2"/>
                                <w:szCs w:val="16"/>
                              </w:rPr>
                            </w:pPr>
                            <w:r>
                              <w:rPr>
                                <w:kern w:val="2"/>
                                <w:sz w:val="16"/>
                                <w:szCs w:val="12"/>
                              </w:rPr>
                              <w:t>(b. c., EU27=100)</w:t>
                            </w:r>
                          </w:p>
                          <w:p w14:paraId="4C56C1BD" w14:textId="77777777" w:rsidR="002B6B23" w:rsidRPr="003514B1" w:rsidRDefault="002B6B23" w:rsidP="002B6B23">
                            <w:pPr>
                              <w:pStyle w:val="Bezmezer"/>
                              <w:keepNext/>
                              <w:widowControl w:val="0"/>
                              <w:rPr>
                                <w:kern w:val="2"/>
                                <w:sz w:val="18"/>
                                <w:szCs w:val="16"/>
                              </w:rPr>
                            </w:pPr>
                            <w:r>
                              <w:rPr>
                                <w:noProof/>
                              </w:rPr>
                              <w:drawing>
                                <wp:inline distT="0" distB="0" distL="0" distR="0" wp14:anchorId="0E552FC8" wp14:editId="7516B9A9">
                                  <wp:extent cx="3050540" cy="1966913"/>
                                  <wp:effectExtent l="0" t="0" r="0" b="0"/>
                                  <wp:docPr id="36" name="Graf 36">
                                    <a:extLst xmlns:a="http://schemas.openxmlformats.org/drawingml/2006/main">
                                      <a:ext uri="{FF2B5EF4-FFF2-40B4-BE49-F238E27FC236}">
                                        <a16:creationId xmlns:a16="http://schemas.microsoft.com/office/drawing/2014/main" id="{7DDB1A61-6C7D-46FF-8026-25099ABF011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14:paraId="3753430E" w14:textId="77777777" w:rsidR="002B6B23" w:rsidRDefault="002B6B23" w:rsidP="002B6B23">
                            <w:pPr>
                              <w:widowControl w:val="0"/>
                              <w:pBdr>
                                <w:top w:val="single" w:sz="4" w:space="0" w:color="auto"/>
                              </w:pBdr>
                              <w:spacing w:after="0"/>
                              <w:rPr>
                                <w:kern w:val="2"/>
                                <w:sz w:val="14"/>
                                <w:szCs w:val="16"/>
                              </w:rPr>
                            </w:pPr>
                            <w:r w:rsidRPr="007B5A7A">
                              <w:rPr>
                                <w:kern w:val="2"/>
                                <w:sz w:val="14"/>
                                <w:szCs w:val="16"/>
                              </w:rPr>
                              <w:t>Pramen: data</w:t>
                            </w:r>
                            <w:r>
                              <w:rPr>
                                <w:kern w:val="2"/>
                                <w:sz w:val="14"/>
                                <w:szCs w:val="16"/>
                              </w:rPr>
                              <w:t xml:space="preserve"> Eurostat</w:t>
                            </w:r>
                            <w:r w:rsidRPr="007B5A7A">
                              <w:rPr>
                                <w:kern w:val="2"/>
                                <w:sz w:val="14"/>
                                <w:szCs w:val="16"/>
                              </w:rPr>
                              <w:t>, graf</w:t>
                            </w:r>
                            <w:r>
                              <w:rPr>
                                <w:kern w:val="2"/>
                                <w:sz w:val="14"/>
                                <w:szCs w:val="16"/>
                              </w:rPr>
                              <w:t xml:space="preserve"> MPO</w:t>
                            </w:r>
                          </w:p>
                        </w:txbxContent>
                      </wps:txbx>
                      <wps:bodyPr rot="0" vert="horz" wrap="square" lIns="0" tIns="0" rIns="0" bIns="0" anchor="t" anchorCtr="0">
                        <a:spAutoFit/>
                      </wps:bodyPr>
                    </wps:wsp>
                  </a:graphicData>
                </a:graphic>
                <wp14:sizeRelH relativeFrom="margin">
                  <wp14:pctWidth>0</wp14:pctWidth>
                </wp14:sizeRelH>
                <wp14:sizeRelV relativeFrom="margin">
                  <wp14:pctHeight>0</wp14:pctHeight>
                </wp14:sizeRelV>
              </wp:anchor>
            </w:drawing>
          </mc:Choice>
          <mc:Fallback>
            <w:pict>
              <v:shape w14:anchorId="07FDBDC2" id="Textové pole 114" o:spid="_x0000_s1057" type="#_x0000_t202" style="position:absolute;left:0;text-align:left;margin-left:254.25pt;margin-top:194.15pt;width:240.9pt;height:201.05pt;z-index:251832320;visibility:visible;mso-wrap-style:square;mso-width-percent:0;mso-height-percent:0;mso-wrap-distance-left:9pt;mso-wrap-distance-top:11.9pt;mso-wrap-distance-right:9pt;mso-wrap-distance-bottom:11.9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" filled="f" stroked="f">
                <v:textbox style="mso-fit-shape-to-text:t" inset="0,0,0,0">
                  <w:txbxContent>
                    <w:p w14:paraId="488DD953" w14:textId="77777777" w:rsidR="002B6B23" w:rsidRDefault="002B6B23" w:rsidP="00301991">
                      <w:pPr>
                        <w:pStyle w:val="Bezmezer"/>
                      </w:pPr>
                      <w:r>
                        <w:t>Hrubý národní důchod na osobu v standardu kupní síly</w:t>
                      </w:r>
                    </w:p>
                    <w:p w14:paraId="04D72298" w14:textId="77777777" w:rsidR="002B6B23" w:rsidRPr="00C872A3" w:rsidRDefault="002B6B23" w:rsidP="002B6B23">
                      <w:pPr>
                        <w:pStyle w:val="Bezmezer"/>
                        <w:keepNext/>
                        <w:widowControl w:val="0"/>
                        <w:pBdr>
                          <w:bottom w:val="single" w:sz="4" w:space="1" w:color="auto"/>
                        </w:pBdr>
                        <w:rPr>
                          <w:kern w:val="2"/>
                          <w:szCs w:val="16"/>
                        </w:rPr>
                      </w:pPr>
                      <w:r>
                        <w:rPr>
                          <w:kern w:val="2"/>
                          <w:sz w:val="16"/>
                          <w:szCs w:val="12"/>
                        </w:rPr>
                        <w:t>(b. c., EU27=100)</w:t>
                      </w:r>
                    </w:p>
                    <w:p w14:paraId="4C56C1BD" w14:textId="77777777" w:rsidR="002B6B23" w:rsidRPr="003514B1" w:rsidRDefault="002B6B23" w:rsidP="002B6B23">
                      <w:pPr>
                        <w:pStyle w:val="Bezmezer"/>
                        <w:keepNext/>
                        <w:widowControl w:val="0"/>
                        <w:rPr>
                          <w:kern w:val="2"/>
                          <w:sz w:val="18"/>
                          <w:szCs w:val="16"/>
                        </w:rPr>
                      </w:pPr>
                      <w:r>
                        <w:rPr>
                          <w:noProof/>
                        </w:rPr>
                        <w:drawing>
                          <wp:inline distT="0" distB="0" distL="0" distR="0" wp14:anchorId="0E552FC8" wp14:editId="7516B9A9">
                            <wp:extent cx="3050540" cy="1966913"/>
                            <wp:effectExtent l="0" t="0" r="0" b="0"/>
                            <wp:docPr id="36" name="Graf 36">
                              <a:extLst xmlns:a="http://schemas.openxmlformats.org/drawingml/2006/main">
                                <a:ext uri="{FF2B5EF4-FFF2-40B4-BE49-F238E27FC236}">
                                  <a16:creationId xmlns:a16="http://schemas.microsoft.com/office/drawing/2014/main" id="{7DDB1A61-6C7D-46FF-8026-25099ABF011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14:paraId="3753430E" w14:textId="77777777" w:rsidR="002B6B23" w:rsidRDefault="002B6B23" w:rsidP="002B6B23">
                      <w:pPr>
                        <w:widowControl w:val="0"/>
                        <w:pBdr>
                          <w:top w:val="single" w:sz="4" w:space="0" w:color="auto"/>
                        </w:pBdr>
                        <w:spacing w:after="0"/>
                        <w:rPr>
                          <w:kern w:val="2"/>
                          <w:sz w:val="14"/>
                          <w:szCs w:val="16"/>
                        </w:rPr>
                      </w:pPr>
                      <w:r w:rsidRPr="007B5A7A">
                        <w:rPr>
                          <w:kern w:val="2"/>
                          <w:sz w:val="14"/>
                          <w:szCs w:val="16"/>
                        </w:rPr>
                        <w:t>Pramen: data</w:t>
                      </w:r>
                      <w:r>
                        <w:rPr>
                          <w:kern w:val="2"/>
                          <w:sz w:val="14"/>
                          <w:szCs w:val="16"/>
                        </w:rPr>
                        <w:t xml:space="preserve"> Eurostat</w:t>
                      </w:r>
                      <w:r w:rsidRPr="007B5A7A">
                        <w:rPr>
                          <w:kern w:val="2"/>
                          <w:sz w:val="14"/>
                          <w:szCs w:val="16"/>
                        </w:rPr>
                        <w:t>, graf</w:t>
                      </w:r>
                      <w:r>
                        <w:rPr>
                          <w:kern w:val="2"/>
                          <w:sz w:val="14"/>
                          <w:szCs w:val="16"/>
                        </w:rPr>
                        <w:t xml:space="preserve"> MPO</w:t>
                      </w:r>
                    </w:p>
                  </w:txbxContent>
                </v:textbox>
                <w10:wrap type="square" anchorx="margin" anchory="margin"/>
              </v:shape>
            </w:pict>
          </mc:Fallback>
        </mc:AlternateContent>
      </w:r>
      <w:r w:rsidRPr="003A3161">
        <w:rPr>
          <w:noProof/>
          <w:lang w:eastAsia="cs-CZ"/>
        </w:rPr>
        <mc:AlternateContent>
          <mc:Choice Requires="wps">
            <w:drawing>
              <wp:anchor distT="151130" distB="151130" distL="114300" distR="114300" simplePos="0" relativeHeight="251837440" behindDoc="0" locked="0" layoutInCell="1" allowOverlap="1" wp14:anchorId="4B586D10" wp14:editId="1A5CCAF1">
                <wp:simplePos x="0" y="0"/>
                <wp:positionH relativeFrom="margin">
                  <wp:posOffset>-1270</wp:posOffset>
                </wp:positionH>
                <wp:positionV relativeFrom="margin">
                  <wp:posOffset>2466975</wp:posOffset>
                </wp:positionV>
                <wp:extent cx="3059430" cy="2625090"/>
                <wp:effectExtent l="0" t="0" r="7620" b="3810"/>
                <wp:wrapSquare wrapText="bothSides"/>
                <wp:docPr id="115" name="Textové pole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59430" cy="2625090"/>
                        </a:xfrm>
                        <a:prstGeom prst="rect">
                          <a:avLst/>
                        </a:prstGeom>
                        <a:noFill/>
                        <a:ln w="9525">
                          <a:noFill/>
                          <a:miter lim="800000"/>
                          <a:headEnd/>
                          <a:tailEnd/>
                        </a:ln>
                      </wps:spPr>
                      <wps:txbx>
                        <w:txbxContent>
                          <w:p w14:paraId="03DD7678" w14:textId="4BCDF3FE" w:rsidR="002B6B23" w:rsidRPr="00301991" w:rsidRDefault="002B6B23" w:rsidP="00301991">
                            <w:pPr>
                              <w:pStyle w:val="Bezmezer"/>
                            </w:pPr>
                            <w:r w:rsidRPr="00B96DD0">
                              <w:t>Hrubý domácí produkt na 1 obyvatele</w:t>
                            </w:r>
                          </w:p>
                          <w:p w14:paraId="621686A0" w14:textId="77777777" w:rsidR="002B6B23" w:rsidRPr="00C872A3" w:rsidRDefault="002B6B23" w:rsidP="002B6B23">
                            <w:pPr>
                              <w:pStyle w:val="Bezmezer"/>
                              <w:keepNext/>
                              <w:widowControl w:val="0"/>
                              <w:pBdr>
                                <w:bottom w:val="single" w:sz="4" w:space="1" w:color="auto"/>
                              </w:pBdr>
                              <w:rPr>
                                <w:kern w:val="2"/>
                                <w:szCs w:val="16"/>
                              </w:rPr>
                            </w:pPr>
                            <w:r>
                              <w:rPr>
                                <w:kern w:val="2"/>
                                <w:sz w:val="16"/>
                                <w:szCs w:val="12"/>
                              </w:rPr>
                              <w:t>(</w:t>
                            </w:r>
                            <w:r w:rsidRPr="00B96DD0">
                              <w:rPr>
                                <w:kern w:val="2"/>
                                <w:sz w:val="16"/>
                                <w:szCs w:val="12"/>
                              </w:rPr>
                              <w:t>v PPS, EU 27 = 100</w:t>
                            </w:r>
                            <w:r>
                              <w:rPr>
                                <w:kern w:val="2"/>
                                <w:sz w:val="16"/>
                                <w:szCs w:val="12"/>
                              </w:rPr>
                              <w:t>)</w:t>
                            </w:r>
                          </w:p>
                          <w:p w14:paraId="15378856" w14:textId="77777777" w:rsidR="002B6B23" w:rsidRPr="003514B1" w:rsidRDefault="002B6B23" w:rsidP="002B6B23">
                            <w:pPr>
                              <w:pStyle w:val="Bezmezer"/>
                              <w:keepNext/>
                              <w:widowControl w:val="0"/>
                              <w:rPr>
                                <w:kern w:val="2"/>
                                <w:sz w:val="18"/>
                                <w:szCs w:val="16"/>
                              </w:rPr>
                            </w:pPr>
                            <w:r>
                              <w:rPr>
                                <w:noProof/>
                              </w:rPr>
                              <w:drawing>
                                <wp:inline distT="0" distB="0" distL="0" distR="0" wp14:anchorId="5DB74CB7" wp14:editId="5C06E1B8">
                                  <wp:extent cx="3050540" cy="1966595"/>
                                  <wp:effectExtent l="0" t="0" r="0" b="0"/>
                                  <wp:docPr id="37" name="Graf 37">
                                    <a:extLst xmlns:a="http://schemas.openxmlformats.org/drawingml/2006/main">
                                      <a:ext uri="{FF2B5EF4-FFF2-40B4-BE49-F238E27FC236}">
                                        <a16:creationId xmlns:a16="http://schemas.microsoft.com/office/drawing/2014/main" id="{3DF9C657-0663-4EC4-8B26-34659D04C6A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14:paraId="0E76076A" w14:textId="77777777" w:rsidR="002B6B23" w:rsidRDefault="002B6B23" w:rsidP="002B6B23">
                            <w:pPr>
                              <w:widowControl w:val="0"/>
                              <w:pBdr>
                                <w:top w:val="single" w:sz="4" w:space="0" w:color="auto"/>
                              </w:pBdr>
                              <w:spacing w:after="0"/>
                              <w:rPr>
                                <w:kern w:val="2"/>
                                <w:sz w:val="14"/>
                                <w:szCs w:val="16"/>
                              </w:rPr>
                            </w:pPr>
                            <w:r w:rsidRPr="007B5A7A">
                              <w:rPr>
                                <w:kern w:val="2"/>
                                <w:sz w:val="14"/>
                                <w:szCs w:val="16"/>
                              </w:rPr>
                              <w:t>Pramen: data</w:t>
                            </w:r>
                            <w:r>
                              <w:rPr>
                                <w:kern w:val="2"/>
                                <w:sz w:val="14"/>
                                <w:szCs w:val="16"/>
                              </w:rPr>
                              <w:t xml:space="preserve"> ČSÚ</w:t>
                            </w:r>
                            <w:r w:rsidRPr="007B5A7A">
                              <w:rPr>
                                <w:kern w:val="2"/>
                                <w:sz w:val="14"/>
                                <w:szCs w:val="16"/>
                              </w:rPr>
                              <w:t>, graf</w:t>
                            </w:r>
                            <w:r>
                              <w:rPr>
                                <w:kern w:val="2"/>
                                <w:sz w:val="14"/>
                                <w:szCs w:val="16"/>
                              </w:rPr>
                              <w:t xml:space="preserve"> MPO</w:t>
                            </w:r>
                          </w:p>
                          <w:p w14:paraId="61071B83" w14:textId="77777777" w:rsidR="002B6B23" w:rsidRDefault="002B6B23" w:rsidP="002B6B23">
                            <w:pPr>
                              <w:widowControl w:val="0"/>
                              <w:pBdr>
                                <w:top w:val="single" w:sz="4" w:space="0" w:color="auto"/>
                              </w:pBdr>
                              <w:spacing w:after="0"/>
                              <w:rPr>
                                <w:kern w:val="2"/>
                                <w:sz w:val="14"/>
                                <w:szCs w:val="16"/>
                              </w:rPr>
                            </w:pPr>
                            <w:r>
                              <w:rPr>
                                <w:kern w:val="2"/>
                                <w:sz w:val="14"/>
                                <w:szCs w:val="16"/>
                              </w:rPr>
                              <w:t>Pozn.: Hl. m. Praha: 2012:</w:t>
                            </w:r>
                            <w:r w:rsidRPr="00B96DD0">
                              <w:rPr>
                                <w:kern w:val="2"/>
                                <w:sz w:val="14"/>
                                <w:szCs w:val="16"/>
                              </w:rPr>
                              <w:t xml:space="preserve"> 185,0</w:t>
                            </w:r>
                            <w:r>
                              <w:rPr>
                                <w:kern w:val="2"/>
                                <w:sz w:val="14"/>
                                <w:szCs w:val="16"/>
                              </w:rPr>
                              <w:t xml:space="preserve">; 2022: </w:t>
                            </w:r>
                            <w:r w:rsidRPr="00B96DD0">
                              <w:rPr>
                                <w:kern w:val="2"/>
                                <w:sz w:val="14"/>
                                <w:szCs w:val="16"/>
                              </w:rPr>
                              <w:t>207,0</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4B586D10" id="Textové pole 115" o:spid="_x0000_s1058" type="#_x0000_t202" style="position:absolute;left:0;text-align:left;margin-left:-.1pt;margin-top:194.25pt;width:240.9pt;height:206.7pt;z-index:251837440;visibility:visible;mso-wrap-style:square;mso-width-percent:0;mso-height-percent:0;mso-wrap-distance-left:9pt;mso-wrap-distance-top:11.9pt;mso-wrap-distance-right:9pt;mso-wrap-distance-bottom:11.9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" filled="f" stroked="f">
                <v:textbox inset="0,0,0,0">
                  <w:txbxContent>
                    <w:p w14:paraId="03DD7678" w14:textId="4BCDF3FE" w:rsidR="002B6B23" w:rsidRPr="00301991" w:rsidRDefault="002B6B23" w:rsidP="00301991">
                      <w:pPr>
                        <w:pStyle w:val="Bezmezer"/>
                      </w:pPr>
                      <w:r w:rsidRPr="00B96DD0">
                        <w:t>Hrubý domácí produkt na 1 obyvatele</w:t>
                      </w:r>
                    </w:p>
                    <w:p w14:paraId="621686A0" w14:textId="77777777" w:rsidR="002B6B23" w:rsidRPr="00C872A3" w:rsidRDefault="002B6B23" w:rsidP="002B6B23">
                      <w:pPr>
                        <w:pStyle w:val="Bezmezer"/>
                        <w:keepNext/>
                        <w:widowControl w:val="0"/>
                        <w:pBdr>
                          <w:bottom w:val="single" w:sz="4" w:space="1" w:color="auto"/>
                        </w:pBdr>
                        <w:rPr>
                          <w:kern w:val="2"/>
                          <w:szCs w:val="16"/>
                        </w:rPr>
                      </w:pPr>
                      <w:r>
                        <w:rPr>
                          <w:kern w:val="2"/>
                          <w:sz w:val="16"/>
                          <w:szCs w:val="12"/>
                        </w:rPr>
                        <w:t>(</w:t>
                      </w:r>
                      <w:r w:rsidRPr="00B96DD0">
                        <w:rPr>
                          <w:kern w:val="2"/>
                          <w:sz w:val="16"/>
                          <w:szCs w:val="12"/>
                        </w:rPr>
                        <w:t>v PPS, EU 27 = 100</w:t>
                      </w:r>
                      <w:r>
                        <w:rPr>
                          <w:kern w:val="2"/>
                          <w:sz w:val="16"/>
                          <w:szCs w:val="12"/>
                        </w:rPr>
                        <w:t>)</w:t>
                      </w:r>
                    </w:p>
                    <w:p w14:paraId="15378856" w14:textId="77777777" w:rsidR="002B6B23" w:rsidRPr="003514B1" w:rsidRDefault="002B6B23" w:rsidP="002B6B23">
                      <w:pPr>
                        <w:pStyle w:val="Bezmezer"/>
                        <w:keepNext/>
                        <w:widowControl w:val="0"/>
                        <w:rPr>
                          <w:kern w:val="2"/>
                          <w:sz w:val="18"/>
                          <w:szCs w:val="16"/>
                        </w:rPr>
                      </w:pPr>
                      <w:r>
                        <w:rPr>
                          <w:noProof/>
                        </w:rPr>
                        <w:drawing>
                          <wp:inline distT="0" distB="0" distL="0" distR="0" wp14:anchorId="5DB74CB7" wp14:editId="5C06E1B8">
                            <wp:extent cx="3050540" cy="1966595"/>
                            <wp:effectExtent l="0" t="0" r="0" b="0"/>
                            <wp:docPr id="37" name="Graf 37">
                              <a:extLst xmlns:a="http://schemas.openxmlformats.org/drawingml/2006/main">
                                <a:ext uri="{FF2B5EF4-FFF2-40B4-BE49-F238E27FC236}">
                                  <a16:creationId xmlns:a16="http://schemas.microsoft.com/office/drawing/2014/main" id="{3DF9C657-0663-4EC4-8B26-34659D04C6A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14:paraId="0E76076A" w14:textId="77777777" w:rsidR="002B6B23" w:rsidRDefault="002B6B23" w:rsidP="002B6B23">
                      <w:pPr>
                        <w:widowControl w:val="0"/>
                        <w:pBdr>
                          <w:top w:val="single" w:sz="4" w:space="0" w:color="auto"/>
                        </w:pBdr>
                        <w:spacing w:after="0"/>
                        <w:rPr>
                          <w:kern w:val="2"/>
                          <w:sz w:val="14"/>
                          <w:szCs w:val="16"/>
                        </w:rPr>
                      </w:pPr>
                      <w:r w:rsidRPr="007B5A7A">
                        <w:rPr>
                          <w:kern w:val="2"/>
                          <w:sz w:val="14"/>
                          <w:szCs w:val="16"/>
                        </w:rPr>
                        <w:t>Pramen: data</w:t>
                      </w:r>
                      <w:r>
                        <w:rPr>
                          <w:kern w:val="2"/>
                          <w:sz w:val="14"/>
                          <w:szCs w:val="16"/>
                        </w:rPr>
                        <w:t xml:space="preserve"> ČSÚ</w:t>
                      </w:r>
                      <w:r w:rsidRPr="007B5A7A">
                        <w:rPr>
                          <w:kern w:val="2"/>
                          <w:sz w:val="14"/>
                          <w:szCs w:val="16"/>
                        </w:rPr>
                        <w:t>, graf</w:t>
                      </w:r>
                      <w:r>
                        <w:rPr>
                          <w:kern w:val="2"/>
                          <w:sz w:val="14"/>
                          <w:szCs w:val="16"/>
                        </w:rPr>
                        <w:t xml:space="preserve"> MPO</w:t>
                      </w:r>
                    </w:p>
                    <w:p w14:paraId="61071B83" w14:textId="77777777" w:rsidR="002B6B23" w:rsidRDefault="002B6B23" w:rsidP="002B6B23">
                      <w:pPr>
                        <w:widowControl w:val="0"/>
                        <w:pBdr>
                          <w:top w:val="single" w:sz="4" w:space="0" w:color="auto"/>
                        </w:pBdr>
                        <w:spacing w:after="0"/>
                        <w:rPr>
                          <w:kern w:val="2"/>
                          <w:sz w:val="14"/>
                          <w:szCs w:val="16"/>
                        </w:rPr>
                      </w:pPr>
                      <w:r>
                        <w:rPr>
                          <w:kern w:val="2"/>
                          <w:sz w:val="14"/>
                          <w:szCs w:val="16"/>
                        </w:rPr>
                        <w:t>Pozn.: Hl. m. Praha: 2012:</w:t>
                      </w:r>
                      <w:r w:rsidRPr="00B96DD0">
                        <w:rPr>
                          <w:kern w:val="2"/>
                          <w:sz w:val="14"/>
                          <w:szCs w:val="16"/>
                        </w:rPr>
                        <w:t xml:space="preserve"> 185,0</w:t>
                      </w:r>
                      <w:r>
                        <w:rPr>
                          <w:kern w:val="2"/>
                          <w:sz w:val="14"/>
                          <w:szCs w:val="16"/>
                        </w:rPr>
                        <w:t xml:space="preserve">; 2022: </w:t>
                      </w:r>
                      <w:r w:rsidRPr="00B96DD0">
                        <w:rPr>
                          <w:kern w:val="2"/>
                          <w:sz w:val="14"/>
                          <w:szCs w:val="16"/>
                        </w:rPr>
                        <w:t>207,0</w:t>
                      </w:r>
                    </w:p>
                  </w:txbxContent>
                </v:textbox>
                <w10:wrap type="square" anchorx="margin" anchory="margin"/>
              </v:shape>
            </w:pict>
          </mc:Fallback>
        </mc:AlternateContent>
      </w:r>
      <w:r w:rsidRPr="003A3161">
        <w:rPr>
          <w:noProof/>
          <w:lang w:eastAsia="cs-CZ"/>
        </w:rPr>
        <mc:AlternateContent>
          <mc:Choice Requires="wps">
            <w:drawing>
              <wp:anchor distT="151130" distB="151130" distL="114300" distR="114300" simplePos="0" relativeHeight="251831296" behindDoc="0" locked="0" layoutInCell="1" allowOverlap="1" wp14:anchorId="74E24801" wp14:editId="41821FBD">
                <wp:simplePos x="0" y="0"/>
                <wp:positionH relativeFrom="margin">
                  <wp:posOffset>-1270</wp:posOffset>
                </wp:positionH>
                <wp:positionV relativeFrom="margin">
                  <wp:posOffset>0</wp:posOffset>
                </wp:positionV>
                <wp:extent cx="3059430" cy="2509520"/>
                <wp:effectExtent l="0" t="0" r="7620" b="2540"/>
                <wp:wrapSquare wrapText="bothSides"/>
                <wp:docPr id="116" name="Textové pole 1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59430" cy="2509520"/>
                        </a:xfrm>
                        <a:prstGeom prst="rect">
                          <a:avLst/>
                        </a:prstGeom>
                        <a:noFill/>
                        <a:ln w="9525">
                          <a:noFill/>
                          <a:miter lim="800000"/>
                          <a:headEnd/>
                          <a:tailEnd/>
                        </a:ln>
                      </wps:spPr>
                      <wps:txbx>
                        <w:txbxContent>
                          <w:p w14:paraId="0F0E3680" w14:textId="77777777" w:rsidR="002B6B23" w:rsidRPr="00C872A3" w:rsidRDefault="002B6B23" w:rsidP="002B6B23">
                            <w:pPr>
                              <w:pStyle w:val="Bezmezer"/>
                              <w:keepNext/>
                              <w:widowControl w:val="0"/>
                              <w:pBdr>
                                <w:bottom w:val="single" w:sz="4" w:space="1" w:color="auto"/>
                              </w:pBdr>
                              <w:rPr>
                                <w:kern w:val="2"/>
                                <w:szCs w:val="16"/>
                              </w:rPr>
                            </w:pPr>
                            <w:r>
                              <w:t>Vymezení území pro účely SRR 21+</w:t>
                            </w:r>
                          </w:p>
                          <w:p w14:paraId="2F4D7A22" w14:textId="77777777" w:rsidR="002B6B23" w:rsidRPr="003514B1" w:rsidRDefault="002B6B23" w:rsidP="002B6B23">
                            <w:pPr>
                              <w:pStyle w:val="Bezmezer"/>
                              <w:keepNext/>
                              <w:widowControl w:val="0"/>
                              <w:rPr>
                                <w:kern w:val="2"/>
                                <w:sz w:val="18"/>
                                <w:szCs w:val="16"/>
                              </w:rPr>
                            </w:pPr>
                            <w:r>
                              <w:rPr>
                                <w:noProof/>
                              </w:rPr>
                              <w:drawing>
                                <wp:inline distT="0" distB="0" distL="0" distR="0" wp14:anchorId="00799BAC" wp14:editId="5455C12B">
                                  <wp:extent cx="3050540" cy="1985963"/>
                                  <wp:effectExtent l="0" t="0" r="0" b="0"/>
                                  <wp:docPr id="38" name="Obráze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3054352" cy="1988444"/>
                                          </a:xfrm>
                                          <a:prstGeom prst="rect">
                                            <a:avLst/>
                                          </a:prstGeom>
                                        </pic:spPr>
                                      </pic:pic>
                                    </a:graphicData>
                                  </a:graphic>
                                </wp:inline>
                              </w:drawing>
                            </w:r>
                          </w:p>
                          <w:p w14:paraId="4A533594" w14:textId="6D2387BD" w:rsidR="002B6B23" w:rsidRDefault="002B6B23" w:rsidP="002B6B23">
                            <w:pPr>
                              <w:widowControl w:val="0"/>
                              <w:pBdr>
                                <w:top w:val="single" w:sz="4" w:space="0" w:color="auto"/>
                              </w:pBdr>
                              <w:spacing w:after="0"/>
                              <w:rPr>
                                <w:kern w:val="2"/>
                                <w:sz w:val="14"/>
                                <w:szCs w:val="16"/>
                              </w:rPr>
                            </w:pPr>
                            <w:r w:rsidRPr="007B5A7A">
                              <w:rPr>
                                <w:kern w:val="2"/>
                                <w:sz w:val="14"/>
                                <w:szCs w:val="16"/>
                              </w:rPr>
                              <w:t xml:space="preserve">Pramen: </w:t>
                            </w:r>
                            <w:r>
                              <w:rPr>
                                <w:kern w:val="2"/>
                                <w:sz w:val="14"/>
                                <w:szCs w:val="16"/>
                              </w:rPr>
                              <w:t>MMR</w:t>
                            </w:r>
                            <w:r w:rsidR="007C73F5">
                              <w:rPr>
                                <w:kern w:val="2"/>
                                <w:sz w:val="14"/>
                                <w:szCs w:val="16"/>
                              </w:rPr>
                              <w:t xml:space="preserve"> (</w:t>
                            </w:r>
                            <w:r w:rsidRPr="00A76889">
                              <w:rPr>
                                <w:kern w:val="2"/>
                                <w:sz w:val="14"/>
                                <w:szCs w:val="16"/>
                              </w:rPr>
                              <w:t>Strategie regionálního rozvoje ČR 2021+</w:t>
                            </w:r>
                            <w:r w:rsidR="007C73F5">
                              <w:rPr>
                                <w:kern w:val="2"/>
                                <w:sz w:val="14"/>
                                <w:szCs w:val="16"/>
                              </w:rPr>
                              <w:t>)</w:t>
                            </w:r>
                          </w:p>
                        </w:txbxContent>
                      </wps:txbx>
                      <wps:bodyPr rot="0" vert="horz" wrap="square" lIns="0" tIns="0" rIns="0" bIns="0" anchor="t" anchorCtr="0">
                        <a:spAutoFit/>
                      </wps:bodyPr>
                    </wps:wsp>
                  </a:graphicData>
                </a:graphic>
                <wp14:sizeRelH relativeFrom="margin">
                  <wp14:pctWidth>0</wp14:pctWidth>
                </wp14:sizeRelH>
                <wp14:sizeRelV relativeFrom="margin">
                  <wp14:pctHeight>0</wp14:pctHeight>
                </wp14:sizeRelV>
              </wp:anchor>
            </w:drawing>
          </mc:Choice>
          <mc:Fallback>
            <w:pict>
              <v:shape w14:anchorId="74E24801" id="Textové pole 116" o:spid="_x0000_s1059" type="#_x0000_t202" style="position:absolute;left:0;text-align:left;margin-left:-.1pt;margin-top:0;width:240.9pt;height:197.6pt;z-index:251831296;visibility:visible;mso-wrap-style:square;mso-width-percent:0;mso-height-percent:0;mso-wrap-distance-left:9pt;mso-wrap-distance-top:11.9pt;mso-wrap-distance-right:9pt;mso-wrap-distance-bottom:11.9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" filled="f" stroked="f">
                <v:textbox style="mso-fit-shape-to-text:t" inset="0,0,0,0">
                  <w:txbxContent>
                    <w:p w14:paraId="0F0E3680" w14:textId="77777777" w:rsidR="002B6B23" w:rsidRPr="00C872A3" w:rsidRDefault="002B6B23" w:rsidP="002B6B23">
                      <w:pPr>
                        <w:pStyle w:val="Bezmezer"/>
                        <w:keepNext/>
                        <w:widowControl w:val="0"/>
                        <w:pBdr>
                          <w:bottom w:val="single" w:sz="4" w:space="1" w:color="auto"/>
                        </w:pBdr>
                        <w:rPr>
                          <w:kern w:val="2"/>
                          <w:szCs w:val="16"/>
                        </w:rPr>
                      </w:pPr>
                      <w:r>
                        <w:t>Vymezení území pro účely SRR 21+</w:t>
                      </w:r>
                    </w:p>
                    <w:p w14:paraId="2F4D7A22" w14:textId="77777777" w:rsidR="002B6B23" w:rsidRPr="003514B1" w:rsidRDefault="002B6B23" w:rsidP="002B6B23">
                      <w:pPr>
                        <w:pStyle w:val="Bezmezer"/>
                        <w:keepNext/>
                        <w:widowControl w:val="0"/>
                        <w:rPr>
                          <w:kern w:val="2"/>
                          <w:sz w:val="18"/>
                          <w:szCs w:val="16"/>
                        </w:rPr>
                      </w:pPr>
                      <w:r>
                        <w:rPr>
                          <w:noProof/>
                        </w:rPr>
                        <w:drawing>
                          <wp:inline distT="0" distB="0" distL="0" distR="0" wp14:anchorId="00799BAC" wp14:editId="5455C12B">
                            <wp:extent cx="3050540" cy="1985963"/>
                            <wp:effectExtent l="0" t="0" r="0" b="0"/>
                            <wp:docPr id="38" name="Obráze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3054352" cy="1988444"/>
                                    </a:xfrm>
                                    <a:prstGeom prst="rect">
                                      <a:avLst/>
                                    </a:prstGeom>
                                  </pic:spPr>
                                </pic:pic>
                              </a:graphicData>
                            </a:graphic>
                          </wp:inline>
                        </w:drawing>
                      </w:r>
                    </w:p>
                    <w:p w14:paraId="4A533594" w14:textId="6D2387BD" w:rsidR="002B6B23" w:rsidRDefault="002B6B23" w:rsidP="002B6B23">
                      <w:pPr>
                        <w:widowControl w:val="0"/>
                        <w:pBdr>
                          <w:top w:val="single" w:sz="4" w:space="0" w:color="auto"/>
                        </w:pBdr>
                        <w:spacing w:after="0"/>
                        <w:rPr>
                          <w:kern w:val="2"/>
                          <w:sz w:val="14"/>
                          <w:szCs w:val="16"/>
                        </w:rPr>
                      </w:pPr>
                      <w:r w:rsidRPr="007B5A7A">
                        <w:rPr>
                          <w:kern w:val="2"/>
                          <w:sz w:val="14"/>
                          <w:szCs w:val="16"/>
                        </w:rPr>
                        <w:t xml:space="preserve">Pramen: </w:t>
                      </w:r>
                      <w:r>
                        <w:rPr>
                          <w:kern w:val="2"/>
                          <w:sz w:val="14"/>
                          <w:szCs w:val="16"/>
                        </w:rPr>
                        <w:t>MMR</w:t>
                      </w:r>
                      <w:r w:rsidR="007C73F5">
                        <w:rPr>
                          <w:kern w:val="2"/>
                          <w:sz w:val="14"/>
                          <w:szCs w:val="16"/>
                        </w:rPr>
                        <w:t xml:space="preserve"> (</w:t>
                      </w:r>
                      <w:r w:rsidRPr="00A76889">
                        <w:rPr>
                          <w:kern w:val="2"/>
                          <w:sz w:val="14"/>
                          <w:szCs w:val="16"/>
                        </w:rPr>
                        <w:t>Strategie regionálního rozvoje ČR 2021+</w:t>
                      </w:r>
                      <w:r w:rsidR="007C73F5">
                        <w:rPr>
                          <w:kern w:val="2"/>
                          <w:sz w:val="14"/>
                          <w:szCs w:val="16"/>
                        </w:rPr>
                        <w:t>)</w:t>
                      </w:r>
                    </w:p>
                  </w:txbxContent>
                </v:textbox>
                <w10:wrap type="square" anchorx="margin" anchory="margin"/>
              </v:shape>
            </w:pict>
          </mc:Fallback>
        </mc:AlternateContent>
      </w:r>
      <w:r w:rsidRPr="003A3161">
        <w:rPr>
          <w:noProof/>
          <w:lang w:eastAsia="cs-CZ"/>
        </w:rPr>
        <mc:AlternateContent>
          <mc:Choice Requires="wps">
            <w:drawing>
              <wp:anchor distT="151130" distB="151130" distL="114300" distR="114300" simplePos="0" relativeHeight="251833344" behindDoc="0" locked="0" layoutInCell="1" allowOverlap="1" wp14:anchorId="6D5799E7" wp14:editId="54B82B40">
                <wp:simplePos x="0" y="0"/>
                <wp:positionH relativeFrom="margin">
                  <wp:posOffset>3237230</wp:posOffset>
                </wp:positionH>
                <wp:positionV relativeFrom="margin">
                  <wp:posOffset>-99695</wp:posOffset>
                </wp:positionV>
                <wp:extent cx="3059430" cy="2623820"/>
                <wp:effectExtent l="0" t="0" r="7620" b="5080"/>
                <wp:wrapSquare wrapText="bothSides"/>
                <wp:docPr id="117" name="Textové pole 1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59430" cy="2623820"/>
                        </a:xfrm>
                        <a:prstGeom prst="rect">
                          <a:avLst/>
                        </a:prstGeom>
                        <a:noFill/>
                        <a:ln w="9525">
                          <a:noFill/>
                          <a:miter lim="800000"/>
                          <a:headEnd/>
                          <a:tailEnd/>
                        </a:ln>
                      </wps:spPr>
                      <wps:txbx>
                        <w:txbxContent>
                          <w:p w14:paraId="78E0647D" w14:textId="77777777" w:rsidR="002B6B23" w:rsidRDefault="002B6B23" w:rsidP="00301991">
                            <w:pPr>
                              <w:pStyle w:val="Bezmezer"/>
                            </w:pPr>
                            <w:r>
                              <w:t>Medián hrubých měsíčních mezd</w:t>
                            </w:r>
                          </w:p>
                          <w:p w14:paraId="537BFADB" w14:textId="5D4C1BA8" w:rsidR="002B6B23" w:rsidRPr="00C872A3" w:rsidRDefault="002B6B23" w:rsidP="002B6B23">
                            <w:pPr>
                              <w:pStyle w:val="Bezmezer"/>
                              <w:keepNext/>
                              <w:widowControl w:val="0"/>
                              <w:pBdr>
                                <w:bottom w:val="single" w:sz="4" w:space="1" w:color="auto"/>
                              </w:pBdr>
                              <w:rPr>
                                <w:kern w:val="2"/>
                                <w:szCs w:val="16"/>
                              </w:rPr>
                            </w:pPr>
                            <w:r>
                              <w:rPr>
                                <w:kern w:val="2"/>
                                <w:sz w:val="16"/>
                                <w:szCs w:val="12"/>
                              </w:rPr>
                              <w:t>(</w:t>
                            </w:r>
                            <w:r w:rsidR="00301991">
                              <w:rPr>
                                <w:kern w:val="2"/>
                                <w:sz w:val="16"/>
                                <w:szCs w:val="12"/>
                              </w:rPr>
                              <w:t xml:space="preserve">v </w:t>
                            </w:r>
                            <w:r>
                              <w:rPr>
                                <w:kern w:val="2"/>
                                <w:sz w:val="16"/>
                                <w:szCs w:val="12"/>
                              </w:rPr>
                              <w:t>Kč)</w:t>
                            </w:r>
                          </w:p>
                          <w:p w14:paraId="56538FAE" w14:textId="77777777" w:rsidR="002B6B23" w:rsidRPr="003514B1" w:rsidRDefault="002B6B23" w:rsidP="002B6B23">
                            <w:pPr>
                              <w:pStyle w:val="Bezmezer"/>
                              <w:keepNext/>
                              <w:widowControl w:val="0"/>
                              <w:rPr>
                                <w:kern w:val="2"/>
                                <w:sz w:val="18"/>
                                <w:szCs w:val="16"/>
                              </w:rPr>
                            </w:pPr>
                            <w:r>
                              <w:rPr>
                                <w:noProof/>
                              </w:rPr>
                              <w:drawing>
                                <wp:inline distT="0" distB="0" distL="0" distR="0" wp14:anchorId="0794D012" wp14:editId="72FEFF01">
                                  <wp:extent cx="3050540" cy="1976120"/>
                                  <wp:effectExtent l="0" t="0" r="0" b="5080"/>
                                  <wp:docPr id="39" name="Graf 39">
                                    <a:extLst xmlns:a="http://schemas.openxmlformats.org/drawingml/2006/main">
                                      <a:ext uri="{FF2B5EF4-FFF2-40B4-BE49-F238E27FC236}">
                                        <a16:creationId xmlns:a16="http://schemas.microsoft.com/office/drawing/2014/main" id="{236FCA70-404E-4DCB-A0F3-1A9D3E830A6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14:paraId="5EBBE42B" w14:textId="77777777" w:rsidR="002B6B23" w:rsidRDefault="002B6B23" w:rsidP="002B6B23">
                            <w:pPr>
                              <w:widowControl w:val="0"/>
                              <w:pBdr>
                                <w:top w:val="single" w:sz="4" w:space="0" w:color="auto"/>
                              </w:pBdr>
                              <w:spacing w:after="0"/>
                              <w:rPr>
                                <w:kern w:val="2"/>
                                <w:sz w:val="14"/>
                                <w:szCs w:val="16"/>
                              </w:rPr>
                            </w:pPr>
                            <w:r w:rsidRPr="007B5A7A">
                              <w:rPr>
                                <w:kern w:val="2"/>
                                <w:sz w:val="14"/>
                                <w:szCs w:val="16"/>
                              </w:rPr>
                              <w:t>Pramen: data</w:t>
                            </w:r>
                            <w:r>
                              <w:rPr>
                                <w:kern w:val="2"/>
                                <w:sz w:val="14"/>
                                <w:szCs w:val="16"/>
                              </w:rPr>
                              <w:t xml:space="preserve"> Eurostat</w:t>
                            </w:r>
                            <w:r w:rsidRPr="007B5A7A">
                              <w:rPr>
                                <w:kern w:val="2"/>
                                <w:sz w:val="14"/>
                                <w:szCs w:val="16"/>
                              </w:rPr>
                              <w:t>, graf</w:t>
                            </w:r>
                            <w:r>
                              <w:rPr>
                                <w:kern w:val="2"/>
                                <w:sz w:val="14"/>
                                <w:szCs w:val="16"/>
                              </w:rPr>
                              <w:t xml:space="preserve"> MPO</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6D5799E7" id="Textové pole 117" o:spid="_x0000_s1060" type="#_x0000_t202" style="position:absolute;left:0;text-align:left;margin-left:254.9pt;margin-top:-7.85pt;width:240.9pt;height:206.6pt;z-index:251833344;visibility:visible;mso-wrap-style:square;mso-width-percent:0;mso-height-percent:0;mso-wrap-distance-left:9pt;mso-wrap-distance-top:11.9pt;mso-wrap-distance-right:9pt;mso-wrap-distance-bottom:11.9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" filled="f" stroked="f">
                <v:textbox inset="0,0,0,0">
                  <w:txbxContent>
                    <w:p w14:paraId="78E0647D" w14:textId="77777777" w:rsidR="002B6B23" w:rsidRDefault="002B6B23" w:rsidP="00301991">
                      <w:pPr>
                        <w:pStyle w:val="Bezmezer"/>
                      </w:pPr>
                      <w:r>
                        <w:t>Medián hrubých měsíčních mezd</w:t>
                      </w:r>
                    </w:p>
                    <w:p w14:paraId="537BFADB" w14:textId="5D4C1BA8" w:rsidR="002B6B23" w:rsidRPr="00C872A3" w:rsidRDefault="002B6B23" w:rsidP="002B6B23">
                      <w:pPr>
                        <w:pStyle w:val="Bezmezer"/>
                        <w:keepNext/>
                        <w:widowControl w:val="0"/>
                        <w:pBdr>
                          <w:bottom w:val="single" w:sz="4" w:space="1" w:color="auto"/>
                        </w:pBdr>
                        <w:rPr>
                          <w:kern w:val="2"/>
                          <w:szCs w:val="16"/>
                        </w:rPr>
                      </w:pPr>
                      <w:r>
                        <w:rPr>
                          <w:kern w:val="2"/>
                          <w:sz w:val="16"/>
                          <w:szCs w:val="12"/>
                        </w:rPr>
                        <w:t>(</w:t>
                      </w:r>
                      <w:r w:rsidR="00301991">
                        <w:rPr>
                          <w:kern w:val="2"/>
                          <w:sz w:val="16"/>
                          <w:szCs w:val="12"/>
                        </w:rPr>
                        <w:t xml:space="preserve">v </w:t>
                      </w:r>
                      <w:r>
                        <w:rPr>
                          <w:kern w:val="2"/>
                          <w:sz w:val="16"/>
                          <w:szCs w:val="12"/>
                        </w:rPr>
                        <w:t>Kč)</w:t>
                      </w:r>
                    </w:p>
                    <w:p w14:paraId="56538FAE" w14:textId="77777777" w:rsidR="002B6B23" w:rsidRPr="003514B1" w:rsidRDefault="002B6B23" w:rsidP="002B6B23">
                      <w:pPr>
                        <w:pStyle w:val="Bezmezer"/>
                        <w:keepNext/>
                        <w:widowControl w:val="0"/>
                        <w:rPr>
                          <w:kern w:val="2"/>
                          <w:sz w:val="18"/>
                          <w:szCs w:val="16"/>
                        </w:rPr>
                      </w:pPr>
                      <w:r>
                        <w:rPr>
                          <w:noProof/>
                        </w:rPr>
                        <w:drawing>
                          <wp:inline distT="0" distB="0" distL="0" distR="0" wp14:anchorId="0794D012" wp14:editId="72FEFF01">
                            <wp:extent cx="3050540" cy="1976120"/>
                            <wp:effectExtent l="0" t="0" r="0" b="5080"/>
                            <wp:docPr id="39" name="Graf 39">
                              <a:extLst xmlns:a="http://schemas.openxmlformats.org/drawingml/2006/main">
                                <a:ext uri="{FF2B5EF4-FFF2-40B4-BE49-F238E27FC236}">
                                  <a16:creationId xmlns:a16="http://schemas.microsoft.com/office/drawing/2014/main" id="{236FCA70-404E-4DCB-A0F3-1A9D3E830A6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14:paraId="5EBBE42B" w14:textId="77777777" w:rsidR="002B6B23" w:rsidRDefault="002B6B23" w:rsidP="002B6B23">
                      <w:pPr>
                        <w:widowControl w:val="0"/>
                        <w:pBdr>
                          <w:top w:val="single" w:sz="4" w:space="0" w:color="auto"/>
                        </w:pBdr>
                        <w:spacing w:after="0"/>
                        <w:rPr>
                          <w:kern w:val="2"/>
                          <w:sz w:val="14"/>
                          <w:szCs w:val="16"/>
                        </w:rPr>
                      </w:pPr>
                      <w:r w:rsidRPr="007B5A7A">
                        <w:rPr>
                          <w:kern w:val="2"/>
                          <w:sz w:val="14"/>
                          <w:szCs w:val="16"/>
                        </w:rPr>
                        <w:t>Pramen: data</w:t>
                      </w:r>
                      <w:r>
                        <w:rPr>
                          <w:kern w:val="2"/>
                          <w:sz w:val="14"/>
                          <w:szCs w:val="16"/>
                        </w:rPr>
                        <w:t xml:space="preserve"> Eurostat</w:t>
                      </w:r>
                      <w:r w:rsidRPr="007B5A7A">
                        <w:rPr>
                          <w:kern w:val="2"/>
                          <w:sz w:val="14"/>
                          <w:szCs w:val="16"/>
                        </w:rPr>
                        <w:t>, graf</w:t>
                      </w:r>
                      <w:r>
                        <w:rPr>
                          <w:kern w:val="2"/>
                          <w:sz w:val="14"/>
                          <w:szCs w:val="16"/>
                        </w:rPr>
                        <w:t xml:space="preserve"> MPO</w:t>
                      </w:r>
                    </w:p>
                  </w:txbxContent>
                </v:textbox>
                <w10:wrap type="square" anchorx="margin" anchory="margin"/>
              </v:shape>
            </w:pict>
          </mc:Fallback>
        </mc:AlternateContent>
      </w:r>
      <w:r w:rsidRPr="003A3161">
        <w:rPr>
          <w:noProof/>
          <w:lang w:eastAsia="cs-CZ"/>
        </w:rPr>
        <mc:AlternateContent>
          <mc:Choice Requires="wps">
            <w:drawing>
              <wp:anchor distT="151130" distB="151130" distL="114300" distR="114300" simplePos="0" relativeHeight="251834368" behindDoc="0" locked="0" layoutInCell="1" allowOverlap="1" wp14:anchorId="38602BAA" wp14:editId="5C77E46F">
                <wp:simplePos x="0" y="0"/>
                <wp:positionH relativeFrom="margin">
                  <wp:posOffset>3175</wp:posOffset>
                </wp:positionH>
                <wp:positionV relativeFrom="margin">
                  <wp:posOffset>5067300</wp:posOffset>
                </wp:positionV>
                <wp:extent cx="3059430" cy="2273935"/>
                <wp:effectExtent l="0" t="0" r="7620" b="12065"/>
                <wp:wrapSquare wrapText="bothSides"/>
                <wp:docPr id="118" name="Textové pole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59430" cy="2273935"/>
                        </a:xfrm>
                        <a:prstGeom prst="rect">
                          <a:avLst/>
                        </a:prstGeom>
                        <a:noFill/>
                        <a:ln w="9525">
                          <a:noFill/>
                          <a:miter lim="800000"/>
                          <a:headEnd/>
                          <a:tailEnd/>
                        </a:ln>
                      </wps:spPr>
                      <wps:txbx>
                        <w:txbxContent>
                          <w:p w14:paraId="3B89B99B" w14:textId="77777777" w:rsidR="002B6B23" w:rsidRDefault="002B6B23" w:rsidP="00301991">
                            <w:pPr>
                              <w:pStyle w:val="Bezmezer"/>
                            </w:pPr>
                            <w:r w:rsidRPr="005204D2">
                              <w:t>Populační projekce</w:t>
                            </w:r>
                          </w:p>
                          <w:p w14:paraId="2DA24D0C" w14:textId="77777777" w:rsidR="002B6B23" w:rsidRPr="00C872A3" w:rsidRDefault="002B6B23" w:rsidP="002B6B23">
                            <w:pPr>
                              <w:pStyle w:val="Bezmezer"/>
                              <w:keepNext/>
                              <w:widowControl w:val="0"/>
                              <w:pBdr>
                                <w:bottom w:val="single" w:sz="4" w:space="1" w:color="auto"/>
                              </w:pBdr>
                              <w:rPr>
                                <w:kern w:val="2"/>
                                <w:szCs w:val="16"/>
                              </w:rPr>
                            </w:pPr>
                            <w:r>
                              <w:rPr>
                                <w:kern w:val="2"/>
                                <w:sz w:val="16"/>
                                <w:szCs w:val="12"/>
                              </w:rPr>
                              <w:t>(mil. osob)</w:t>
                            </w:r>
                          </w:p>
                          <w:p w14:paraId="467281C0" w14:textId="77777777" w:rsidR="002B6B23" w:rsidRPr="003514B1" w:rsidRDefault="002B6B23" w:rsidP="002B6B23">
                            <w:pPr>
                              <w:pStyle w:val="Bezmezer"/>
                              <w:keepNext/>
                              <w:widowControl w:val="0"/>
                              <w:rPr>
                                <w:kern w:val="2"/>
                                <w:sz w:val="18"/>
                                <w:szCs w:val="16"/>
                              </w:rPr>
                            </w:pPr>
                            <w:r>
                              <w:rPr>
                                <w:noProof/>
                              </w:rPr>
                              <w:drawing>
                                <wp:inline distT="0" distB="0" distL="0" distR="0" wp14:anchorId="4DAC0FE9" wp14:editId="5CEB2C51">
                                  <wp:extent cx="3050540" cy="1700213"/>
                                  <wp:effectExtent l="0" t="0" r="0" b="0"/>
                                  <wp:docPr id="40" name="Graf 40">
                                    <a:extLst xmlns:a="http://schemas.openxmlformats.org/drawingml/2006/main">
                                      <a:ext uri="{FF2B5EF4-FFF2-40B4-BE49-F238E27FC236}">
                                        <a16:creationId xmlns:a16="http://schemas.microsoft.com/office/drawing/2014/main" id="{0B29902C-8B3E-4F2F-8F0A-FE1332D6F22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14:paraId="31E88C07" w14:textId="77777777" w:rsidR="002B6B23" w:rsidRDefault="002B6B23" w:rsidP="002B6B23">
                            <w:pPr>
                              <w:widowControl w:val="0"/>
                              <w:pBdr>
                                <w:top w:val="single" w:sz="4" w:space="0" w:color="auto"/>
                              </w:pBdr>
                              <w:spacing w:after="0"/>
                              <w:rPr>
                                <w:kern w:val="2"/>
                                <w:sz w:val="14"/>
                                <w:szCs w:val="16"/>
                              </w:rPr>
                            </w:pPr>
                            <w:r w:rsidRPr="007B5A7A">
                              <w:rPr>
                                <w:kern w:val="2"/>
                                <w:sz w:val="14"/>
                                <w:szCs w:val="16"/>
                              </w:rPr>
                              <w:t>Pramen: data</w:t>
                            </w:r>
                            <w:r>
                              <w:rPr>
                                <w:kern w:val="2"/>
                                <w:sz w:val="14"/>
                                <w:szCs w:val="16"/>
                              </w:rPr>
                              <w:t xml:space="preserve"> Eurostat</w:t>
                            </w:r>
                            <w:r w:rsidRPr="007B5A7A">
                              <w:rPr>
                                <w:kern w:val="2"/>
                                <w:sz w:val="14"/>
                                <w:szCs w:val="16"/>
                              </w:rPr>
                              <w:t>, graf</w:t>
                            </w:r>
                            <w:r>
                              <w:rPr>
                                <w:kern w:val="2"/>
                                <w:sz w:val="14"/>
                                <w:szCs w:val="16"/>
                              </w:rPr>
                              <w:t xml:space="preserve"> MPO</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38602BAA" id="Textové pole 118" o:spid="_x0000_s1061" type="#_x0000_t202" style="position:absolute;left:0;text-align:left;margin-left:.25pt;margin-top:399pt;width:240.9pt;height:179.05pt;z-index:251834368;visibility:visible;mso-wrap-style:square;mso-width-percent:0;mso-height-percent:0;mso-wrap-distance-left:9pt;mso-wrap-distance-top:11.9pt;mso-wrap-distance-right:9pt;mso-wrap-distance-bottom:11.9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" filled="f" stroked="f">
                <v:textbox inset="0,0,0,0">
                  <w:txbxContent>
                    <w:p w14:paraId="3B89B99B" w14:textId="77777777" w:rsidR="002B6B23" w:rsidRDefault="002B6B23" w:rsidP="00301991">
                      <w:pPr>
                        <w:pStyle w:val="Bezmezer"/>
                      </w:pPr>
                      <w:r w:rsidRPr="005204D2">
                        <w:t>Populační projekce</w:t>
                      </w:r>
                    </w:p>
                    <w:p w14:paraId="2DA24D0C" w14:textId="77777777" w:rsidR="002B6B23" w:rsidRPr="00C872A3" w:rsidRDefault="002B6B23" w:rsidP="002B6B23">
                      <w:pPr>
                        <w:pStyle w:val="Bezmezer"/>
                        <w:keepNext/>
                        <w:widowControl w:val="0"/>
                        <w:pBdr>
                          <w:bottom w:val="single" w:sz="4" w:space="1" w:color="auto"/>
                        </w:pBdr>
                        <w:rPr>
                          <w:kern w:val="2"/>
                          <w:szCs w:val="16"/>
                        </w:rPr>
                      </w:pPr>
                      <w:r>
                        <w:rPr>
                          <w:kern w:val="2"/>
                          <w:sz w:val="16"/>
                          <w:szCs w:val="12"/>
                        </w:rPr>
                        <w:t>(mil. osob)</w:t>
                      </w:r>
                    </w:p>
                    <w:p w14:paraId="467281C0" w14:textId="77777777" w:rsidR="002B6B23" w:rsidRPr="003514B1" w:rsidRDefault="002B6B23" w:rsidP="002B6B23">
                      <w:pPr>
                        <w:pStyle w:val="Bezmezer"/>
                        <w:keepNext/>
                        <w:widowControl w:val="0"/>
                        <w:rPr>
                          <w:kern w:val="2"/>
                          <w:sz w:val="18"/>
                          <w:szCs w:val="16"/>
                        </w:rPr>
                      </w:pPr>
                      <w:r>
                        <w:rPr>
                          <w:noProof/>
                        </w:rPr>
                        <w:drawing>
                          <wp:inline distT="0" distB="0" distL="0" distR="0" wp14:anchorId="4DAC0FE9" wp14:editId="5CEB2C51">
                            <wp:extent cx="3050540" cy="1700213"/>
                            <wp:effectExtent l="0" t="0" r="0" b="0"/>
                            <wp:docPr id="40" name="Graf 40">
                              <a:extLst xmlns:a="http://schemas.openxmlformats.org/drawingml/2006/main">
                                <a:ext uri="{FF2B5EF4-FFF2-40B4-BE49-F238E27FC236}">
                                  <a16:creationId xmlns:a16="http://schemas.microsoft.com/office/drawing/2014/main" id="{0B29902C-8B3E-4F2F-8F0A-FE1332D6F22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14:paraId="31E88C07" w14:textId="77777777" w:rsidR="002B6B23" w:rsidRDefault="002B6B23" w:rsidP="002B6B23">
                      <w:pPr>
                        <w:widowControl w:val="0"/>
                        <w:pBdr>
                          <w:top w:val="single" w:sz="4" w:space="0" w:color="auto"/>
                        </w:pBdr>
                        <w:spacing w:after="0"/>
                        <w:rPr>
                          <w:kern w:val="2"/>
                          <w:sz w:val="14"/>
                          <w:szCs w:val="16"/>
                        </w:rPr>
                      </w:pPr>
                      <w:r w:rsidRPr="007B5A7A">
                        <w:rPr>
                          <w:kern w:val="2"/>
                          <w:sz w:val="14"/>
                          <w:szCs w:val="16"/>
                        </w:rPr>
                        <w:t>Pramen: data</w:t>
                      </w:r>
                      <w:r>
                        <w:rPr>
                          <w:kern w:val="2"/>
                          <w:sz w:val="14"/>
                          <w:szCs w:val="16"/>
                        </w:rPr>
                        <w:t xml:space="preserve"> Eurostat</w:t>
                      </w:r>
                      <w:r w:rsidRPr="007B5A7A">
                        <w:rPr>
                          <w:kern w:val="2"/>
                          <w:sz w:val="14"/>
                          <w:szCs w:val="16"/>
                        </w:rPr>
                        <w:t>, graf</w:t>
                      </w:r>
                      <w:r>
                        <w:rPr>
                          <w:kern w:val="2"/>
                          <w:sz w:val="14"/>
                          <w:szCs w:val="16"/>
                        </w:rPr>
                        <w:t xml:space="preserve"> MPO</w:t>
                      </w:r>
                    </w:p>
                  </w:txbxContent>
                </v:textbox>
                <w10:wrap type="square" anchorx="margin" anchory="margin"/>
              </v:shape>
            </w:pict>
          </mc:Fallback>
        </mc:AlternateContent>
      </w:r>
      <w:r w:rsidRPr="003A3161">
        <w:rPr>
          <w:noProof/>
          <w:lang w:eastAsia="cs-CZ"/>
        </w:rPr>
        <mc:AlternateContent>
          <mc:Choice Requires="wps">
            <w:drawing>
              <wp:anchor distT="151130" distB="151130" distL="114300" distR="114300" simplePos="0" relativeHeight="251835392" behindDoc="0" locked="0" layoutInCell="1" allowOverlap="1" wp14:anchorId="7E8361B1" wp14:editId="1147CEAC">
                <wp:simplePos x="0" y="0"/>
                <wp:positionH relativeFrom="margin">
                  <wp:posOffset>3233420</wp:posOffset>
                </wp:positionH>
                <wp:positionV relativeFrom="margin">
                  <wp:posOffset>5067935</wp:posOffset>
                </wp:positionV>
                <wp:extent cx="3059430" cy="2553335"/>
                <wp:effectExtent l="0" t="0" r="7620" b="0"/>
                <wp:wrapSquare wrapText="bothSides"/>
                <wp:docPr id="119" name="Textové pole 1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59430" cy="2553335"/>
                        </a:xfrm>
                        <a:prstGeom prst="rect">
                          <a:avLst/>
                        </a:prstGeom>
                        <a:noFill/>
                        <a:ln w="9525">
                          <a:noFill/>
                          <a:miter lim="800000"/>
                          <a:headEnd/>
                          <a:tailEnd/>
                        </a:ln>
                      </wps:spPr>
                      <wps:txbx>
                        <w:txbxContent>
                          <w:p w14:paraId="451014FD" w14:textId="77777777" w:rsidR="002B6B23" w:rsidRDefault="002B6B23" w:rsidP="00301991">
                            <w:pPr>
                              <w:pStyle w:val="Bezmezer"/>
                            </w:pPr>
                            <w:r w:rsidRPr="005204D2">
                              <w:t>Předpokládaný poměr závislosti ve stáří</w:t>
                            </w:r>
                          </w:p>
                          <w:p w14:paraId="15020787" w14:textId="77777777" w:rsidR="002B6B23" w:rsidRPr="00C872A3" w:rsidRDefault="002B6B23" w:rsidP="002B6B23">
                            <w:pPr>
                              <w:pStyle w:val="Bezmezer"/>
                              <w:keepNext/>
                              <w:widowControl w:val="0"/>
                              <w:pBdr>
                                <w:bottom w:val="single" w:sz="4" w:space="1" w:color="auto"/>
                              </w:pBdr>
                              <w:rPr>
                                <w:kern w:val="2"/>
                                <w:szCs w:val="16"/>
                              </w:rPr>
                            </w:pPr>
                            <w:r>
                              <w:rPr>
                                <w:kern w:val="2"/>
                                <w:sz w:val="16"/>
                                <w:szCs w:val="12"/>
                              </w:rPr>
                              <w:t>(</w:t>
                            </w:r>
                            <w:r w:rsidRPr="005204D2">
                              <w:rPr>
                                <w:kern w:val="2"/>
                                <w:sz w:val="16"/>
                                <w:szCs w:val="12"/>
                              </w:rPr>
                              <w:t>obyvatelstvo 65 let a více k populaci 15 až 64 let</w:t>
                            </w:r>
                            <w:r>
                              <w:rPr>
                                <w:kern w:val="2"/>
                                <w:sz w:val="16"/>
                                <w:szCs w:val="12"/>
                              </w:rPr>
                              <w:t>, v %)</w:t>
                            </w:r>
                          </w:p>
                          <w:p w14:paraId="09E782D0" w14:textId="77777777" w:rsidR="002B6B23" w:rsidRPr="003514B1" w:rsidRDefault="002B6B23" w:rsidP="002B6B23">
                            <w:pPr>
                              <w:pStyle w:val="Bezmezer"/>
                              <w:keepNext/>
                              <w:widowControl w:val="0"/>
                              <w:rPr>
                                <w:kern w:val="2"/>
                                <w:sz w:val="18"/>
                                <w:szCs w:val="16"/>
                              </w:rPr>
                            </w:pPr>
                            <w:r>
                              <w:rPr>
                                <w:noProof/>
                              </w:rPr>
                              <w:drawing>
                                <wp:inline distT="0" distB="0" distL="0" distR="0" wp14:anchorId="5C385C57" wp14:editId="793B5908">
                                  <wp:extent cx="3050540" cy="1695132"/>
                                  <wp:effectExtent l="0" t="0" r="0" b="635"/>
                                  <wp:docPr id="41" name="Graf 41">
                                    <a:extLst xmlns:a="http://schemas.openxmlformats.org/drawingml/2006/main">
                                      <a:ext uri="{FF2B5EF4-FFF2-40B4-BE49-F238E27FC236}">
                                        <a16:creationId xmlns:a16="http://schemas.microsoft.com/office/drawing/2014/main" id="{49959A91-C82F-45BB-A34B-037A7F23B99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14:paraId="119224F4" w14:textId="77777777" w:rsidR="002B6B23" w:rsidRDefault="002B6B23" w:rsidP="002B6B23">
                            <w:pPr>
                              <w:widowControl w:val="0"/>
                              <w:pBdr>
                                <w:top w:val="single" w:sz="4" w:space="0" w:color="auto"/>
                              </w:pBdr>
                              <w:spacing w:after="0"/>
                              <w:rPr>
                                <w:kern w:val="2"/>
                                <w:sz w:val="14"/>
                                <w:szCs w:val="16"/>
                              </w:rPr>
                            </w:pPr>
                            <w:r w:rsidRPr="007B5A7A">
                              <w:rPr>
                                <w:kern w:val="2"/>
                                <w:sz w:val="14"/>
                                <w:szCs w:val="16"/>
                              </w:rPr>
                              <w:t>Pramen: data</w:t>
                            </w:r>
                            <w:r>
                              <w:rPr>
                                <w:kern w:val="2"/>
                                <w:sz w:val="14"/>
                                <w:szCs w:val="16"/>
                              </w:rPr>
                              <w:t xml:space="preserve"> Eurostat</w:t>
                            </w:r>
                            <w:r w:rsidRPr="007B5A7A">
                              <w:rPr>
                                <w:kern w:val="2"/>
                                <w:sz w:val="14"/>
                                <w:szCs w:val="16"/>
                              </w:rPr>
                              <w:t>, graf</w:t>
                            </w:r>
                            <w:r>
                              <w:rPr>
                                <w:kern w:val="2"/>
                                <w:sz w:val="14"/>
                                <w:szCs w:val="16"/>
                              </w:rPr>
                              <w:t xml:space="preserve"> MPO</w:t>
                            </w:r>
                          </w:p>
                        </w:txbxContent>
                      </wps:txbx>
                      <wps:bodyPr rot="0" vert="horz" wrap="square" lIns="0" tIns="0" rIns="0" bIns="0" anchor="t" anchorCtr="0">
                        <a:spAutoFit/>
                      </wps:bodyPr>
                    </wps:wsp>
                  </a:graphicData>
                </a:graphic>
                <wp14:sizeRelH relativeFrom="margin">
                  <wp14:pctWidth>0</wp14:pctWidth>
                </wp14:sizeRelH>
                <wp14:sizeRelV relativeFrom="margin">
                  <wp14:pctHeight>0</wp14:pctHeight>
                </wp14:sizeRelV>
              </wp:anchor>
            </w:drawing>
          </mc:Choice>
          <mc:Fallback>
            <w:pict>
              <v:shape w14:anchorId="7E8361B1" id="Textové pole 119" o:spid="_x0000_s1062" type="#_x0000_t202" style="position:absolute;left:0;text-align:left;margin-left:254.6pt;margin-top:399.05pt;width:240.9pt;height:201.05pt;z-index:251835392;visibility:visible;mso-wrap-style:square;mso-width-percent:0;mso-height-percent:0;mso-wrap-distance-left:9pt;mso-wrap-distance-top:11.9pt;mso-wrap-distance-right:9pt;mso-wrap-distance-bottom:11.9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" filled="f" stroked="f">
                <v:textbox style="mso-fit-shape-to-text:t" inset="0,0,0,0">
                  <w:txbxContent>
                    <w:p w14:paraId="451014FD" w14:textId="77777777" w:rsidR="002B6B23" w:rsidRDefault="002B6B23" w:rsidP="00301991">
                      <w:pPr>
                        <w:pStyle w:val="Bezmezer"/>
                      </w:pPr>
                      <w:r w:rsidRPr="005204D2">
                        <w:t>Předpokládaný poměr závislosti ve stáří</w:t>
                      </w:r>
                    </w:p>
                    <w:p w14:paraId="15020787" w14:textId="77777777" w:rsidR="002B6B23" w:rsidRPr="00C872A3" w:rsidRDefault="002B6B23" w:rsidP="002B6B23">
                      <w:pPr>
                        <w:pStyle w:val="Bezmezer"/>
                        <w:keepNext/>
                        <w:widowControl w:val="0"/>
                        <w:pBdr>
                          <w:bottom w:val="single" w:sz="4" w:space="1" w:color="auto"/>
                        </w:pBdr>
                        <w:rPr>
                          <w:kern w:val="2"/>
                          <w:szCs w:val="16"/>
                        </w:rPr>
                      </w:pPr>
                      <w:r>
                        <w:rPr>
                          <w:kern w:val="2"/>
                          <w:sz w:val="16"/>
                          <w:szCs w:val="12"/>
                        </w:rPr>
                        <w:t>(</w:t>
                      </w:r>
                      <w:r w:rsidRPr="005204D2">
                        <w:rPr>
                          <w:kern w:val="2"/>
                          <w:sz w:val="16"/>
                          <w:szCs w:val="12"/>
                        </w:rPr>
                        <w:t>obyvatelstvo 65 let a více k populaci 15 až 64 let</w:t>
                      </w:r>
                      <w:r>
                        <w:rPr>
                          <w:kern w:val="2"/>
                          <w:sz w:val="16"/>
                          <w:szCs w:val="12"/>
                        </w:rPr>
                        <w:t>, v %)</w:t>
                      </w:r>
                    </w:p>
                    <w:p w14:paraId="09E782D0" w14:textId="77777777" w:rsidR="002B6B23" w:rsidRPr="003514B1" w:rsidRDefault="002B6B23" w:rsidP="002B6B23">
                      <w:pPr>
                        <w:pStyle w:val="Bezmezer"/>
                        <w:keepNext/>
                        <w:widowControl w:val="0"/>
                        <w:rPr>
                          <w:kern w:val="2"/>
                          <w:sz w:val="18"/>
                          <w:szCs w:val="16"/>
                        </w:rPr>
                      </w:pPr>
                      <w:r>
                        <w:rPr>
                          <w:noProof/>
                        </w:rPr>
                        <w:drawing>
                          <wp:inline distT="0" distB="0" distL="0" distR="0" wp14:anchorId="5C385C57" wp14:editId="793B5908">
                            <wp:extent cx="3050540" cy="1695132"/>
                            <wp:effectExtent l="0" t="0" r="0" b="635"/>
                            <wp:docPr id="41" name="Graf 41">
                              <a:extLst xmlns:a="http://schemas.openxmlformats.org/drawingml/2006/main">
                                <a:ext uri="{FF2B5EF4-FFF2-40B4-BE49-F238E27FC236}">
                                  <a16:creationId xmlns:a16="http://schemas.microsoft.com/office/drawing/2014/main" id="{49959A91-C82F-45BB-A34B-037A7F23B99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14:paraId="119224F4" w14:textId="77777777" w:rsidR="002B6B23" w:rsidRDefault="002B6B23" w:rsidP="002B6B23">
                      <w:pPr>
                        <w:widowControl w:val="0"/>
                        <w:pBdr>
                          <w:top w:val="single" w:sz="4" w:space="0" w:color="auto"/>
                        </w:pBdr>
                        <w:spacing w:after="0"/>
                        <w:rPr>
                          <w:kern w:val="2"/>
                          <w:sz w:val="14"/>
                          <w:szCs w:val="16"/>
                        </w:rPr>
                      </w:pPr>
                      <w:r w:rsidRPr="007B5A7A">
                        <w:rPr>
                          <w:kern w:val="2"/>
                          <w:sz w:val="14"/>
                          <w:szCs w:val="16"/>
                        </w:rPr>
                        <w:t>Pramen: data</w:t>
                      </w:r>
                      <w:r>
                        <w:rPr>
                          <w:kern w:val="2"/>
                          <w:sz w:val="14"/>
                          <w:szCs w:val="16"/>
                        </w:rPr>
                        <w:t xml:space="preserve"> Eurostat</w:t>
                      </w:r>
                      <w:r w:rsidRPr="007B5A7A">
                        <w:rPr>
                          <w:kern w:val="2"/>
                          <w:sz w:val="14"/>
                          <w:szCs w:val="16"/>
                        </w:rPr>
                        <w:t>, graf</w:t>
                      </w:r>
                      <w:r>
                        <w:rPr>
                          <w:kern w:val="2"/>
                          <w:sz w:val="14"/>
                          <w:szCs w:val="16"/>
                        </w:rPr>
                        <w:t xml:space="preserve"> MPO</w:t>
                      </w:r>
                    </w:p>
                  </w:txbxContent>
                </v:textbox>
                <w10:wrap type="square" anchorx="margin" anchory="margin"/>
              </v:shape>
            </w:pict>
          </mc:Fallback>
        </mc:AlternateContent>
      </w:r>
      <w:r w:rsidRPr="003A3161">
        <w:rPr>
          <w:noProof/>
          <w:lang w:eastAsia="cs-CZ"/>
        </w:rPr>
        <mc:AlternateContent>
          <mc:Choice Requires="wps">
            <w:drawing>
              <wp:anchor distT="151130" distB="151130" distL="114300" distR="114300" simplePos="0" relativeHeight="251836416" behindDoc="0" locked="0" layoutInCell="1" allowOverlap="1" wp14:anchorId="0AD04A45" wp14:editId="73BDEBDD">
                <wp:simplePos x="0" y="0"/>
                <wp:positionH relativeFrom="margin">
                  <wp:align>left</wp:align>
                </wp:positionH>
                <wp:positionV relativeFrom="page">
                  <wp:posOffset>8121650</wp:posOffset>
                </wp:positionV>
                <wp:extent cx="3059430" cy="2553335"/>
                <wp:effectExtent l="0" t="0" r="7620" b="0"/>
                <wp:wrapSquare wrapText="bothSides"/>
                <wp:docPr id="120" name="Textové pole 1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59430" cy="2553335"/>
                        </a:xfrm>
                        <a:prstGeom prst="rect">
                          <a:avLst/>
                        </a:prstGeom>
                        <a:noFill/>
                        <a:ln w="9525">
                          <a:noFill/>
                          <a:miter lim="800000"/>
                          <a:headEnd/>
                          <a:tailEnd/>
                        </a:ln>
                      </wps:spPr>
                      <wps:txbx>
                        <w:txbxContent>
                          <w:p w14:paraId="74D38988" w14:textId="77777777" w:rsidR="002B6B23" w:rsidRDefault="002B6B23" w:rsidP="00301991">
                            <w:pPr>
                              <w:pStyle w:val="Bezmezer"/>
                            </w:pPr>
                            <w:r w:rsidRPr="00E743C3">
                              <w:t>Demografické míry závislosti</w:t>
                            </w:r>
                          </w:p>
                          <w:p w14:paraId="72500989" w14:textId="77777777" w:rsidR="002B6B23" w:rsidRPr="00C872A3" w:rsidRDefault="002B6B23" w:rsidP="002B6B23">
                            <w:pPr>
                              <w:pStyle w:val="Bezmezer"/>
                              <w:keepNext/>
                              <w:widowControl w:val="0"/>
                              <w:pBdr>
                                <w:bottom w:val="single" w:sz="4" w:space="1" w:color="auto"/>
                              </w:pBdr>
                              <w:rPr>
                                <w:kern w:val="2"/>
                                <w:szCs w:val="16"/>
                              </w:rPr>
                            </w:pPr>
                            <w:r>
                              <w:rPr>
                                <w:kern w:val="2"/>
                                <w:sz w:val="16"/>
                                <w:szCs w:val="12"/>
                              </w:rPr>
                              <w:t>(v %)</w:t>
                            </w:r>
                          </w:p>
                          <w:p w14:paraId="038AB29A" w14:textId="77777777" w:rsidR="002B6B23" w:rsidRPr="003514B1" w:rsidRDefault="002B6B23" w:rsidP="002B6B23">
                            <w:pPr>
                              <w:pStyle w:val="Bezmezer"/>
                              <w:keepNext/>
                              <w:widowControl w:val="0"/>
                              <w:rPr>
                                <w:kern w:val="2"/>
                                <w:sz w:val="18"/>
                                <w:szCs w:val="16"/>
                              </w:rPr>
                            </w:pPr>
                            <w:r>
                              <w:rPr>
                                <w:noProof/>
                              </w:rPr>
                              <w:drawing>
                                <wp:inline distT="0" distB="0" distL="0" distR="0" wp14:anchorId="5A98E721" wp14:editId="36E7C30B">
                                  <wp:extent cx="3050540" cy="1539240"/>
                                  <wp:effectExtent l="0" t="0" r="0" b="3810"/>
                                  <wp:docPr id="42" name="Obrázek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3050540" cy="1539240"/>
                                          </a:xfrm>
                                          <a:prstGeom prst="rect">
                                            <a:avLst/>
                                          </a:prstGeom>
                                        </pic:spPr>
                                      </pic:pic>
                                    </a:graphicData>
                                  </a:graphic>
                                </wp:inline>
                              </w:drawing>
                            </w:r>
                          </w:p>
                          <w:p w14:paraId="7AF26BB9" w14:textId="77777777" w:rsidR="002B6B23" w:rsidRDefault="002B6B23" w:rsidP="002B6B23">
                            <w:pPr>
                              <w:widowControl w:val="0"/>
                              <w:pBdr>
                                <w:top w:val="single" w:sz="4" w:space="0" w:color="auto"/>
                              </w:pBdr>
                              <w:spacing w:after="0"/>
                              <w:rPr>
                                <w:kern w:val="2"/>
                                <w:sz w:val="14"/>
                                <w:szCs w:val="16"/>
                              </w:rPr>
                            </w:pPr>
                            <w:r w:rsidRPr="007B5A7A">
                              <w:rPr>
                                <w:kern w:val="2"/>
                                <w:sz w:val="14"/>
                                <w:szCs w:val="16"/>
                              </w:rPr>
                              <w:t>Pramen:</w:t>
                            </w:r>
                            <w:r w:rsidRPr="00E743C3">
                              <w:t xml:space="preserve"> </w:t>
                            </w:r>
                            <w:r w:rsidRPr="00E743C3">
                              <w:rPr>
                                <w:kern w:val="2"/>
                                <w:sz w:val="14"/>
                                <w:szCs w:val="16"/>
                              </w:rPr>
                              <w:t>MF ČR (2023): Fiskální výhled České republiky (listopad 2023)</w:t>
                            </w:r>
                          </w:p>
                        </w:txbxContent>
                      </wps:txbx>
                      <wps:bodyPr rot="0" vert="horz" wrap="square" lIns="0" tIns="0" rIns="0" bIns="0" anchor="t" anchorCtr="0">
                        <a:spAutoFit/>
                      </wps:bodyPr>
                    </wps:wsp>
                  </a:graphicData>
                </a:graphic>
                <wp14:sizeRelH relativeFrom="margin">
                  <wp14:pctWidth>0</wp14:pctWidth>
                </wp14:sizeRelH>
                <wp14:sizeRelV relativeFrom="margin">
                  <wp14:pctHeight>0</wp14:pctHeight>
                </wp14:sizeRelV>
              </wp:anchor>
            </w:drawing>
          </mc:Choice>
          <mc:Fallback>
            <w:pict>
              <v:shape w14:anchorId="0AD04A45" id="Textové pole 120" o:spid="_x0000_s1063" type="#_x0000_t202" style="position:absolute;left:0;text-align:left;margin-left:0;margin-top:639.5pt;width:240.9pt;height:201.05pt;z-index:251836416;visibility:visible;mso-wrap-style:square;mso-width-percent:0;mso-height-percent:0;mso-wrap-distance-left:9pt;mso-wrap-distance-top:11.9pt;mso-wrap-distance-right:9pt;mso-wrap-distance-bottom:11.9pt;mso-position-horizontal:lef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" filled="f" stroked="f">
                <v:textbox style="mso-fit-shape-to-text:t" inset="0,0,0,0">
                  <w:txbxContent>
                    <w:p w14:paraId="74D38988" w14:textId="77777777" w:rsidR="002B6B23" w:rsidRDefault="002B6B23" w:rsidP="00301991">
                      <w:pPr>
                        <w:pStyle w:val="Bezmezer"/>
                      </w:pPr>
                      <w:r w:rsidRPr="00E743C3">
                        <w:t>Demografické míry závislosti</w:t>
                      </w:r>
                    </w:p>
                    <w:p w14:paraId="72500989" w14:textId="77777777" w:rsidR="002B6B23" w:rsidRPr="00C872A3" w:rsidRDefault="002B6B23" w:rsidP="002B6B23">
                      <w:pPr>
                        <w:pStyle w:val="Bezmezer"/>
                        <w:keepNext/>
                        <w:widowControl w:val="0"/>
                        <w:pBdr>
                          <w:bottom w:val="single" w:sz="4" w:space="1" w:color="auto"/>
                        </w:pBdr>
                        <w:rPr>
                          <w:kern w:val="2"/>
                          <w:szCs w:val="16"/>
                        </w:rPr>
                      </w:pPr>
                      <w:r>
                        <w:rPr>
                          <w:kern w:val="2"/>
                          <w:sz w:val="16"/>
                          <w:szCs w:val="12"/>
                        </w:rPr>
                        <w:t>(v %)</w:t>
                      </w:r>
                    </w:p>
                    <w:p w14:paraId="038AB29A" w14:textId="77777777" w:rsidR="002B6B23" w:rsidRPr="003514B1" w:rsidRDefault="002B6B23" w:rsidP="002B6B23">
                      <w:pPr>
                        <w:pStyle w:val="Bezmezer"/>
                        <w:keepNext/>
                        <w:widowControl w:val="0"/>
                        <w:rPr>
                          <w:kern w:val="2"/>
                          <w:sz w:val="18"/>
                          <w:szCs w:val="16"/>
                        </w:rPr>
                      </w:pPr>
                      <w:r>
                        <w:rPr>
                          <w:noProof/>
                        </w:rPr>
                        <w:drawing>
                          <wp:inline distT="0" distB="0" distL="0" distR="0" wp14:anchorId="5A98E721" wp14:editId="36E7C30B">
                            <wp:extent cx="3050540" cy="1539240"/>
                            <wp:effectExtent l="0" t="0" r="0" b="3810"/>
                            <wp:docPr id="42" name="Obrázek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3050540" cy="1539240"/>
                                    </a:xfrm>
                                    <a:prstGeom prst="rect">
                                      <a:avLst/>
                                    </a:prstGeom>
                                  </pic:spPr>
                                </pic:pic>
                              </a:graphicData>
                            </a:graphic>
                          </wp:inline>
                        </w:drawing>
                      </w:r>
                    </w:p>
                    <w:p w14:paraId="7AF26BB9" w14:textId="77777777" w:rsidR="002B6B23" w:rsidRDefault="002B6B23" w:rsidP="002B6B23">
                      <w:pPr>
                        <w:widowControl w:val="0"/>
                        <w:pBdr>
                          <w:top w:val="single" w:sz="4" w:space="0" w:color="auto"/>
                        </w:pBdr>
                        <w:spacing w:after="0"/>
                        <w:rPr>
                          <w:kern w:val="2"/>
                          <w:sz w:val="14"/>
                          <w:szCs w:val="16"/>
                        </w:rPr>
                      </w:pPr>
                      <w:r w:rsidRPr="007B5A7A">
                        <w:rPr>
                          <w:kern w:val="2"/>
                          <w:sz w:val="14"/>
                          <w:szCs w:val="16"/>
                        </w:rPr>
                        <w:t>Pramen:</w:t>
                      </w:r>
                      <w:r w:rsidRPr="00E743C3">
                        <w:t xml:space="preserve"> </w:t>
                      </w:r>
                      <w:r w:rsidRPr="00E743C3">
                        <w:rPr>
                          <w:kern w:val="2"/>
                          <w:sz w:val="14"/>
                          <w:szCs w:val="16"/>
                        </w:rPr>
                        <w:t>MF ČR (2023): Fiskální výhled České republiky (listopad 2023)</w:t>
                      </w:r>
                    </w:p>
                  </w:txbxContent>
                </v:textbox>
                <w10:wrap type="square" anchorx="margin" anchory="page"/>
              </v:shape>
            </w:pict>
          </mc:Fallback>
        </mc:AlternateContent>
      </w:r>
      <w:r>
        <w:br w:type="page"/>
      </w:r>
      <w:r w:rsidRPr="00D67550">
        <w:rPr>
          <w:noProof/>
        </w:rPr>
        <w:lastRenderedPageBreak/>
        <mc:AlternateContent>
          <mc:Choice Requires="wps">
            <w:drawing>
              <wp:anchor distT="151130" distB="151130" distL="114300" distR="114300" simplePos="0" relativeHeight="251840512" behindDoc="0" locked="0" layoutInCell="1" allowOverlap="1" wp14:anchorId="580E8355" wp14:editId="05999C8B">
                <wp:simplePos x="0" y="0"/>
                <wp:positionH relativeFrom="margin">
                  <wp:posOffset>55880</wp:posOffset>
                </wp:positionH>
                <wp:positionV relativeFrom="margin">
                  <wp:posOffset>13970</wp:posOffset>
                </wp:positionV>
                <wp:extent cx="3059430" cy="3472180"/>
                <wp:effectExtent l="0" t="0" r="7620" b="13970"/>
                <wp:wrapSquare wrapText="bothSides"/>
                <wp:docPr id="121"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59430" cy="3472180"/>
                        </a:xfrm>
                        <a:prstGeom prst="rect">
                          <a:avLst/>
                        </a:prstGeom>
                        <a:noFill/>
                        <a:ln w="9525">
                          <a:noFill/>
                          <a:miter lim="800000"/>
                          <a:headEnd/>
                          <a:tailEnd/>
                        </a:ln>
                      </wps:spPr>
                      <wps:txbx>
                        <w:txbxContent>
                          <w:p w14:paraId="74323F9B" w14:textId="1AD58F7C" w:rsidR="002B6B23" w:rsidRDefault="002B6B23" w:rsidP="002B6B23">
                            <w:pPr>
                              <w:pStyle w:val="Bezmezer"/>
                              <w:keepNext/>
                              <w:widowControl w:val="0"/>
                              <w:pBdr>
                                <w:bottom w:val="single" w:sz="4" w:space="1" w:color="auto"/>
                              </w:pBdr>
                              <w:jc w:val="both"/>
                              <w:rPr>
                                <w:kern w:val="2"/>
                                <w:szCs w:val="16"/>
                              </w:rPr>
                            </w:pPr>
                            <w:r w:rsidRPr="00627645">
                              <w:rPr>
                                <w:kern w:val="2"/>
                                <w:szCs w:val="16"/>
                              </w:rPr>
                              <w:t>Výsledky ve výzkumu PISA (</w:t>
                            </w:r>
                            <w:r w:rsidR="00F44F81" w:rsidRPr="00F44F81">
                              <w:rPr>
                                <w:kern w:val="2"/>
                                <w:szCs w:val="16"/>
                              </w:rPr>
                              <w:t>čtenářská gramotnost</w:t>
                            </w:r>
                            <w:r w:rsidRPr="00627645">
                              <w:rPr>
                                <w:kern w:val="2"/>
                                <w:szCs w:val="16"/>
                              </w:rPr>
                              <w:t>) 2018 ve věku 15 let a</w:t>
                            </w:r>
                            <w:r>
                              <w:rPr>
                                <w:kern w:val="2"/>
                                <w:szCs w:val="16"/>
                              </w:rPr>
                              <w:t> </w:t>
                            </w:r>
                            <w:r w:rsidRPr="00627645">
                              <w:rPr>
                                <w:kern w:val="2"/>
                                <w:szCs w:val="16"/>
                              </w:rPr>
                              <w:t>kumulativní výdaje na žáka ve věku 6 až 15 let,</w:t>
                            </w:r>
                          </w:p>
                          <w:p w14:paraId="46BF0981" w14:textId="77777777" w:rsidR="002B6B23" w:rsidRPr="00C872A3" w:rsidRDefault="002B6B23" w:rsidP="002B6B23">
                            <w:pPr>
                              <w:pStyle w:val="Bezmezer"/>
                              <w:keepNext/>
                              <w:widowControl w:val="0"/>
                              <w:pBdr>
                                <w:bottom w:val="single" w:sz="4" w:space="1" w:color="auto"/>
                              </w:pBdr>
                              <w:jc w:val="both"/>
                              <w:rPr>
                                <w:kern w:val="2"/>
                                <w:szCs w:val="16"/>
                              </w:rPr>
                            </w:pPr>
                            <w:r w:rsidRPr="00627645">
                              <w:rPr>
                                <w:kern w:val="2"/>
                                <w:szCs w:val="16"/>
                              </w:rPr>
                              <w:t>rok 2019</w:t>
                            </w:r>
                          </w:p>
                          <w:p w14:paraId="29DC7ECB" w14:textId="77777777" w:rsidR="002B6B23" w:rsidRPr="003514B1" w:rsidRDefault="002B6B23" w:rsidP="002B6B23">
                            <w:pPr>
                              <w:pStyle w:val="Bezmezer"/>
                              <w:keepNext/>
                              <w:widowControl w:val="0"/>
                              <w:rPr>
                                <w:kern w:val="2"/>
                                <w:sz w:val="18"/>
                                <w:szCs w:val="16"/>
                              </w:rPr>
                            </w:pPr>
                            <w:r>
                              <w:rPr>
                                <w:noProof/>
                              </w:rPr>
                              <w:drawing>
                                <wp:inline distT="0" distB="0" distL="0" distR="0" wp14:anchorId="0558B344" wp14:editId="36E1F0CD">
                                  <wp:extent cx="3050540" cy="2550795"/>
                                  <wp:effectExtent l="0" t="0" r="0" b="1905"/>
                                  <wp:docPr id="43" name="Graf 43">
                                    <a:extLst xmlns:a="http://schemas.openxmlformats.org/drawingml/2006/main">
                                      <a:ext uri="{FF2B5EF4-FFF2-40B4-BE49-F238E27FC236}">
                                        <a16:creationId xmlns:a16="http://schemas.microsoft.com/office/drawing/2014/main" id="{23779A98-4551-8563-6183-B3B2CF9EA4E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14:paraId="0AF8FEED" w14:textId="05480F1C" w:rsidR="002B6B23" w:rsidRDefault="002B6B23" w:rsidP="002B6B23">
                            <w:pPr>
                              <w:widowControl w:val="0"/>
                              <w:pBdr>
                                <w:top w:val="single" w:sz="4" w:space="1" w:color="auto"/>
                              </w:pBdr>
                              <w:spacing w:after="0"/>
                              <w:rPr>
                                <w:kern w:val="2"/>
                                <w:sz w:val="14"/>
                                <w:szCs w:val="16"/>
                              </w:rPr>
                            </w:pPr>
                            <w:r w:rsidRPr="007B5A7A">
                              <w:rPr>
                                <w:kern w:val="2"/>
                                <w:sz w:val="14"/>
                                <w:szCs w:val="16"/>
                              </w:rPr>
                              <w:t xml:space="preserve">Pramen: </w:t>
                            </w:r>
                            <w:r w:rsidRPr="00627645">
                              <w:rPr>
                                <w:kern w:val="2"/>
                                <w:sz w:val="14"/>
                                <w:szCs w:val="16"/>
                                <w:lang w:val="en-GB"/>
                              </w:rPr>
                              <w:t xml:space="preserve">OECD </w:t>
                            </w:r>
                            <w:r w:rsidR="007C73F5">
                              <w:rPr>
                                <w:kern w:val="2"/>
                                <w:sz w:val="14"/>
                                <w:szCs w:val="16"/>
                                <w:lang w:val="en-GB"/>
                              </w:rPr>
                              <w:t>(</w:t>
                            </w:r>
                            <w:r w:rsidRPr="00627645">
                              <w:rPr>
                                <w:kern w:val="2"/>
                                <w:sz w:val="14"/>
                                <w:szCs w:val="16"/>
                                <w:lang w:val="en-GB"/>
                              </w:rPr>
                              <w:t xml:space="preserve">Education at a </w:t>
                            </w:r>
                            <w:r w:rsidRPr="00627645">
                              <w:rPr>
                                <w:kern w:val="2"/>
                                <w:sz w:val="14"/>
                                <w:szCs w:val="16"/>
                                <w:lang w:val="en-GB"/>
                              </w:rPr>
                              <w:t>Glance</w:t>
                            </w:r>
                            <w:r w:rsidR="007C73F5">
                              <w:rPr>
                                <w:kern w:val="2"/>
                                <w:sz w:val="14"/>
                                <w:szCs w:val="16"/>
                                <w:lang w:val="en-GB"/>
                              </w:rPr>
                              <w:t xml:space="preserve"> - </w:t>
                            </w:r>
                            <w:r w:rsidRPr="00627645">
                              <w:rPr>
                                <w:kern w:val="2"/>
                                <w:sz w:val="14"/>
                                <w:szCs w:val="16"/>
                              </w:rPr>
                              <w:t>database)</w:t>
                            </w:r>
                          </w:p>
                          <w:p w14:paraId="0D588106" w14:textId="6DAEA399" w:rsidR="002B6B23" w:rsidRDefault="002B6B23" w:rsidP="002B6B23">
                            <w:pPr>
                              <w:widowControl w:val="0"/>
                              <w:pBdr>
                                <w:top w:val="single" w:sz="4" w:space="1" w:color="auto"/>
                              </w:pBdr>
                              <w:spacing w:after="0"/>
                              <w:rPr>
                                <w:kern w:val="2"/>
                                <w:sz w:val="14"/>
                                <w:szCs w:val="16"/>
                              </w:rPr>
                            </w:pPr>
                            <w:r>
                              <w:rPr>
                                <w:kern w:val="2"/>
                                <w:sz w:val="14"/>
                                <w:szCs w:val="16"/>
                              </w:rPr>
                              <w:t xml:space="preserve">Poznámka: </w:t>
                            </w:r>
                            <w:r w:rsidR="007C73F5">
                              <w:rPr>
                                <w:kern w:val="2"/>
                                <w:sz w:val="14"/>
                                <w:szCs w:val="16"/>
                              </w:rPr>
                              <w:t>v</w:t>
                            </w:r>
                            <w:r w:rsidRPr="00627645">
                              <w:rPr>
                                <w:kern w:val="2"/>
                                <w:sz w:val="14"/>
                                <w:szCs w:val="16"/>
                              </w:rPr>
                              <w:t>šechny údaje za Kostariku nejsou k dispozici. Chybí údaje o výdajích za Kanadu, Izrael a Švýcarsko. Chybí výsledky PISA ve čtení pro Slovinsko</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580E8355" id="_x0000_s1064" type="#_x0000_t202" style="position:absolute;left:0;text-align:left;margin-left:4.4pt;margin-top:1.1pt;width:240.9pt;height:273.4pt;z-index:251840512;visibility:visible;mso-wrap-style:square;mso-width-percent:0;mso-height-percent:0;mso-wrap-distance-left:9pt;mso-wrap-distance-top:11.9pt;mso-wrap-distance-right:9pt;mso-wrap-distance-bottom:11.9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" filled="f" stroked="f">
                <v:textbox inset="0,0,0,0">
                  <w:txbxContent>
                    <w:p w14:paraId="74323F9B" w14:textId="1AD58F7C" w:rsidR="002B6B23" w:rsidRDefault="002B6B23" w:rsidP="002B6B23">
                      <w:pPr>
                        <w:pStyle w:val="Bezmezer"/>
                        <w:keepNext/>
                        <w:widowControl w:val="0"/>
                        <w:pBdr>
                          <w:bottom w:val="single" w:sz="4" w:space="1" w:color="auto"/>
                        </w:pBdr>
                        <w:jc w:val="both"/>
                        <w:rPr>
                          <w:kern w:val="2"/>
                          <w:szCs w:val="16"/>
                        </w:rPr>
                      </w:pPr>
                      <w:r w:rsidRPr="00627645">
                        <w:rPr>
                          <w:kern w:val="2"/>
                          <w:szCs w:val="16"/>
                        </w:rPr>
                        <w:t>Výsledky ve výzkumu PISA (</w:t>
                      </w:r>
                      <w:r w:rsidR="00F44F81" w:rsidRPr="00F44F81">
                        <w:rPr>
                          <w:kern w:val="2"/>
                          <w:szCs w:val="16"/>
                        </w:rPr>
                        <w:t>čtenářská gramotnost</w:t>
                      </w:r>
                      <w:r w:rsidRPr="00627645">
                        <w:rPr>
                          <w:kern w:val="2"/>
                          <w:szCs w:val="16"/>
                        </w:rPr>
                        <w:t>) 2018 ve věku 15 let a</w:t>
                      </w:r>
                      <w:r>
                        <w:rPr>
                          <w:kern w:val="2"/>
                          <w:szCs w:val="16"/>
                        </w:rPr>
                        <w:t> </w:t>
                      </w:r>
                      <w:r w:rsidRPr="00627645">
                        <w:rPr>
                          <w:kern w:val="2"/>
                          <w:szCs w:val="16"/>
                        </w:rPr>
                        <w:t>kumulativní výdaje na žáka ve věku 6 až 15 let,</w:t>
                      </w:r>
                    </w:p>
                    <w:p w14:paraId="46BF0981" w14:textId="77777777" w:rsidR="002B6B23" w:rsidRPr="00C872A3" w:rsidRDefault="002B6B23" w:rsidP="002B6B23">
                      <w:pPr>
                        <w:pStyle w:val="Bezmezer"/>
                        <w:keepNext/>
                        <w:widowControl w:val="0"/>
                        <w:pBdr>
                          <w:bottom w:val="single" w:sz="4" w:space="1" w:color="auto"/>
                        </w:pBdr>
                        <w:jc w:val="both"/>
                        <w:rPr>
                          <w:kern w:val="2"/>
                          <w:szCs w:val="16"/>
                        </w:rPr>
                      </w:pPr>
                      <w:r w:rsidRPr="00627645">
                        <w:rPr>
                          <w:kern w:val="2"/>
                          <w:szCs w:val="16"/>
                        </w:rPr>
                        <w:t>rok 2019</w:t>
                      </w:r>
                    </w:p>
                    <w:p w14:paraId="29DC7ECB" w14:textId="77777777" w:rsidR="002B6B23" w:rsidRPr="003514B1" w:rsidRDefault="002B6B23" w:rsidP="002B6B23">
                      <w:pPr>
                        <w:pStyle w:val="Bezmezer"/>
                        <w:keepNext/>
                        <w:widowControl w:val="0"/>
                        <w:rPr>
                          <w:kern w:val="2"/>
                          <w:sz w:val="18"/>
                          <w:szCs w:val="16"/>
                        </w:rPr>
                      </w:pPr>
                      <w:r>
                        <w:rPr>
                          <w:noProof/>
                        </w:rPr>
                        <w:drawing>
                          <wp:inline distT="0" distB="0" distL="0" distR="0" wp14:anchorId="0558B344" wp14:editId="36E1F0CD">
                            <wp:extent cx="3050540" cy="2550795"/>
                            <wp:effectExtent l="0" t="0" r="0" b="1905"/>
                            <wp:docPr id="43" name="Graf 43">
                              <a:extLst xmlns:a="http://schemas.openxmlformats.org/drawingml/2006/main">
                                <a:ext uri="{FF2B5EF4-FFF2-40B4-BE49-F238E27FC236}">
                                  <a16:creationId xmlns:a16="http://schemas.microsoft.com/office/drawing/2014/main" id="{23779A98-4551-8563-6183-B3B2CF9EA4E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14:paraId="0AF8FEED" w14:textId="05480F1C" w:rsidR="002B6B23" w:rsidRDefault="002B6B23" w:rsidP="002B6B23">
                      <w:pPr>
                        <w:widowControl w:val="0"/>
                        <w:pBdr>
                          <w:top w:val="single" w:sz="4" w:space="1" w:color="auto"/>
                        </w:pBdr>
                        <w:spacing w:after="0"/>
                        <w:rPr>
                          <w:kern w:val="2"/>
                          <w:sz w:val="14"/>
                          <w:szCs w:val="16"/>
                        </w:rPr>
                      </w:pPr>
                      <w:r w:rsidRPr="007B5A7A">
                        <w:rPr>
                          <w:kern w:val="2"/>
                          <w:sz w:val="14"/>
                          <w:szCs w:val="16"/>
                        </w:rPr>
                        <w:t xml:space="preserve">Pramen: </w:t>
                      </w:r>
                      <w:r w:rsidRPr="00627645">
                        <w:rPr>
                          <w:kern w:val="2"/>
                          <w:sz w:val="14"/>
                          <w:szCs w:val="16"/>
                          <w:lang w:val="en-GB"/>
                        </w:rPr>
                        <w:t xml:space="preserve">OECD </w:t>
                      </w:r>
                      <w:r w:rsidR="007C73F5">
                        <w:rPr>
                          <w:kern w:val="2"/>
                          <w:sz w:val="14"/>
                          <w:szCs w:val="16"/>
                          <w:lang w:val="en-GB"/>
                        </w:rPr>
                        <w:t>(</w:t>
                      </w:r>
                      <w:r w:rsidRPr="00627645">
                        <w:rPr>
                          <w:kern w:val="2"/>
                          <w:sz w:val="14"/>
                          <w:szCs w:val="16"/>
                          <w:lang w:val="en-GB"/>
                        </w:rPr>
                        <w:t xml:space="preserve">Education at a </w:t>
                      </w:r>
                      <w:r w:rsidRPr="00627645">
                        <w:rPr>
                          <w:kern w:val="2"/>
                          <w:sz w:val="14"/>
                          <w:szCs w:val="16"/>
                          <w:lang w:val="en-GB"/>
                        </w:rPr>
                        <w:t>Glance</w:t>
                      </w:r>
                      <w:r w:rsidR="007C73F5">
                        <w:rPr>
                          <w:kern w:val="2"/>
                          <w:sz w:val="14"/>
                          <w:szCs w:val="16"/>
                          <w:lang w:val="en-GB"/>
                        </w:rPr>
                        <w:t xml:space="preserve"> - </w:t>
                      </w:r>
                      <w:r w:rsidRPr="00627645">
                        <w:rPr>
                          <w:kern w:val="2"/>
                          <w:sz w:val="14"/>
                          <w:szCs w:val="16"/>
                        </w:rPr>
                        <w:t>database)</w:t>
                      </w:r>
                    </w:p>
                    <w:p w14:paraId="0D588106" w14:textId="6DAEA399" w:rsidR="002B6B23" w:rsidRDefault="002B6B23" w:rsidP="002B6B23">
                      <w:pPr>
                        <w:widowControl w:val="0"/>
                        <w:pBdr>
                          <w:top w:val="single" w:sz="4" w:space="1" w:color="auto"/>
                        </w:pBdr>
                        <w:spacing w:after="0"/>
                        <w:rPr>
                          <w:kern w:val="2"/>
                          <w:sz w:val="14"/>
                          <w:szCs w:val="16"/>
                        </w:rPr>
                      </w:pPr>
                      <w:r>
                        <w:rPr>
                          <w:kern w:val="2"/>
                          <w:sz w:val="14"/>
                          <w:szCs w:val="16"/>
                        </w:rPr>
                        <w:t xml:space="preserve">Poznámka: </w:t>
                      </w:r>
                      <w:r w:rsidR="007C73F5">
                        <w:rPr>
                          <w:kern w:val="2"/>
                          <w:sz w:val="14"/>
                          <w:szCs w:val="16"/>
                        </w:rPr>
                        <w:t>v</w:t>
                      </w:r>
                      <w:r w:rsidRPr="00627645">
                        <w:rPr>
                          <w:kern w:val="2"/>
                          <w:sz w:val="14"/>
                          <w:szCs w:val="16"/>
                        </w:rPr>
                        <w:t>šechny údaje za Kostariku nejsou k dispozici. Chybí údaje o výdajích za Kanadu, Izrael a Švýcarsko. Chybí výsledky PISA ve čtení pro Slovinsko</w:t>
                      </w:r>
                    </w:p>
                  </w:txbxContent>
                </v:textbox>
                <w10:wrap type="square" anchorx="margin" anchory="margin"/>
              </v:shape>
            </w:pict>
          </mc:Fallback>
        </mc:AlternateContent>
      </w:r>
      <w:r w:rsidRPr="00D67550">
        <w:rPr>
          <w:noProof/>
        </w:rPr>
        <mc:AlternateContent>
          <mc:Choice Requires="wps">
            <w:drawing>
              <wp:anchor distT="151130" distB="151130" distL="114300" distR="114300" simplePos="0" relativeHeight="251838464" behindDoc="0" locked="0" layoutInCell="1" allowOverlap="1" wp14:anchorId="5694805C" wp14:editId="1A0D30C0">
                <wp:simplePos x="0" y="0"/>
                <wp:positionH relativeFrom="margin">
                  <wp:posOffset>-635</wp:posOffset>
                </wp:positionH>
                <wp:positionV relativeFrom="margin">
                  <wp:posOffset>3706495</wp:posOffset>
                </wp:positionV>
                <wp:extent cx="3059430" cy="3493135"/>
                <wp:effectExtent l="0" t="0" r="7620" b="12065"/>
                <wp:wrapSquare wrapText="bothSides"/>
                <wp:docPr id="122"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59430" cy="3493135"/>
                        </a:xfrm>
                        <a:prstGeom prst="rect">
                          <a:avLst/>
                        </a:prstGeom>
                        <a:noFill/>
                        <a:ln w="9525">
                          <a:noFill/>
                          <a:miter lim="800000"/>
                          <a:headEnd/>
                          <a:tailEnd/>
                        </a:ln>
                      </wps:spPr>
                      <wps:txbx>
                        <w:txbxContent>
                          <w:p w14:paraId="14DFABB0" w14:textId="77777777" w:rsidR="002B6B23" w:rsidRPr="00C872A3" w:rsidRDefault="002B6B23" w:rsidP="002B6B23">
                            <w:pPr>
                              <w:pStyle w:val="Bezmezer"/>
                              <w:keepNext/>
                              <w:widowControl w:val="0"/>
                              <w:pBdr>
                                <w:bottom w:val="single" w:sz="4" w:space="1" w:color="auto"/>
                              </w:pBdr>
                              <w:jc w:val="both"/>
                              <w:rPr>
                                <w:kern w:val="2"/>
                                <w:szCs w:val="16"/>
                              </w:rPr>
                            </w:pPr>
                            <w:r w:rsidRPr="003930B7">
                              <w:rPr>
                                <w:kern w:val="2"/>
                                <w:szCs w:val="16"/>
                              </w:rPr>
                              <w:t>Očekávaná délka života při narození a celkové běžné výdaje na zdravotnictví na obyvatele, rok</w:t>
                            </w:r>
                            <w:r>
                              <w:rPr>
                                <w:kern w:val="2"/>
                                <w:szCs w:val="16"/>
                              </w:rPr>
                              <w:t> </w:t>
                            </w:r>
                            <w:r w:rsidRPr="003930B7">
                              <w:rPr>
                                <w:kern w:val="2"/>
                                <w:szCs w:val="16"/>
                              </w:rPr>
                              <w:t>2020</w:t>
                            </w:r>
                          </w:p>
                          <w:p w14:paraId="63CA2FCA" w14:textId="77777777" w:rsidR="002B6B23" w:rsidRPr="003514B1" w:rsidRDefault="002B6B23" w:rsidP="002B6B23">
                            <w:pPr>
                              <w:pStyle w:val="Bezmezer"/>
                              <w:keepNext/>
                              <w:widowControl w:val="0"/>
                              <w:rPr>
                                <w:kern w:val="2"/>
                                <w:sz w:val="18"/>
                                <w:szCs w:val="16"/>
                              </w:rPr>
                            </w:pPr>
                            <w:r>
                              <w:rPr>
                                <w:noProof/>
                              </w:rPr>
                              <w:drawing>
                                <wp:inline distT="0" distB="0" distL="0" distR="0" wp14:anchorId="7CF2AB52" wp14:editId="0C3E3D30">
                                  <wp:extent cx="3050540" cy="2535497"/>
                                  <wp:effectExtent l="0" t="0" r="0" b="0"/>
                                  <wp:docPr id="44" name="Graf 44">
                                    <a:extLst xmlns:a="http://schemas.openxmlformats.org/drawingml/2006/main">
                                      <a:ext uri="{FF2B5EF4-FFF2-40B4-BE49-F238E27FC236}">
                                        <a16:creationId xmlns:a16="http://schemas.microsoft.com/office/drawing/2014/main" id="{41FB194A-3D18-4A31-82F4-7181A56493D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p w14:paraId="5E9842B4" w14:textId="28D33DC1" w:rsidR="002B6B23" w:rsidRDefault="002B6B23" w:rsidP="002B6B23">
                            <w:pPr>
                              <w:widowControl w:val="0"/>
                              <w:pBdr>
                                <w:top w:val="single" w:sz="4" w:space="1" w:color="auto"/>
                              </w:pBdr>
                              <w:spacing w:after="0"/>
                              <w:rPr>
                                <w:kern w:val="2"/>
                                <w:sz w:val="14"/>
                                <w:szCs w:val="16"/>
                              </w:rPr>
                            </w:pPr>
                            <w:r w:rsidRPr="007B5A7A">
                              <w:rPr>
                                <w:kern w:val="2"/>
                                <w:sz w:val="14"/>
                                <w:szCs w:val="16"/>
                              </w:rPr>
                              <w:t xml:space="preserve">Pramen: </w:t>
                            </w:r>
                            <w:r w:rsidRPr="003930B7">
                              <w:rPr>
                                <w:kern w:val="2"/>
                                <w:sz w:val="14"/>
                                <w:szCs w:val="16"/>
                                <w:lang w:val="en-GB"/>
                              </w:rPr>
                              <w:t xml:space="preserve">OECD </w:t>
                            </w:r>
                            <w:r w:rsidR="007C73F5">
                              <w:rPr>
                                <w:kern w:val="2"/>
                                <w:sz w:val="14"/>
                                <w:szCs w:val="16"/>
                                <w:lang w:val="en-GB"/>
                              </w:rPr>
                              <w:t>(</w:t>
                            </w:r>
                            <w:r w:rsidRPr="003930B7">
                              <w:rPr>
                                <w:kern w:val="2"/>
                                <w:sz w:val="14"/>
                                <w:szCs w:val="16"/>
                                <w:lang w:val="en-GB"/>
                              </w:rPr>
                              <w:t xml:space="preserve">Health </w:t>
                            </w:r>
                            <w:r w:rsidRPr="003930B7">
                              <w:rPr>
                                <w:kern w:val="2"/>
                                <w:sz w:val="14"/>
                                <w:szCs w:val="16"/>
                                <w:lang w:val="en-GB"/>
                              </w:rPr>
                              <w:t xml:space="preserve">Statistics </w:t>
                            </w:r>
                            <w:r w:rsidR="007C73F5">
                              <w:rPr>
                                <w:kern w:val="2"/>
                                <w:sz w:val="14"/>
                                <w:szCs w:val="16"/>
                                <w:lang w:val="en-GB"/>
                              </w:rPr>
                              <w:t xml:space="preserve">- </w:t>
                            </w:r>
                            <w:r w:rsidRPr="003930B7">
                              <w:rPr>
                                <w:kern w:val="2"/>
                                <w:sz w:val="14"/>
                                <w:szCs w:val="16"/>
                                <w:lang w:val="en-GB"/>
                              </w:rPr>
                              <w:t>database)</w:t>
                            </w:r>
                          </w:p>
                          <w:p w14:paraId="1243E9EE" w14:textId="4AF4DBC5" w:rsidR="002B6B23" w:rsidRDefault="002B6B23" w:rsidP="002B6B23">
                            <w:pPr>
                              <w:widowControl w:val="0"/>
                              <w:pBdr>
                                <w:top w:val="single" w:sz="4" w:space="1" w:color="auto"/>
                              </w:pBdr>
                              <w:spacing w:after="0"/>
                              <w:rPr>
                                <w:kern w:val="2"/>
                                <w:sz w:val="14"/>
                                <w:szCs w:val="16"/>
                              </w:rPr>
                            </w:pPr>
                            <w:r>
                              <w:rPr>
                                <w:kern w:val="2"/>
                                <w:sz w:val="14"/>
                                <w:szCs w:val="16"/>
                              </w:rPr>
                              <w:t xml:space="preserve">Poznámka: </w:t>
                            </w:r>
                            <w:r w:rsidRPr="003930B7">
                              <w:rPr>
                                <w:kern w:val="2"/>
                                <w:sz w:val="14"/>
                                <w:szCs w:val="16"/>
                              </w:rPr>
                              <w:t>Údaje o výdajích v Izraeli, Japonsku, Litvě a Švédsku jsou předběžné. Hodnota za Nový Zéland je odhadovaná. Očekávaná délka života ve Spojeném království a</w:t>
                            </w:r>
                            <w:r>
                              <w:rPr>
                                <w:kern w:val="2"/>
                                <w:sz w:val="14"/>
                                <w:szCs w:val="16"/>
                              </w:rPr>
                              <w:t> </w:t>
                            </w:r>
                            <w:r w:rsidRPr="003930B7">
                              <w:rPr>
                                <w:kern w:val="2"/>
                                <w:sz w:val="14"/>
                                <w:szCs w:val="16"/>
                              </w:rPr>
                              <w:t>v</w:t>
                            </w:r>
                            <w:r>
                              <w:rPr>
                                <w:kern w:val="2"/>
                                <w:sz w:val="14"/>
                                <w:szCs w:val="16"/>
                              </w:rPr>
                              <w:t> </w:t>
                            </w:r>
                            <w:r w:rsidRPr="003930B7">
                              <w:rPr>
                                <w:kern w:val="2"/>
                                <w:sz w:val="14"/>
                                <w:szCs w:val="16"/>
                              </w:rPr>
                              <w:t>Japonsku je odhadovaná. Turecká střední délka života je uvedena pro rok 2019</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5694805C" id="_x0000_s1065" type="#_x0000_t202" style="position:absolute;left:0;text-align:left;margin-left:-.05pt;margin-top:291.85pt;width:240.9pt;height:275.05pt;z-index:251838464;visibility:visible;mso-wrap-style:square;mso-width-percent:0;mso-height-percent:0;mso-wrap-distance-left:9pt;mso-wrap-distance-top:11.9pt;mso-wrap-distance-right:9pt;mso-wrap-distance-bottom:11.9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" filled="f" stroked="f">
                <v:textbox inset="0,0,0,0">
                  <w:txbxContent>
                    <w:p w14:paraId="14DFABB0" w14:textId="77777777" w:rsidR="002B6B23" w:rsidRPr="00C872A3" w:rsidRDefault="002B6B23" w:rsidP="002B6B23">
                      <w:pPr>
                        <w:pStyle w:val="Bezmezer"/>
                        <w:keepNext/>
                        <w:widowControl w:val="0"/>
                        <w:pBdr>
                          <w:bottom w:val="single" w:sz="4" w:space="1" w:color="auto"/>
                        </w:pBdr>
                        <w:jc w:val="both"/>
                        <w:rPr>
                          <w:kern w:val="2"/>
                          <w:szCs w:val="16"/>
                        </w:rPr>
                      </w:pPr>
                      <w:r w:rsidRPr="003930B7">
                        <w:rPr>
                          <w:kern w:val="2"/>
                          <w:szCs w:val="16"/>
                        </w:rPr>
                        <w:t>Očekávaná délka života při narození a celkové běžné výdaje na zdravotnictví na obyvatele, rok</w:t>
                      </w:r>
                      <w:r>
                        <w:rPr>
                          <w:kern w:val="2"/>
                          <w:szCs w:val="16"/>
                        </w:rPr>
                        <w:t> </w:t>
                      </w:r>
                      <w:r w:rsidRPr="003930B7">
                        <w:rPr>
                          <w:kern w:val="2"/>
                          <w:szCs w:val="16"/>
                        </w:rPr>
                        <w:t>2020</w:t>
                      </w:r>
                    </w:p>
                    <w:p w14:paraId="63CA2FCA" w14:textId="77777777" w:rsidR="002B6B23" w:rsidRPr="003514B1" w:rsidRDefault="002B6B23" w:rsidP="002B6B23">
                      <w:pPr>
                        <w:pStyle w:val="Bezmezer"/>
                        <w:keepNext/>
                        <w:widowControl w:val="0"/>
                        <w:rPr>
                          <w:kern w:val="2"/>
                          <w:sz w:val="18"/>
                          <w:szCs w:val="16"/>
                        </w:rPr>
                      </w:pPr>
                      <w:r>
                        <w:rPr>
                          <w:noProof/>
                        </w:rPr>
                        <w:drawing>
                          <wp:inline distT="0" distB="0" distL="0" distR="0" wp14:anchorId="7CF2AB52" wp14:editId="0C3E3D30">
                            <wp:extent cx="3050540" cy="2535497"/>
                            <wp:effectExtent l="0" t="0" r="0" b="0"/>
                            <wp:docPr id="44" name="Graf 44">
                              <a:extLst xmlns:a="http://schemas.openxmlformats.org/drawingml/2006/main">
                                <a:ext uri="{FF2B5EF4-FFF2-40B4-BE49-F238E27FC236}">
                                  <a16:creationId xmlns:a16="http://schemas.microsoft.com/office/drawing/2014/main" id="{41FB194A-3D18-4A31-82F4-7181A56493D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p w14:paraId="5E9842B4" w14:textId="28D33DC1" w:rsidR="002B6B23" w:rsidRDefault="002B6B23" w:rsidP="002B6B23">
                      <w:pPr>
                        <w:widowControl w:val="0"/>
                        <w:pBdr>
                          <w:top w:val="single" w:sz="4" w:space="1" w:color="auto"/>
                        </w:pBdr>
                        <w:spacing w:after="0"/>
                        <w:rPr>
                          <w:kern w:val="2"/>
                          <w:sz w:val="14"/>
                          <w:szCs w:val="16"/>
                        </w:rPr>
                      </w:pPr>
                      <w:r w:rsidRPr="007B5A7A">
                        <w:rPr>
                          <w:kern w:val="2"/>
                          <w:sz w:val="14"/>
                          <w:szCs w:val="16"/>
                        </w:rPr>
                        <w:t xml:space="preserve">Pramen: </w:t>
                      </w:r>
                      <w:r w:rsidRPr="003930B7">
                        <w:rPr>
                          <w:kern w:val="2"/>
                          <w:sz w:val="14"/>
                          <w:szCs w:val="16"/>
                          <w:lang w:val="en-GB"/>
                        </w:rPr>
                        <w:t xml:space="preserve">OECD </w:t>
                      </w:r>
                      <w:r w:rsidR="007C73F5">
                        <w:rPr>
                          <w:kern w:val="2"/>
                          <w:sz w:val="14"/>
                          <w:szCs w:val="16"/>
                          <w:lang w:val="en-GB"/>
                        </w:rPr>
                        <w:t>(</w:t>
                      </w:r>
                      <w:r w:rsidRPr="003930B7">
                        <w:rPr>
                          <w:kern w:val="2"/>
                          <w:sz w:val="14"/>
                          <w:szCs w:val="16"/>
                          <w:lang w:val="en-GB"/>
                        </w:rPr>
                        <w:t xml:space="preserve">Health </w:t>
                      </w:r>
                      <w:r w:rsidRPr="003930B7">
                        <w:rPr>
                          <w:kern w:val="2"/>
                          <w:sz w:val="14"/>
                          <w:szCs w:val="16"/>
                          <w:lang w:val="en-GB"/>
                        </w:rPr>
                        <w:t xml:space="preserve">Statistics </w:t>
                      </w:r>
                      <w:r w:rsidR="007C73F5">
                        <w:rPr>
                          <w:kern w:val="2"/>
                          <w:sz w:val="14"/>
                          <w:szCs w:val="16"/>
                          <w:lang w:val="en-GB"/>
                        </w:rPr>
                        <w:t xml:space="preserve">- </w:t>
                      </w:r>
                      <w:r w:rsidRPr="003930B7">
                        <w:rPr>
                          <w:kern w:val="2"/>
                          <w:sz w:val="14"/>
                          <w:szCs w:val="16"/>
                          <w:lang w:val="en-GB"/>
                        </w:rPr>
                        <w:t>database)</w:t>
                      </w:r>
                    </w:p>
                    <w:p w14:paraId="1243E9EE" w14:textId="4AF4DBC5" w:rsidR="002B6B23" w:rsidRDefault="002B6B23" w:rsidP="002B6B23">
                      <w:pPr>
                        <w:widowControl w:val="0"/>
                        <w:pBdr>
                          <w:top w:val="single" w:sz="4" w:space="1" w:color="auto"/>
                        </w:pBdr>
                        <w:spacing w:after="0"/>
                        <w:rPr>
                          <w:kern w:val="2"/>
                          <w:sz w:val="14"/>
                          <w:szCs w:val="16"/>
                        </w:rPr>
                      </w:pPr>
                      <w:r>
                        <w:rPr>
                          <w:kern w:val="2"/>
                          <w:sz w:val="14"/>
                          <w:szCs w:val="16"/>
                        </w:rPr>
                        <w:t xml:space="preserve">Poznámka: </w:t>
                      </w:r>
                      <w:r w:rsidRPr="003930B7">
                        <w:rPr>
                          <w:kern w:val="2"/>
                          <w:sz w:val="14"/>
                          <w:szCs w:val="16"/>
                        </w:rPr>
                        <w:t>Údaje o výdajích v Izraeli, Japonsku, Litvě a Švédsku jsou předběžné. Hodnota za Nový Zéland je odhadovaná. Očekávaná délka života ve Spojeném království a</w:t>
                      </w:r>
                      <w:r>
                        <w:rPr>
                          <w:kern w:val="2"/>
                          <w:sz w:val="14"/>
                          <w:szCs w:val="16"/>
                        </w:rPr>
                        <w:t> </w:t>
                      </w:r>
                      <w:r w:rsidRPr="003930B7">
                        <w:rPr>
                          <w:kern w:val="2"/>
                          <w:sz w:val="14"/>
                          <w:szCs w:val="16"/>
                        </w:rPr>
                        <w:t>v</w:t>
                      </w:r>
                      <w:r>
                        <w:rPr>
                          <w:kern w:val="2"/>
                          <w:sz w:val="14"/>
                          <w:szCs w:val="16"/>
                        </w:rPr>
                        <w:t> </w:t>
                      </w:r>
                      <w:r w:rsidRPr="003930B7">
                        <w:rPr>
                          <w:kern w:val="2"/>
                          <w:sz w:val="14"/>
                          <w:szCs w:val="16"/>
                        </w:rPr>
                        <w:t>Japonsku je odhadovaná. Turecká střední délka života je uvedena pro rok 2019</w:t>
                      </w:r>
                    </w:p>
                  </w:txbxContent>
                </v:textbox>
                <w10:wrap type="square" anchorx="margin" anchory="margin"/>
              </v:shape>
            </w:pict>
          </mc:Fallback>
        </mc:AlternateContent>
      </w:r>
      <w:r w:rsidRPr="00D67550">
        <w:rPr>
          <w:noProof/>
        </w:rPr>
        <mc:AlternateContent>
          <mc:Choice Requires="wps">
            <w:drawing>
              <wp:anchor distT="151130" distB="151130" distL="114300" distR="114300" simplePos="0" relativeHeight="251839488" behindDoc="0" locked="0" layoutInCell="1" allowOverlap="1" wp14:anchorId="0713FBBD" wp14:editId="24AD27CD">
                <wp:simplePos x="0" y="0"/>
                <wp:positionH relativeFrom="margin">
                  <wp:posOffset>3300482</wp:posOffset>
                </wp:positionH>
                <wp:positionV relativeFrom="margin">
                  <wp:posOffset>-3506</wp:posOffset>
                </wp:positionV>
                <wp:extent cx="2983230" cy="3493135"/>
                <wp:effectExtent l="0" t="0" r="7620" b="12065"/>
                <wp:wrapSquare wrapText="bothSides"/>
                <wp:docPr id="123"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3230" cy="3493135"/>
                        </a:xfrm>
                        <a:prstGeom prst="rect">
                          <a:avLst/>
                        </a:prstGeom>
                        <a:noFill/>
                        <a:ln w="9525">
                          <a:noFill/>
                          <a:miter lim="800000"/>
                          <a:headEnd/>
                          <a:tailEnd/>
                        </a:ln>
                      </wps:spPr>
                      <wps:txbx>
                        <w:txbxContent>
                          <w:p w14:paraId="08C3CF45" w14:textId="2A6E7B4A" w:rsidR="002B6B23" w:rsidRPr="00C872A3" w:rsidRDefault="002B6B23" w:rsidP="002B6B23">
                            <w:pPr>
                              <w:pStyle w:val="Bezmezer"/>
                              <w:keepNext/>
                              <w:widowControl w:val="0"/>
                              <w:pBdr>
                                <w:bottom w:val="single" w:sz="4" w:space="1" w:color="auto"/>
                              </w:pBdr>
                              <w:jc w:val="both"/>
                              <w:rPr>
                                <w:kern w:val="2"/>
                                <w:szCs w:val="16"/>
                              </w:rPr>
                            </w:pPr>
                            <w:r w:rsidRPr="001A635F">
                              <w:rPr>
                                <w:kern w:val="2"/>
                                <w:szCs w:val="16"/>
                              </w:rPr>
                              <w:t>Výsledky ve výzkumu PISA (</w:t>
                            </w:r>
                            <w:r w:rsidR="00F44F81" w:rsidRPr="00F44F81">
                              <w:rPr>
                                <w:kern w:val="2"/>
                                <w:szCs w:val="16"/>
                              </w:rPr>
                              <w:t>matematická gramotnost</w:t>
                            </w:r>
                            <w:r w:rsidRPr="001A635F">
                              <w:rPr>
                                <w:kern w:val="2"/>
                                <w:szCs w:val="16"/>
                              </w:rPr>
                              <w:t>) 2018 ve věku 15</w:t>
                            </w:r>
                            <w:r>
                              <w:rPr>
                                <w:kern w:val="2"/>
                                <w:szCs w:val="16"/>
                              </w:rPr>
                              <w:t> </w:t>
                            </w:r>
                            <w:r w:rsidRPr="001A635F">
                              <w:rPr>
                                <w:kern w:val="2"/>
                                <w:szCs w:val="16"/>
                              </w:rPr>
                              <w:t>let a kumulativní výdaje na žáka ve věku 6 až 15 let, rok</w:t>
                            </w:r>
                            <w:r>
                              <w:rPr>
                                <w:kern w:val="2"/>
                                <w:szCs w:val="16"/>
                              </w:rPr>
                              <w:t> </w:t>
                            </w:r>
                            <w:r w:rsidRPr="001A635F">
                              <w:rPr>
                                <w:kern w:val="2"/>
                                <w:szCs w:val="16"/>
                              </w:rPr>
                              <w:t>2019</w:t>
                            </w:r>
                          </w:p>
                          <w:p w14:paraId="5AF341A9" w14:textId="77777777" w:rsidR="002B6B23" w:rsidRPr="003514B1" w:rsidRDefault="002B6B23" w:rsidP="002B6B23">
                            <w:pPr>
                              <w:pStyle w:val="Bezmezer"/>
                              <w:keepNext/>
                              <w:widowControl w:val="0"/>
                              <w:rPr>
                                <w:kern w:val="2"/>
                                <w:sz w:val="18"/>
                                <w:szCs w:val="16"/>
                              </w:rPr>
                            </w:pPr>
                            <w:r>
                              <w:rPr>
                                <w:noProof/>
                              </w:rPr>
                              <w:drawing>
                                <wp:inline distT="0" distB="0" distL="0" distR="0" wp14:anchorId="2A1ABF7A" wp14:editId="5F30628A">
                                  <wp:extent cx="2974340" cy="2558415"/>
                                  <wp:effectExtent l="0" t="0" r="0" b="0"/>
                                  <wp:docPr id="45" name="Graf 45">
                                    <a:extLst xmlns:a="http://schemas.openxmlformats.org/drawingml/2006/main">
                                      <a:ext uri="{FF2B5EF4-FFF2-40B4-BE49-F238E27FC236}">
                                        <a16:creationId xmlns:a16="http://schemas.microsoft.com/office/drawing/2014/main" id="{C48D71A4-47D4-4A3E-8BA1-1A207EC29A4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p w14:paraId="412AE80E" w14:textId="387847B7" w:rsidR="002B6B23" w:rsidRDefault="002B6B23" w:rsidP="002B6B23">
                            <w:pPr>
                              <w:widowControl w:val="0"/>
                              <w:pBdr>
                                <w:top w:val="single" w:sz="4" w:space="1" w:color="auto"/>
                              </w:pBdr>
                              <w:spacing w:after="0"/>
                              <w:rPr>
                                <w:kern w:val="2"/>
                                <w:sz w:val="14"/>
                                <w:szCs w:val="16"/>
                              </w:rPr>
                            </w:pPr>
                            <w:r w:rsidRPr="007B5A7A">
                              <w:rPr>
                                <w:kern w:val="2"/>
                                <w:sz w:val="14"/>
                                <w:szCs w:val="16"/>
                              </w:rPr>
                              <w:t xml:space="preserve">Pramen: </w:t>
                            </w:r>
                            <w:r w:rsidRPr="001A635F">
                              <w:rPr>
                                <w:kern w:val="2"/>
                                <w:sz w:val="14"/>
                                <w:szCs w:val="16"/>
                                <w:lang w:val="en-GB"/>
                              </w:rPr>
                              <w:t xml:space="preserve">OECD </w:t>
                            </w:r>
                            <w:r w:rsidR="007C73F5">
                              <w:rPr>
                                <w:kern w:val="2"/>
                                <w:sz w:val="14"/>
                                <w:szCs w:val="16"/>
                                <w:lang w:val="en-GB"/>
                              </w:rPr>
                              <w:t>(</w:t>
                            </w:r>
                            <w:r w:rsidRPr="001A635F">
                              <w:rPr>
                                <w:kern w:val="2"/>
                                <w:sz w:val="14"/>
                                <w:szCs w:val="16"/>
                                <w:lang w:val="en-GB"/>
                              </w:rPr>
                              <w:t xml:space="preserve">Education at a </w:t>
                            </w:r>
                            <w:r w:rsidRPr="001A635F">
                              <w:rPr>
                                <w:kern w:val="2"/>
                                <w:sz w:val="14"/>
                                <w:szCs w:val="16"/>
                                <w:lang w:val="en-GB"/>
                              </w:rPr>
                              <w:t>Glance</w:t>
                            </w:r>
                            <w:r w:rsidRPr="001A635F">
                              <w:rPr>
                                <w:kern w:val="2"/>
                                <w:sz w:val="14"/>
                                <w:szCs w:val="16"/>
                              </w:rPr>
                              <w:t xml:space="preserve"> </w:t>
                            </w:r>
                            <w:r w:rsidR="007C73F5">
                              <w:rPr>
                                <w:kern w:val="2"/>
                                <w:sz w:val="14"/>
                                <w:szCs w:val="16"/>
                              </w:rPr>
                              <w:t xml:space="preserve">- </w:t>
                            </w:r>
                            <w:r w:rsidRPr="001A635F">
                              <w:rPr>
                                <w:kern w:val="2"/>
                                <w:sz w:val="14"/>
                                <w:szCs w:val="16"/>
                              </w:rPr>
                              <w:t>database)</w:t>
                            </w:r>
                          </w:p>
                          <w:p w14:paraId="26153E00" w14:textId="79640733" w:rsidR="002B6B23" w:rsidRDefault="002B6B23" w:rsidP="002B6B23">
                            <w:pPr>
                              <w:widowControl w:val="0"/>
                              <w:pBdr>
                                <w:top w:val="single" w:sz="4" w:space="1" w:color="auto"/>
                              </w:pBdr>
                              <w:spacing w:after="0"/>
                              <w:rPr>
                                <w:kern w:val="2"/>
                                <w:sz w:val="14"/>
                                <w:szCs w:val="16"/>
                              </w:rPr>
                            </w:pPr>
                            <w:r>
                              <w:rPr>
                                <w:kern w:val="2"/>
                                <w:sz w:val="14"/>
                                <w:szCs w:val="16"/>
                              </w:rPr>
                              <w:t xml:space="preserve">Poznámka: </w:t>
                            </w:r>
                            <w:r w:rsidRPr="001A635F">
                              <w:rPr>
                                <w:kern w:val="2"/>
                                <w:sz w:val="14"/>
                                <w:szCs w:val="16"/>
                              </w:rPr>
                              <w:t>Všechny údaje za Kostariku nejsou k dispozici. Chybí údaje o výdajích za Kanadu, Izrael a Švýcarsko</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0713FBBD" id="_x0000_s1066" type="#_x0000_t202" style="position:absolute;left:0;text-align:left;margin-left:259.9pt;margin-top:-.3pt;width:234.9pt;height:275.05pt;z-index:251839488;visibility:visible;mso-wrap-style:square;mso-width-percent:0;mso-height-percent:0;mso-wrap-distance-left:9pt;mso-wrap-distance-top:11.9pt;mso-wrap-distance-right:9pt;mso-wrap-distance-bottom:11.9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" filled="f" stroked="f">
                <v:textbox inset="0,0,0,0">
                  <w:txbxContent>
                    <w:p w14:paraId="08C3CF45" w14:textId="2A6E7B4A" w:rsidR="002B6B23" w:rsidRPr="00C872A3" w:rsidRDefault="002B6B23" w:rsidP="002B6B23">
                      <w:pPr>
                        <w:pStyle w:val="Bezmezer"/>
                        <w:keepNext/>
                        <w:widowControl w:val="0"/>
                        <w:pBdr>
                          <w:bottom w:val="single" w:sz="4" w:space="1" w:color="auto"/>
                        </w:pBdr>
                        <w:jc w:val="both"/>
                        <w:rPr>
                          <w:kern w:val="2"/>
                          <w:szCs w:val="16"/>
                        </w:rPr>
                      </w:pPr>
                      <w:r w:rsidRPr="001A635F">
                        <w:rPr>
                          <w:kern w:val="2"/>
                          <w:szCs w:val="16"/>
                        </w:rPr>
                        <w:t>Výsledky ve výzkumu PISA (</w:t>
                      </w:r>
                      <w:r w:rsidR="00F44F81" w:rsidRPr="00F44F81">
                        <w:rPr>
                          <w:kern w:val="2"/>
                          <w:szCs w:val="16"/>
                        </w:rPr>
                        <w:t>matematická gramotnost</w:t>
                      </w:r>
                      <w:r w:rsidRPr="001A635F">
                        <w:rPr>
                          <w:kern w:val="2"/>
                          <w:szCs w:val="16"/>
                        </w:rPr>
                        <w:t>) 2018 ve věku 15</w:t>
                      </w:r>
                      <w:r>
                        <w:rPr>
                          <w:kern w:val="2"/>
                          <w:szCs w:val="16"/>
                        </w:rPr>
                        <w:t> </w:t>
                      </w:r>
                      <w:r w:rsidRPr="001A635F">
                        <w:rPr>
                          <w:kern w:val="2"/>
                          <w:szCs w:val="16"/>
                        </w:rPr>
                        <w:t>let a kumulativní výdaje na žáka ve věku 6 až 15 let, rok</w:t>
                      </w:r>
                      <w:r>
                        <w:rPr>
                          <w:kern w:val="2"/>
                          <w:szCs w:val="16"/>
                        </w:rPr>
                        <w:t> </w:t>
                      </w:r>
                      <w:r w:rsidRPr="001A635F">
                        <w:rPr>
                          <w:kern w:val="2"/>
                          <w:szCs w:val="16"/>
                        </w:rPr>
                        <w:t>2019</w:t>
                      </w:r>
                    </w:p>
                    <w:p w14:paraId="5AF341A9" w14:textId="77777777" w:rsidR="002B6B23" w:rsidRPr="003514B1" w:rsidRDefault="002B6B23" w:rsidP="002B6B23">
                      <w:pPr>
                        <w:pStyle w:val="Bezmezer"/>
                        <w:keepNext/>
                        <w:widowControl w:val="0"/>
                        <w:rPr>
                          <w:kern w:val="2"/>
                          <w:sz w:val="18"/>
                          <w:szCs w:val="16"/>
                        </w:rPr>
                      </w:pPr>
                      <w:r>
                        <w:rPr>
                          <w:noProof/>
                        </w:rPr>
                        <w:drawing>
                          <wp:inline distT="0" distB="0" distL="0" distR="0" wp14:anchorId="2A1ABF7A" wp14:editId="5F30628A">
                            <wp:extent cx="2974340" cy="2558415"/>
                            <wp:effectExtent l="0" t="0" r="0" b="0"/>
                            <wp:docPr id="45" name="Graf 45">
                              <a:extLst xmlns:a="http://schemas.openxmlformats.org/drawingml/2006/main">
                                <a:ext uri="{FF2B5EF4-FFF2-40B4-BE49-F238E27FC236}">
                                  <a16:creationId xmlns:a16="http://schemas.microsoft.com/office/drawing/2014/main" id="{C48D71A4-47D4-4A3E-8BA1-1A207EC29A4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p w14:paraId="412AE80E" w14:textId="387847B7" w:rsidR="002B6B23" w:rsidRDefault="002B6B23" w:rsidP="002B6B23">
                      <w:pPr>
                        <w:widowControl w:val="0"/>
                        <w:pBdr>
                          <w:top w:val="single" w:sz="4" w:space="1" w:color="auto"/>
                        </w:pBdr>
                        <w:spacing w:after="0"/>
                        <w:rPr>
                          <w:kern w:val="2"/>
                          <w:sz w:val="14"/>
                          <w:szCs w:val="16"/>
                        </w:rPr>
                      </w:pPr>
                      <w:r w:rsidRPr="007B5A7A">
                        <w:rPr>
                          <w:kern w:val="2"/>
                          <w:sz w:val="14"/>
                          <w:szCs w:val="16"/>
                        </w:rPr>
                        <w:t xml:space="preserve">Pramen: </w:t>
                      </w:r>
                      <w:r w:rsidRPr="001A635F">
                        <w:rPr>
                          <w:kern w:val="2"/>
                          <w:sz w:val="14"/>
                          <w:szCs w:val="16"/>
                          <w:lang w:val="en-GB"/>
                        </w:rPr>
                        <w:t xml:space="preserve">OECD </w:t>
                      </w:r>
                      <w:r w:rsidR="007C73F5">
                        <w:rPr>
                          <w:kern w:val="2"/>
                          <w:sz w:val="14"/>
                          <w:szCs w:val="16"/>
                          <w:lang w:val="en-GB"/>
                        </w:rPr>
                        <w:t>(</w:t>
                      </w:r>
                      <w:r w:rsidRPr="001A635F">
                        <w:rPr>
                          <w:kern w:val="2"/>
                          <w:sz w:val="14"/>
                          <w:szCs w:val="16"/>
                          <w:lang w:val="en-GB"/>
                        </w:rPr>
                        <w:t xml:space="preserve">Education at a </w:t>
                      </w:r>
                      <w:r w:rsidRPr="001A635F">
                        <w:rPr>
                          <w:kern w:val="2"/>
                          <w:sz w:val="14"/>
                          <w:szCs w:val="16"/>
                          <w:lang w:val="en-GB"/>
                        </w:rPr>
                        <w:t>Glance</w:t>
                      </w:r>
                      <w:r w:rsidRPr="001A635F">
                        <w:rPr>
                          <w:kern w:val="2"/>
                          <w:sz w:val="14"/>
                          <w:szCs w:val="16"/>
                        </w:rPr>
                        <w:t xml:space="preserve"> </w:t>
                      </w:r>
                      <w:r w:rsidR="007C73F5">
                        <w:rPr>
                          <w:kern w:val="2"/>
                          <w:sz w:val="14"/>
                          <w:szCs w:val="16"/>
                        </w:rPr>
                        <w:t xml:space="preserve">- </w:t>
                      </w:r>
                      <w:r w:rsidRPr="001A635F">
                        <w:rPr>
                          <w:kern w:val="2"/>
                          <w:sz w:val="14"/>
                          <w:szCs w:val="16"/>
                        </w:rPr>
                        <w:t>database)</w:t>
                      </w:r>
                    </w:p>
                    <w:p w14:paraId="26153E00" w14:textId="79640733" w:rsidR="002B6B23" w:rsidRDefault="002B6B23" w:rsidP="002B6B23">
                      <w:pPr>
                        <w:widowControl w:val="0"/>
                        <w:pBdr>
                          <w:top w:val="single" w:sz="4" w:space="1" w:color="auto"/>
                        </w:pBdr>
                        <w:spacing w:after="0"/>
                        <w:rPr>
                          <w:kern w:val="2"/>
                          <w:sz w:val="14"/>
                          <w:szCs w:val="16"/>
                        </w:rPr>
                      </w:pPr>
                      <w:r>
                        <w:rPr>
                          <w:kern w:val="2"/>
                          <w:sz w:val="14"/>
                          <w:szCs w:val="16"/>
                        </w:rPr>
                        <w:t xml:space="preserve">Poznámka: </w:t>
                      </w:r>
                      <w:r w:rsidRPr="001A635F">
                        <w:rPr>
                          <w:kern w:val="2"/>
                          <w:sz w:val="14"/>
                          <w:szCs w:val="16"/>
                        </w:rPr>
                        <w:t>Všechny údaje za Kostariku nejsou k dispozici. Chybí údaje o výdajích za Kanadu, Izrael a Švýcarsko</w:t>
                      </w:r>
                    </w:p>
                  </w:txbxContent>
                </v:textbox>
                <w10:wrap type="square" anchorx="margin" anchory="margin"/>
              </v:shape>
            </w:pict>
          </mc:Fallback>
        </mc:AlternateContent>
      </w:r>
      <w:r>
        <w:br w:type="page"/>
      </w:r>
    </w:p>
    <w:p w14:paraId="35D47A06" w14:textId="77777777" w:rsidR="002B6B23" w:rsidRDefault="002B6B23" w:rsidP="002B6B23">
      <w:pPr>
        <w:pStyle w:val="Text"/>
        <w:sectPr w:rsidR="002B6B23" w:rsidSect="00B94A20">
          <w:type w:val="continuous"/>
          <w:pgSz w:w="11906" w:h="16838"/>
          <w:pgMar w:top="1134" w:right="992" w:bottom="1134" w:left="992" w:header="709" w:footer="709" w:gutter="0"/>
          <w:cols w:space="708"/>
          <w:docGrid w:linePitch="360"/>
        </w:sectPr>
      </w:pPr>
    </w:p>
    <w:p w14:paraId="335A1744" w14:textId="7EE2D27E" w:rsidR="002B6B23" w:rsidRPr="0073784E" w:rsidRDefault="002B6B23" w:rsidP="00F63CBF">
      <w:pPr>
        <w:pStyle w:val="HSPlohaslovn"/>
        <w:numPr>
          <w:ilvl w:val="0"/>
          <w:numId w:val="0"/>
        </w:numPr>
        <w:ind w:left="2438" w:hanging="2438"/>
      </w:pPr>
      <w:bookmarkStart w:id="33" w:name="_Toc174703069"/>
      <w:r w:rsidRPr="0073784E">
        <w:lastRenderedPageBreak/>
        <w:t xml:space="preserve">Mezinárodní vnímání </w:t>
      </w:r>
      <w:r w:rsidR="00B10552">
        <w:t>České republiky</w:t>
      </w:r>
      <w:bookmarkEnd w:id="33"/>
    </w:p>
    <w:p w14:paraId="223B5270" w14:textId="3B9BD200" w:rsidR="002B6B23" w:rsidRDefault="002B6B23" w:rsidP="002B6B23">
      <w:pPr>
        <w:pStyle w:val="HSNadpis4bezslovn"/>
      </w:pPr>
      <w:r>
        <w:t>Organizace pro hospodářskou spolupráci a rozvoj</w:t>
      </w:r>
    </w:p>
    <w:p w14:paraId="58D65825" w14:textId="77777777" w:rsidR="002B6B23" w:rsidRDefault="002B6B23" w:rsidP="002B6B23">
      <w:pPr>
        <w:pStyle w:val="Text"/>
        <w:ind w:right="424"/>
        <w:sectPr w:rsidR="002B6B23" w:rsidSect="00B94A20">
          <w:headerReference w:type="default" r:id="rId55"/>
          <w:type w:val="continuous"/>
          <w:pgSz w:w="11906" w:h="16838"/>
          <w:pgMar w:top="1134" w:right="992" w:bottom="1134" w:left="992" w:header="709" w:footer="709" w:gutter="0"/>
          <w:cols w:space="708"/>
          <w:docGrid w:linePitch="360"/>
        </w:sectPr>
      </w:pPr>
    </w:p>
    <w:p w14:paraId="32006BE5" w14:textId="105EF478" w:rsidR="002B6B23" w:rsidRDefault="002B6B23" w:rsidP="00D70563">
      <w:pPr>
        <w:suppressAutoHyphens/>
      </w:pPr>
      <w:r w:rsidRPr="00C94FD1">
        <w:t xml:space="preserve">Česká republika čelí </w:t>
      </w:r>
      <w:r>
        <w:t xml:space="preserve">podle </w:t>
      </w:r>
      <w:r w:rsidR="00336F48">
        <w:t>Organizace pro hospodářskou spolupráci a rozvoj (</w:t>
      </w:r>
      <w:r>
        <w:t>OECD</w:t>
      </w:r>
      <w:r w:rsidR="00336F48">
        <w:t>)</w:t>
      </w:r>
      <w:r>
        <w:t xml:space="preserve"> </w:t>
      </w:r>
      <w:r w:rsidRPr="00C94FD1">
        <w:t>střednědobým a</w:t>
      </w:r>
      <w:r w:rsidR="00510CF8">
        <w:t> </w:t>
      </w:r>
      <w:r w:rsidRPr="00C94FD1">
        <w:t xml:space="preserve">dlouhodobým vysokým fiskálním tlakům, které ohrožují </w:t>
      </w:r>
      <w:r>
        <w:t>dlouhodobou</w:t>
      </w:r>
      <w:r w:rsidRPr="00C94FD1">
        <w:t xml:space="preserve"> udržitelnost</w:t>
      </w:r>
      <w:r>
        <w:t xml:space="preserve"> veřejných financí</w:t>
      </w:r>
      <w:r w:rsidRPr="00C94FD1">
        <w:t xml:space="preserve">. </w:t>
      </w:r>
      <w:r>
        <w:t xml:space="preserve">Česká republika by proto měla podniknout kroky </w:t>
      </w:r>
      <w:r w:rsidRPr="00C94FD1">
        <w:t>na straně výdajů i příjmů</w:t>
      </w:r>
      <w:r>
        <w:t xml:space="preserve"> veřejných rozpočtů</w:t>
      </w:r>
      <w:r w:rsidRPr="00C94FD1">
        <w:t>, aby se uzavřely očekávané budoucí mezery ve veřejných rozpočtech.</w:t>
      </w:r>
      <w:r>
        <w:t xml:space="preserve"> Do budoucna bude podle OECD stárnutí populace znamenat nárůst veřejných výdajů na důchody, zdravotnictví a dlouhodobou péči, což výrazně zvýší poměr dluhu k HDP. Bez reformy bude třeba významné zvýšení fiskálních příjmů, aby se vyrovnaly nárůstu výdajů. Zvýšení efektivity ve </w:t>
      </w:r>
      <w:r>
        <w:t>veřejném sektoru a pokračování v boji proti korupci by také pomohlo omezit nárůst veřejných výdajů. Podle OECD existuje prostor pro revizi daňového systému, aby lépe odpovídal ekonomickým, environmentálním a společenským cílům. Daňové zatížení práce je vysoké kvůli významným příspěvkům na sociální zabezpečení. Daně z příjmů fyzických osob zůstávají nízké a jsou pouze slabě progresivní. Existuje silná závislost na snížených sazbách DPH, které se ukázaly být špatně cílené na boj proti chudobě. Na druhou stranu, environmentální daně a daně z</w:t>
      </w:r>
      <w:r w:rsidR="00160885">
        <w:t> </w:t>
      </w:r>
      <w:r>
        <w:t>nemovit</w:t>
      </w:r>
      <w:r w:rsidR="00160885">
        <w:t>ých věcí</w:t>
      </w:r>
      <w:r>
        <w:t>, které méně ohrožují hospodářský růst, jsou v </w:t>
      </w:r>
      <w:r w:rsidR="00B10552">
        <w:t>České republice</w:t>
      </w:r>
      <w:r>
        <w:t xml:space="preserve"> nízké.</w:t>
      </w:r>
      <w:r>
        <w:rPr>
          <w:rStyle w:val="Odkaznavysvtlivky"/>
        </w:rPr>
        <w:endnoteReference w:id="20"/>
      </w:r>
    </w:p>
    <w:p w14:paraId="5537EB9C" w14:textId="77777777" w:rsidR="002B6B23" w:rsidRDefault="002B6B23" w:rsidP="002B6B23">
      <w:pPr>
        <w:pStyle w:val="Text"/>
        <w:ind w:right="424"/>
        <w:sectPr w:rsidR="002B6B23" w:rsidSect="002234D9">
          <w:endnotePr>
            <w:numFmt w:val="decimal"/>
          </w:endnotePr>
          <w:type w:val="continuous"/>
          <w:pgSz w:w="11906" w:h="16838"/>
          <w:pgMar w:top="1134" w:right="992" w:bottom="1134" w:left="992" w:header="709" w:footer="709" w:gutter="0"/>
          <w:cols w:num="2" w:space="282"/>
          <w:docGrid w:linePitch="360"/>
        </w:sectPr>
      </w:pPr>
    </w:p>
    <w:tbl>
      <w:tblPr>
        <w:tblStyle w:val="Mkatabulky"/>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61"/>
        <w:gridCol w:w="4961"/>
      </w:tblGrid>
      <w:tr w:rsidR="002B6B23" w:rsidRPr="00E437C1" w14:paraId="4108276B" w14:textId="77777777" w:rsidTr="00E157B6">
        <w:trPr>
          <w:trHeight w:val="20"/>
          <w:tblHeader/>
        </w:trPr>
        <w:tc>
          <w:tcPr>
            <w:tcW w:w="2500" w:type="pct"/>
            <w:tcBorders>
              <w:bottom w:val="single" w:sz="4" w:space="0" w:color="auto"/>
            </w:tcBorders>
          </w:tcPr>
          <w:p w14:paraId="5E88658B" w14:textId="29DA331B" w:rsidR="002B6B23" w:rsidRPr="00E437C1" w:rsidRDefault="002B6B23" w:rsidP="008124B3">
            <w:r w:rsidRPr="00E437C1">
              <w:t>Zjištění</w:t>
            </w:r>
            <w:r w:rsidR="002501EC">
              <w:t xml:space="preserve"> OECD</w:t>
            </w:r>
          </w:p>
        </w:tc>
        <w:tc>
          <w:tcPr>
            <w:tcW w:w="2500" w:type="pct"/>
            <w:tcBorders>
              <w:bottom w:val="single" w:sz="4" w:space="0" w:color="auto"/>
            </w:tcBorders>
          </w:tcPr>
          <w:p w14:paraId="31AC7B6F" w14:textId="51495157" w:rsidR="002B6B23" w:rsidRPr="00E437C1" w:rsidRDefault="002B6B23" w:rsidP="008124B3">
            <w:r w:rsidRPr="00E437C1">
              <w:t>Doporučení</w:t>
            </w:r>
            <w:r w:rsidR="002501EC">
              <w:t xml:space="preserve"> OECD</w:t>
            </w:r>
          </w:p>
        </w:tc>
      </w:tr>
      <w:tr w:rsidR="002B6B23" w:rsidRPr="00E437C1" w14:paraId="69B1C451" w14:textId="77777777" w:rsidTr="00BD49CC">
        <w:trPr>
          <w:trHeight w:val="165"/>
        </w:trPr>
        <w:tc>
          <w:tcPr>
            <w:tcW w:w="5000" w:type="pct"/>
            <w:gridSpan w:val="2"/>
          </w:tcPr>
          <w:p w14:paraId="70DD0265" w14:textId="77777777" w:rsidR="002B6B23" w:rsidRPr="00E437C1" w:rsidRDefault="002B6B23" w:rsidP="00BD49CC">
            <w:pPr>
              <w:pStyle w:val="HSNadpis6bezslovn"/>
            </w:pPr>
            <w:r w:rsidRPr="00E437C1">
              <w:t>Fungování trhu produktů a trhu práce</w:t>
            </w:r>
          </w:p>
        </w:tc>
      </w:tr>
      <w:tr w:rsidR="002B6B23" w:rsidRPr="00E437C1" w14:paraId="5C781B74" w14:textId="77777777" w:rsidTr="00E157B6">
        <w:trPr>
          <w:trHeight w:val="20"/>
        </w:trPr>
        <w:tc>
          <w:tcPr>
            <w:tcW w:w="2500" w:type="pct"/>
          </w:tcPr>
          <w:p w14:paraId="63C5395B" w14:textId="77777777" w:rsidR="002B6B23" w:rsidRPr="00E437C1" w:rsidRDefault="002B6B23" w:rsidP="004E529F">
            <w:pPr>
              <w:pStyle w:val="HSpodbod2"/>
            </w:pPr>
            <w:r w:rsidRPr="00E437C1">
              <w:t>Postupy pro získání stavebních povolení a zahájení podnikání jsou složité a zdlouhavé, což brzdí podnikatelskou iniciativu a zelenou transformaci.</w:t>
            </w:r>
          </w:p>
        </w:tc>
        <w:tc>
          <w:tcPr>
            <w:tcW w:w="2500" w:type="pct"/>
          </w:tcPr>
          <w:p w14:paraId="20364169" w14:textId="77777777" w:rsidR="002B6B23" w:rsidRPr="00E437C1" w:rsidRDefault="002B6B23" w:rsidP="004E529F">
            <w:pPr>
              <w:pStyle w:val="HSpodbod2"/>
            </w:pPr>
            <w:r w:rsidRPr="00E437C1">
              <w:t>Zjednodušit povolovací procesy a předpisy ve stavebnictví, zkrátit dobu a počet procedur potřebných pro zahájení podnikání.</w:t>
            </w:r>
          </w:p>
        </w:tc>
      </w:tr>
      <w:tr w:rsidR="002B6B23" w:rsidRPr="00E437C1" w14:paraId="617EBF10" w14:textId="77777777" w:rsidTr="00E157B6">
        <w:trPr>
          <w:trHeight w:val="20"/>
        </w:trPr>
        <w:tc>
          <w:tcPr>
            <w:tcW w:w="5000" w:type="pct"/>
            <w:gridSpan w:val="2"/>
          </w:tcPr>
          <w:p w14:paraId="06C227D5" w14:textId="77777777" w:rsidR="002B6B23" w:rsidRPr="008124B3" w:rsidRDefault="002B6B23" w:rsidP="00BD49CC">
            <w:pPr>
              <w:pStyle w:val="HSNadpis6bezslovn"/>
            </w:pPr>
            <w:r w:rsidRPr="008124B3">
              <w:t>Digitální transformace</w:t>
            </w:r>
          </w:p>
        </w:tc>
      </w:tr>
      <w:tr w:rsidR="002B6B23" w:rsidRPr="00E437C1" w14:paraId="5C519864" w14:textId="77777777" w:rsidTr="00E157B6">
        <w:trPr>
          <w:trHeight w:val="20"/>
        </w:trPr>
        <w:tc>
          <w:tcPr>
            <w:tcW w:w="2500" w:type="pct"/>
          </w:tcPr>
          <w:p w14:paraId="5674BADA" w14:textId="4B7A683C" w:rsidR="002B6B23" w:rsidRPr="00011B6E" w:rsidRDefault="002B6B23" w:rsidP="004E529F">
            <w:pPr>
              <w:pStyle w:val="HSpodbod2"/>
            </w:pPr>
            <w:r w:rsidRPr="00E437C1">
              <w:t>Data ukazují na vysokou úroveň základních digitálních dovedností. Přesto ek</w:t>
            </w:r>
            <w:r w:rsidRPr="00011B6E">
              <w:t xml:space="preserve">onomice chybí specialisté na informační a komunikační technologie, podíl žen v oboru ICT je obzvláště nízký. České firmy pomalu přijímají sofistikovanější technologie, </w:t>
            </w:r>
            <w:r w:rsidR="003E263C" w:rsidRPr="003E263C">
              <w:t xml:space="preserve">v rámci </w:t>
            </w:r>
            <w:r w:rsidR="003E263C">
              <w:t xml:space="preserve">zemí </w:t>
            </w:r>
            <w:r w:rsidR="003E263C" w:rsidRPr="003E263C">
              <w:t xml:space="preserve">EU </w:t>
            </w:r>
            <w:r w:rsidR="003E263C">
              <w:t>ov</w:t>
            </w:r>
            <w:r w:rsidR="003E263C" w:rsidRPr="003E263C">
              <w:t>š</w:t>
            </w:r>
            <w:r w:rsidR="003E263C">
              <w:t>em</w:t>
            </w:r>
            <w:r w:rsidR="003E263C" w:rsidRPr="003E263C">
              <w:t xml:space="preserve"> </w:t>
            </w:r>
            <w:r w:rsidRPr="00011B6E">
              <w:t>zaostávají v používání umělé inteligence a velkých dat, což brzdí jejich digitální transformaci.</w:t>
            </w:r>
          </w:p>
          <w:p w14:paraId="57312891" w14:textId="166D9152" w:rsidR="002B6B23" w:rsidRPr="00E437C1" w:rsidRDefault="002B6B23" w:rsidP="00ED3AC8">
            <w:pPr>
              <w:pStyle w:val="HSpodbod2"/>
            </w:pPr>
            <w:r w:rsidRPr="00011B6E">
              <w:t>Pokrytí sítěmi velmi vy</w:t>
            </w:r>
            <w:r w:rsidRPr="00E437C1">
              <w:t>soké kapacity je nízké a přístup k</w:t>
            </w:r>
            <w:r w:rsidR="005A6A67">
              <w:t> </w:t>
            </w:r>
            <w:r w:rsidRPr="00E437C1">
              <w:t>širokopásmovému internetovému připojení je nerovnoměrný napříč regiony a městy. Kvalitu veřejné správy by bylo možné posílit větším využíváním digitálních technologií a e</w:t>
            </w:r>
            <w:r>
              <w:noBreakHyphen/>
            </w:r>
            <w:r w:rsidRPr="00E437C1">
              <w:t>governmentu.</w:t>
            </w:r>
          </w:p>
        </w:tc>
        <w:tc>
          <w:tcPr>
            <w:tcW w:w="2500" w:type="pct"/>
          </w:tcPr>
          <w:p w14:paraId="13EE27AF" w14:textId="77777777" w:rsidR="002B6B23" w:rsidRPr="00E437C1" w:rsidRDefault="002B6B23" w:rsidP="00ED3AC8">
            <w:pPr>
              <w:pStyle w:val="HSpodbod2"/>
            </w:pPr>
            <w:r w:rsidRPr="00E437C1">
              <w:t>Posílit specializované digitální a IT dovednosti modernizací vzdělávání, včetně odborného vzdělávání a</w:t>
            </w:r>
            <w:r>
              <w:t> </w:t>
            </w:r>
            <w:r w:rsidRPr="00E437C1">
              <w:t>přípravy, lépe ho přizpůsobit vzdělávání dospělých.</w:t>
            </w:r>
          </w:p>
          <w:p w14:paraId="3275125B" w14:textId="77777777" w:rsidR="002B6B23" w:rsidRPr="00E437C1" w:rsidRDefault="002B6B23">
            <w:pPr>
              <w:pStyle w:val="HSpodbod2"/>
            </w:pPr>
            <w:r w:rsidRPr="00E437C1">
              <w:t>Zvýšit financování a kapacity pro podporu investic do digitální infrastruktury a technologií.</w:t>
            </w:r>
          </w:p>
          <w:p w14:paraId="504E0639" w14:textId="77777777" w:rsidR="002B6B23" w:rsidRPr="00E437C1" w:rsidRDefault="002B6B23">
            <w:pPr>
              <w:pStyle w:val="HSpodbod2"/>
            </w:pPr>
            <w:r w:rsidRPr="00E437C1">
              <w:t>Pokračovat v rozvíjení eGovernmentu a nabízet školení místním veřejným činitelům.</w:t>
            </w:r>
          </w:p>
        </w:tc>
      </w:tr>
      <w:tr w:rsidR="002B6B23" w:rsidRPr="00E437C1" w14:paraId="36FA3C45" w14:textId="77777777" w:rsidTr="00E157B6">
        <w:trPr>
          <w:trHeight w:val="20"/>
        </w:trPr>
        <w:tc>
          <w:tcPr>
            <w:tcW w:w="5000" w:type="pct"/>
            <w:gridSpan w:val="2"/>
          </w:tcPr>
          <w:p w14:paraId="41500C72" w14:textId="77777777" w:rsidR="002B6B23" w:rsidRPr="00E437C1" w:rsidRDefault="002B6B23" w:rsidP="00BD49CC">
            <w:pPr>
              <w:pStyle w:val="HSNadpis6bezslovn"/>
            </w:pPr>
            <w:r w:rsidRPr="00E437C1">
              <w:t>Inkluze, sociální ochrana a stárnutí</w:t>
            </w:r>
          </w:p>
        </w:tc>
      </w:tr>
      <w:tr w:rsidR="002B6B23" w:rsidRPr="00E437C1" w14:paraId="29A116F8" w14:textId="77777777" w:rsidTr="00E157B6">
        <w:trPr>
          <w:trHeight w:val="20"/>
        </w:trPr>
        <w:tc>
          <w:tcPr>
            <w:tcW w:w="2500" w:type="pct"/>
          </w:tcPr>
          <w:p w14:paraId="38E6E827" w14:textId="7C62AF78" w:rsidR="002B6B23" w:rsidRPr="00011B6E" w:rsidRDefault="002B6B23" w:rsidP="004E529F">
            <w:pPr>
              <w:pStyle w:val="HSpodbod2"/>
            </w:pPr>
            <w:r w:rsidRPr="00E437C1">
              <w:t xml:space="preserve">Stárnutí populace povede v budoucnosti k nárůstu veřejných výdajů. Přesto čeští pracovníci odcházejí do důchodu příliš brzy. </w:t>
            </w:r>
          </w:p>
          <w:p w14:paraId="0D64E5C8" w14:textId="77777777" w:rsidR="002B6B23" w:rsidRPr="00E437C1" w:rsidRDefault="002B6B23" w:rsidP="00ED3AC8">
            <w:pPr>
              <w:pStyle w:val="HSpodbod2"/>
            </w:pPr>
            <w:r w:rsidRPr="00011B6E">
              <w:t>Péče o malé děti a jejich možnost umístění v předškolních zařízeních má velký vliv na aktivitu matek na trhu práce. Rozdíl v odměňov</w:t>
            </w:r>
            <w:r w:rsidRPr="00E437C1">
              <w:t>ání mezi pohlavími je významný. Rodinné peněžní dávky a daňové úlevy jsou štědré, ale přístup k vysoce kvalitní veřejné podpoře péče o děti je nízký, zejména pro děti do tří let.</w:t>
            </w:r>
          </w:p>
        </w:tc>
        <w:tc>
          <w:tcPr>
            <w:tcW w:w="2500" w:type="pct"/>
          </w:tcPr>
          <w:p w14:paraId="72CFD350" w14:textId="77777777" w:rsidR="002B6B23" w:rsidRPr="00011B6E" w:rsidRDefault="002B6B23">
            <w:pPr>
              <w:pStyle w:val="HSpodbod2"/>
            </w:pPr>
            <w:r w:rsidRPr="00E437C1">
              <w:t>Pokračovat ve zvyšování důchodového věku a úžeji jej svázat se zvyšováním dé</w:t>
            </w:r>
            <w:r w:rsidRPr="00011B6E">
              <w:t>lky života. Měl by být také zvýšen minimální věk pro předčasný důchod.</w:t>
            </w:r>
          </w:p>
          <w:p w14:paraId="29EAA3F7" w14:textId="70F287FA" w:rsidR="002B6B23" w:rsidRPr="00E437C1" w:rsidRDefault="002B6B23">
            <w:pPr>
              <w:pStyle w:val="HSpodbod2"/>
            </w:pPr>
            <w:r w:rsidRPr="00011B6E">
              <w:t>Nadále rozšiřovat nabídku cenově dostupných a vysoce kvalitních zařízení pro péči o děti. Snížit nediferencované rodinné peněžní dávky</w:t>
            </w:r>
            <w:r w:rsidRPr="00E437C1">
              <w:t>.</w:t>
            </w:r>
          </w:p>
        </w:tc>
      </w:tr>
      <w:tr w:rsidR="002B6B23" w:rsidRPr="00E437C1" w14:paraId="6D38BA01" w14:textId="77777777" w:rsidTr="00E157B6">
        <w:trPr>
          <w:trHeight w:val="20"/>
        </w:trPr>
        <w:tc>
          <w:tcPr>
            <w:tcW w:w="5000" w:type="pct"/>
            <w:gridSpan w:val="2"/>
          </w:tcPr>
          <w:p w14:paraId="23FAF293" w14:textId="77777777" w:rsidR="002B6B23" w:rsidRPr="005A6A67" w:rsidRDefault="002B6B23" w:rsidP="005A6A67">
            <w:pPr>
              <w:spacing w:after="0"/>
              <w:jc w:val="center"/>
              <w:rPr>
                <w:rFonts w:cstheme="minorHAnsi"/>
                <w:b/>
                <w:bCs/>
                <w:i/>
                <w:iCs/>
                <w:sz w:val="20"/>
                <w:szCs w:val="18"/>
              </w:rPr>
            </w:pPr>
            <w:r w:rsidRPr="005A6A67">
              <w:rPr>
                <w:rFonts w:cstheme="minorHAnsi"/>
                <w:b/>
                <w:bCs/>
                <w:i/>
                <w:iCs/>
                <w:sz w:val="20"/>
                <w:szCs w:val="18"/>
              </w:rPr>
              <w:t>Klimatická tranzice</w:t>
            </w:r>
          </w:p>
        </w:tc>
      </w:tr>
      <w:tr w:rsidR="002B6B23" w:rsidRPr="00E437C1" w14:paraId="067588ED" w14:textId="77777777" w:rsidTr="00E157B6">
        <w:trPr>
          <w:trHeight w:val="20"/>
        </w:trPr>
        <w:tc>
          <w:tcPr>
            <w:tcW w:w="2500" w:type="pct"/>
          </w:tcPr>
          <w:p w14:paraId="3444B8F1" w14:textId="77777777" w:rsidR="002B6B23" w:rsidRPr="00E437C1" w:rsidRDefault="002B6B23" w:rsidP="004E529F">
            <w:pPr>
              <w:pStyle w:val="HSpodbod2"/>
            </w:pPr>
            <w:r w:rsidRPr="00E437C1">
              <w:t>Rozsáhlé využívání uhlí pro výrobu elektřiny a vytápění přispívá k vysokým emisím skleníkových plynů. Závislost na těžkém průmyslu společně se staršími a špatně izolovanými obydlími činí českou ekonomiku vysoce energeticky náročnou.</w:t>
            </w:r>
          </w:p>
          <w:p w14:paraId="4B77C3B3" w14:textId="5CE2BB9A" w:rsidR="002B6B23" w:rsidRPr="00E437C1" w:rsidRDefault="002B6B23" w:rsidP="002517AB">
            <w:pPr>
              <w:pStyle w:val="HSpodbod2"/>
              <w:spacing w:after="240"/>
            </w:pPr>
            <w:r w:rsidRPr="00E437C1">
              <w:t xml:space="preserve">Současné environmentální politiky </w:t>
            </w:r>
            <w:r w:rsidR="001E578C">
              <w:t>se</w:t>
            </w:r>
            <w:r w:rsidR="007416E0">
              <w:t xml:space="preserve"> </w:t>
            </w:r>
            <w:r w:rsidR="001E578C">
              <w:t>z</w:t>
            </w:r>
            <w:r w:rsidRPr="00E437C1">
              <w:t>přís</w:t>
            </w:r>
            <w:r w:rsidR="001E578C">
              <w:t>ňují</w:t>
            </w:r>
            <w:r w:rsidRPr="00E437C1">
              <w:t>, aby účinně omezily emise. Množství vyprodukovaného CO</w:t>
            </w:r>
            <w:r w:rsidRPr="005A6A67">
              <w:rPr>
                <w:vertAlign w:val="subscript"/>
              </w:rPr>
              <w:t>2</w:t>
            </w:r>
            <w:r w:rsidRPr="00E437C1">
              <w:t xml:space="preserve"> patří mezi nejnižší v OECD. Na různá paliva jsou uplatňovány daňové výjimky, což snižuje ceny pro koncové uživatele a omezuje podněty k úspoře energie nebo přechodu na čistší paliva.</w:t>
            </w:r>
          </w:p>
        </w:tc>
        <w:tc>
          <w:tcPr>
            <w:tcW w:w="2500" w:type="pct"/>
          </w:tcPr>
          <w:p w14:paraId="4C9B952D" w14:textId="77777777" w:rsidR="002B6B23" w:rsidRPr="00E437C1" w:rsidRDefault="002B6B23" w:rsidP="004E529F">
            <w:pPr>
              <w:pStyle w:val="HSpodbod2"/>
            </w:pPr>
            <w:r w:rsidRPr="00E437C1">
              <w:t>Rozšířit investice do obnovitelných zdrojů energie a</w:t>
            </w:r>
            <w:r>
              <w:t> </w:t>
            </w:r>
            <w:r w:rsidRPr="00E437C1">
              <w:t xml:space="preserve">zdrojů s nízkými emisemi a podpořit energetickou účinnost, zejména v rezidenčním sektoru, včetně využití financování z </w:t>
            </w:r>
            <w:proofErr w:type="spellStart"/>
            <w:r w:rsidRPr="00E437C1">
              <w:t>NextGenerationEU</w:t>
            </w:r>
            <w:proofErr w:type="spellEnd"/>
            <w:r w:rsidRPr="00E437C1">
              <w:t>.</w:t>
            </w:r>
          </w:p>
          <w:p w14:paraId="07B6AF73" w14:textId="77777777" w:rsidR="002B6B23" w:rsidRPr="00E437C1" w:rsidRDefault="002B6B23" w:rsidP="004E529F">
            <w:pPr>
              <w:pStyle w:val="HSpodbod2"/>
            </w:pPr>
            <w:r w:rsidRPr="00E437C1">
              <w:t>Zavedení explicitní ceny uhlíku (s předem oznámenou cenovou trajektorií) pro pokrytí všech emisí v sektorech mimo EU ETS (systém obchodování s emisemi EU).</w:t>
            </w:r>
          </w:p>
        </w:tc>
      </w:tr>
    </w:tbl>
    <w:p w14:paraId="7108BB06" w14:textId="77777777" w:rsidR="0036054B" w:rsidRDefault="0036054B" w:rsidP="002B6B23">
      <w:pPr>
        <w:pStyle w:val="HSNadpis4bezslovn"/>
      </w:pPr>
    </w:p>
    <w:p w14:paraId="66129DC6" w14:textId="03D72DE7" w:rsidR="002B6B23" w:rsidRPr="007251F4" w:rsidRDefault="002B6B23" w:rsidP="002B6B23">
      <w:pPr>
        <w:pStyle w:val="HSNadpis4bezslovn"/>
      </w:pPr>
      <w:r w:rsidRPr="007251F4">
        <w:t>Evropská komise</w:t>
      </w:r>
    </w:p>
    <w:p w14:paraId="733B9F2D" w14:textId="77777777" w:rsidR="002B6B23" w:rsidRDefault="002B6B23" w:rsidP="002B6B23">
      <w:pPr>
        <w:pStyle w:val="Text"/>
        <w:spacing w:after="0"/>
        <w:ind w:right="0"/>
        <w:sectPr w:rsidR="002B6B23" w:rsidSect="002234D9">
          <w:type w:val="continuous"/>
          <w:pgSz w:w="11906" w:h="16838"/>
          <w:pgMar w:top="1134" w:right="992" w:bottom="1134" w:left="992" w:header="709" w:footer="709" w:gutter="0"/>
          <w:cols w:space="708"/>
          <w:docGrid w:linePitch="360"/>
        </w:sectPr>
      </w:pPr>
    </w:p>
    <w:p w14:paraId="515670EA" w14:textId="0143F750" w:rsidR="002B6B23" w:rsidRPr="007251F4" w:rsidRDefault="002B6B23" w:rsidP="004E529F">
      <w:r>
        <w:t>Evropská komise v rámci svého Country Reportu</w:t>
      </w:r>
      <w:r>
        <w:rPr>
          <w:rStyle w:val="Odkaznavysvtlivky"/>
        </w:rPr>
        <w:endnoteReference w:id="21"/>
      </w:r>
      <w:r>
        <w:t xml:space="preserve"> prozkoumala současný stav české ekonomiky a průběh realizace českého Národního plánu obnovy. V rámci této zprávy Komise konstatuje, že český plán pro oživení a odolnost se zaměřuje na řešení klíčových problémů souvisejících s digitální a ekologickou transformací, vzděláváním a trhem práce, veřejnou správou, </w:t>
      </w:r>
      <w:r w:rsidR="00C41480">
        <w:t xml:space="preserve">podnikatelským prostředím, </w:t>
      </w:r>
      <w:r>
        <w:t>výzkumem a</w:t>
      </w:r>
      <w:r w:rsidR="00F91900">
        <w:t> </w:t>
      </w:r>
      <w:r>
        <w:t>inovacemi a zdravotnictvím. Plán pro oživení a odolnost Česka obsahuje opatření, která mají řešit řadu strukturálních problémů.</w:t>
      </w:r>
    </w:p>
    <w:p w14:paraId="7C36ACAD" w14:textId="77777777" w:rsidR="002B6B23" w:rsidRPr="007251F4" w:rsidRDefault="002B6B23" w:rsidP="004E529F">
      <w:r w:rsidRPr="007251F4">
        <w:t xml:space="preserve">Kromě reforem a investic </w:t>
      </w:r>
      <w:r>
        <w:t>v rámci Národního plánu obnovy by Česku přineslo prospěch</w:t>
      </w:r>
      <w:r w:rsidRPr="007251F4">
        <w:t>:</w:t>
      </w:r>
    </w:p>
    <w:p w14:paraId="6D1B4277" w14:textId="3CE30244" w:rsidR="00933040" w:rsidRDefault="00933040" w:rsidP="002517AB">
      <w:pPr>
        <w:pStyle w:val="HSpodbod"/>
        <w:spacing w:line="240" w:lineRule="auto"/>
      </w:pPr>
      <w:r>
        <w:t>zajištění udržitelnosti veřejných financí, včetně důchodového systému, a to řešením problémů spojených se stárnutím obyvatelstva a zvýšením příjmu z periodických daní z</w:t>
      </w:r>
      <w:r w:rsidR="00160885">
        <w:t> </w:t>
      </w:r>
      <w:r>
        <w:t>nemovit</w:t>
      </w:r>
      <w:r w:rsidR="00160885">
        <w:t>ých věcí</w:t>
      </w:r>
      <w:r>
        <w:t>,</w:t>
      </w:r>
    </w:p>
    <w:p w14:paraId="49D1BB80" w14:textId="542359E1" w:rsidR="00933040" w:rsidRDefault="00933040" w:rsidP="002517AB">
      <w:pPr>
        <w:pStyle w:val="HSpodbod"/>
        <w:spacing w:line="240" w:lineRule="auto"/>
      </w:pPr>
      <w:r>
        <w:t>zlepšení podnikatelského prostředí a konkurenceschopnosti hospodářství posílením kapacit veřejné správy, podporou investic do výzkumu, vývoje a</w:t>
      </w:r>
      <w:r w:rsidR="00F91900">
        <w:t> </w:t>
      </w:r>
      <w:r>
        <w:t xml:space="preserve">inovací, zlepšením přenosu technologií z akademické sféry do podniků, podporou zakládání </w:t>
      </w:r>
      <w:proofErr w:type="spellStart"/>
      <w:r>
        <w:t>spin</w:t>
      </w:r>
      <w:r w:rsidR="002D434E">
        <w:softHyphen/>
      </w:r>
      <w:r>
        <w:t>offů</w:t>
      </w:r>
      <w:proofErr w:type="spellEnd"/>
      <w:r>
        <w:t xml:space="preserve"> a začínajících podniků, zajištěním regulačního prostředí příznivého pro podnikání a zlepšením přístupu podniků k nebankovnímu financování prostřednictvím podpory tržního financování na kapitálových trzích a zvýšením soukromého financování s podporou Národní rozvojové banky a</w:t>
      </w:r>
      <w:r w:rsidR="00F91900">
        <w:t> </w:t>
      </w:r>
      <w:r>
        <w:t>širším využitím finančních nástrojů,</w:t>
      </w:r>
    </w:p>
    <w:p w14:paraId="0E13097A" w14:textId="6B3BF82F" w:rsidR="00933040" w:rsidRDefault="00933040" w:rsidP="002517AB">
      <w:pPr>
        <w:pStyle w:val="HSpodbod"/>
        <w:spacing w:line="240" w:lineRule="auto"/>
      </w:pPr>
      <w:r>
        <w:t xml:space="preserve">ulehčení trhu práce řešením nedostatku pracovníků a zvýšením účasti žen, starších pracovníků, ukrajinských uprchlíků a neformálních pečovatelů, řešením nesouladu mezi nabízenými a požadovanými dovednostmi, zjednodušením uznávání zahraničních kvalifikací, zvýšením účasti na vysokoškolském vzdělávání a zlepšením </w:t>
      </w:r>
      <w:proofErr w:type="spellStart"/>
      <w:r>
        <w:t>inkluzivity</w:t>
      </w:r>
      <w:proofErr w:type="spellEnd"/>
      <w:r>
        <w:t xml:space="preserve"> a</w:t>
      </w:r>
      <w:r w:rsidR="00F91900">
        <w:t> </w:t>
      </w:r>
      <w:r>
        <w:t>prostupnosti vzdělávacího systému a zatraktivněním učitelského povolání,</w:t>
      </w:r>
    </w:p>
    <w:p w14:paraId="0B5F36FC" w14:textId="76AD0F0B" w:rsidR="00933040" w:rsidRDefault="00933040" w:rsidP="002517AB">
      <w:pPr>
        <w:pStyle w:val="HSpodbod"/>
        <w:spacing w:line="240" w:lineRule="auto"/>
      </w:pPr>
      <w:r>
        <w:t>posílení sociálního začleňování pomocí větší nabídky bydlení a řešením regionálních rozdílů v</w:t>
      </w:r>
      <w:r w:rsidR="00F91900">
        <w:t> </w:t>
      </w:r>
      <w:r>
        <w:t>přístupu k sociálním službám a základní infrastruktuře,</w:t>
      </w:r>
    </w:p>
    <w:p w14:paraId="6E1EFA3A" w14:textId="10E25892" w:rsidR="00933040" w:rsidRDefault="00933040" w:rsidP="002517AB">
      <w:pPr>
        <w:pStyle w:val="HSpodbod"/>
        <w:spacing w:line="240" w:lineRule="auto"/>
      </w:pPr>
      <w:r>
        <w:t>urychlení zelené transformace, zejména prostřednictvím</w:t>
      </w:r>
      <w:r w:rsidR="00336F48">
        <w:t xml:space="preserve"> </w:t>
      </w:r>
      <w:r>
        <w:t>pokračování v opatřeních k</w:t>
      </w:r>
      <w:r w:rsidR="00F91900">
        <w:t> </w:t>
      </w:r>
      <w:r>
        <w:t>dekarbonizaci hospodářství; snížení nákladů na energii na podporu konkurenceschopnosti průmyslu urychlením zavádění obnovitelných zdrojů energie, modernizací energetické sítě, zvýšením kapacity ukládání energie a zlepšením energetické účinnosti a podpory zavádění oběhových obchodních modelů.</w:t>
      </w:r>
    </w:p>
    <w:p w14:paraId="641CD0AF" w14:textId="77777777" w:rsidR="00D515F6" w:rsidRDefault="00D515F6" w:rsidP="004E529F"/>
    <w:p w14:paraId="6F199184" w14:textId="31354820" w:rsidR="002B6B23" w:rsidRDefault="002B6B23" w:rsidP="004E529F">
      <w:r>
        <w:t>Konkrétní specifická doporučení Evropské komise jsou součástí tzv. doporučení pro jednotlivé členské státy (</w:t>
      </w:r>
      <w:r w:rsidRPr="0056563F">
        <w:rPr>
          <w:lang w:val="en-GB"/>
        </w:rPr>
        <w:t>Country Specific Recommendations</w:t>
      </w:r>
      <w:r>
        <w:t>)</w:t>
      </w:r>
      <w:r>
        <w:rPr>
          <w:rStyle w:val="Odkaznavysvtlivky"/>
        </w:rPr>
        <w:endnoteReference w:id="22"/>
      </w:r>
      <w:r>
        <w:t>, jejichž plnění je průběžně vyhodnocováno,</w:t>
      </w:r>
      <w:r>
        <w:rPr>
          <w:rStyle w:val="Odkaznavysvtlivky"/>
        </w:rPr>
        <w:endnoteReference w:id="23"/>
      </w:r>
      <w:r>
        <w:t xml:space="preserve"> a jsou úzce provázána se zjištěními v Country Reportu a souvisejí mj.</w:t>
      </w:r>
      <w:r w:rsidR="00F91900">
        <w:t> </w:t>
      </w:r>
      <w:r>
        <w:t>s</w:t>
      </w:r>
      <w:r w:rsidR="00F91900">
        <w:t> </w:t>
      </w:r>
      <w:r>
        <w:t>Národním programem reforem České republiky a s Konvergenčním programem České republiky.</w:t>
      </w:r>
    </w:p>
    <w:p w14:paraId="42F06798" w14:textId="77777777" w:rsidR="002B6B23" w:rsidRDefault="002B6B23" w:rsidP="002B6B23">
      <w:pPr>
        <w:pStyle w:val="Text"/>
        <w:ind w:right="0"/>
        <w:sectPr w:rsidR="002B6B23" w:rsidSect="002234D9">
          <w:endnotePr>
            <w:numFmt w:val="decimal"/>
          </w:endnotePr>
          <w:type w:val="continuous"/>
          <w:pgSz w:w="11906" w:h="16838"/>
          <w:pgMar w:top="1134" w:right="992" w:bottom="1134" w:left="992" w:header="709" w:footer="709" w:gutter="0"/>
          <w:cols w:num="2" w:space="282"/>
          <w:docGrid w:linePitch="360"/>
        </w:sectPr>
      </w:pPr>
    </w:p>
    <w:p w14:paraId="1BC308C3" w14:textId="4A24DD87" w:rsidR="002B6B23" w:rsidRDefault="002B6B23" w:rsidP="002B6B23">
      <w:pPr>
        <w:pStyle w:val="HSNadpis4bezslovn"/>
      </w:pPr>
      <w:r>
        <w:t>Mezinárodní měnový fond</w:t>
      </w:r>
    </w:p>
    <w:p w14:paraId="2433F2D0" w14:textId="77777777" w:rsidR="002B6B23" w:rsidRDefault="002B6B23" w:rsidP="002B6B23">
      <w:pPr>
        <w:pStyle w:val="Text"/>
        <w:ind w:right="0"/>
        <w:sectPr w:rsidR="002B6B23" w:rsidSect="002234D9">
          <w:type w:val="continuous"/>
          <w:pgSz w:w="11906" w:h="16838"/>
          <w:pgMar w:top="1134" w:right="992" w:bottom="1134" w:left="992" w:header="709" w:footer="709" w:gutter="0"/>
          <w:cols w:space="708"/>
          <w:docGrid w:linePitch="360"/>
        </w:sectPr>
      </w:pPr>
    </w:p>
    <w:p w14:paraId="77F6E475" w14:textId="4782A0B4" w:rsidR="002B6B23" w:rsidRPr="007251F4" w:rsidRDefault="002B6B23" w:rsidP="002B6B23">
      <w:r w:rsidRPr="0087036E">
        <w:t>Podle článku IV</w:t>
      </w:r>
      <w:r>
        <w:t>.</w:t>
      </w:r>
      <w:r w:rsidRPr="0087036E">
        <w:t xml:space="preserve"> Stanov </w:t>
      </w:r>
      <w:r>
        <w:t>Mezinárodního měnového fondu</w:t>
      </w:r>
      <w:r w:rsidR="00336F48">
        <w:t xml:space="preserve"> (MMF)</w:t>
      </w:r>
      <w:r w:rsidRPr="0087036E">
        <w:t xml:space="preserve"> pořádá MMF </w:t>
      </w:r>
      <w:r>
        <w:t>bilaterální</w:t>
      </w:r>
      <w:r w:rsidRPr="0087036E">
        <w:t xml:space="preserve"> jednání se členy, obvykle každý rok</w:t>
      </w:r>
      <w:r>
        <w:t>. V h</w:t>
      </w:r>
      <w:r w:rsidRPr="007251F4">
        <w:t xml:space="preserve">odnocení Výkonné rady </w:t>
      </w:r>
      <w:r>
        <w:t>MMF z</w:t>
      </w:r>
      <w:r w:rsidR="00B10552">
        <w:t> </w:t>
      </w:r>
      <w:r w:rsidRPr="007251F4">
        <w:t>led</w:t>
      </w:r>
      <w:r>
        <w:t>na</w:t>
      </w:r>
      <w:r w:rsidRPr="007251F4">
        <w:t xml:space="preserve"> 2024</w:t>
      </w:r>
      <w:r>
        <w:rPr>
          <w:rStyle w:val="Odkaznavysvtlivky"/>
        </w:rPr>
        <w:endnoteReference w:id="24"/>
      </w:r>
      <w:r>
        <w:t xml:space="preserve"> v</w:t>
      </w:r>
      <w:r w:rsidRPr="007251F4">
        <w:t xml:space="preserve">ýkonní ředitelé ocenili orgány </w:t>
      </w:r>
      <w:r w:rsidR="00B10552">
        <w:t>České republiky</w:t>
      </w:r>
      <w:r w:rsidRPr="007251F4">
        <w:t xml:space="preserve"> za to, že udržely makroekonomickou a finanční stabilitu v náročných podmínkách a uvítali očekávané hospodářské oživení v roce 2024. Vzhledem ke zvýšeným rizikům zpomalení výhledu vyzvali k</w:t>
      </w:r>
      <w:r w:rsidR="00F91900">
        <w:t> </w:t>
      </w:r>
      <w:r w:rsidRPr="007251F4">
        <w:t>zachování obezřetné kombinace makroekonomických politik s cílem zajistit cenovou stabilitu a</w:t>
      </w:r>
      <w:r>
        <w:t> </w:t>
      </w:r>
      <w:r w:rsidRPr="007251F4">
        <w:t>pokračování v provádění nezbytných strukturálních reforem s cílem usnadnit ekologickou a</w:t>
      </w:r>
      <w:r>
        <w:t> </w:t>
      </w:r>
      <w:r w:rsidRPr="007251F4">
        <w:t>digitální transformaci hospodářství.</w:t>
      </w:r>
    </w:p>
    <w:p w14:paraId="55A766F8" w14:textId="77777777" w:rsidR="002B6B23" w:rsidRPr="007251F4" w:rsidRDefault="002B6B23" w:rsidP="002B6B23">
      <w:r>
        <w:t>Podle názoru MMF j</w:t>
      </w:r>
      <w:r w:rsidRPr="007251F4">
        <w:t>e třeba fiskální obezřetnosti a</w:t>
      </w:r>
      <w:r>
        <w:t> </w:t>
      </w:r>
      <w:r w:rsidRPr="007251F4">
        <w:t>vzhledem k nejistým vyhlídkám je třeba zůstat flexibilní</w:t>
      </w:r>
      <w:r>
        <w:t xml:space="preserve"> </w:t>
      </w:r>
      <w:r w:rsidRPr="007251F4">
        <w:t xml:space="preserve">k podpoře úsilí </w:t>
      </w:r>
      <w:r>
        <w:t>k</w:t>
      </w:r>
      <w:r w:rsidRPr="007251F4">
        <w:t xml:space="preserve"> dosažení střednědobého</w:t>
      </w:r>
      <w:r>
        <w:t xml:space="preserve"> rozpočtového</w:t>
      </w:r>
      <w:r w:rsidRPr="007251F4">
        <w:t xml:space="preserve"> cíle.  Je nutné chránit nejzranitelnější osoby a zavázat se k reformám důchodového systému.</w:t>
      </w:r>
    </w:p>
    <w:p w14:paraId="12262BB6" w14:textId="77777777" w:rsidR="002B6B23" w:rsidRPr="007251F4" w:rsidRDefault="002B6B23" w:rsidP="002B6B23">
      <w:r>
        <w:t>Podle vyhodnocení MMF je český f</w:t>
      </w:r>
      <w:r w:rsidRPr="007251F4">
        <w:t>inanční sektor odolný a</w:t>
      </w:r>
      <w:r>
        <w:t> </w:t>
      </w:r>
      <w:r w:rsidRPr="007251F4">
        <w:t>banky jsou dobře kapitalizované, likvidní a</w:t>
      </w:r>
      <w:r>
        <w:t> </w:t>
      </w:r>
      <w:r w:rsidRPr="007251F4">
        <w:t>ziskové,</w:t>
      </w:r>
      <w:r>
        <w:t xml:space="preserve"> a zároveň</w:t>
      </w:r>
      <w:r w:rsidRPr="007251F4">
        <w:t xml:space="preserve"> kvalita aktiv zůstává silná. Zlepšila se oblast dohledu založeného na rizicích a je vítána snaha o posílení záruk proti rizikům v oblasti boje proti praní peněz a financování terorismu.</w:t>
      </w:r>
    </w:p>
    <w:p w14:paraId="5D67A302" w14:textId="27813B6D" w:rsidR="007C6926" w:rsidRDefault="002B6B23" w:rsidP="002B6B23">
      <w:pPr>
        <w:sectPr w:rsidR="007C6926" w:rsidSect="002234D9">
          <w:endnotePr>
            <w:numFmt w:val="decimal"/>
          </w:endnotePr>
          <w:type w:val="continuous"/>
          <w:pgSz w:w="11906" w:h="16838"/>
          <w:pgMar w:top="1134" w:right="992" w:bottom="1134" w:left="992" w:header="709" w:footer="709" w:gutter="0"/>
          <w:cols w:num="2" w:space="284"/>
          <w:docGrid w:linePitch="360"/>
        </w:sectPr>
      </w:pPr>
      <w:r w:rsidRPr="007251F4">
        <w:t>Řešení strukturálních výzev vyplývajících z demografické dynamiky země a globální transformace energetiky budou zásadní pro udržení udržitelného růstu. Strukturální reformní politiky by měly usnadňovat přerozdělování pracovních sil a kapitálu</w:t>
      </w:r>
      <w:r>
        <w:t>,</w:t>
      </w:r>
      <w:r w:rsidRPr="007251F4">
        <w:t xml:space="preserve"> a</w:t>
      </w:r>
      <w:r>
        <w:t xml:space="preserve"> </w:t>
      </w:r>
      <w:r w:rsidRPr="007251F4">
        <w:t xml:space="preserve">pokrok v technologických inovacích na podporu hospodářské transformace, mimo jiné směrem k ekologičtější a </w:t>
      </w:r>
      <w:proofErr w:type="spellStart"/>
      <w:r w:rsidRPr="007251F4">
        <w:t>digitalizovanější</w:t>
      </w:r>
      <w:proofErr w:type="spellEnd"/>
      <w:r w:rsidRPr="007251F4">
        <w:t xml:space="preserve"> ekonomice. Dekarbonizační strategie je vnímána kladně a je třeba pokračovat v úsilí o splnění klimatických cílů země.</w:t>
      </w:r>
    </w:p>
    <w:p w14:paraId="05BB2C5D" w14:textId="77777777" w:rsidR="00D45A73" w:rsidRDefault="00D45A73">
      <w:pPr>
        <w:spacing w:after="200" w:line="276" w:lineRule="auto"/>
        <w:jc w:val="left"/>
        <w:rPr>
          <w:rFonts w:asciiTheme="majorHAnsi" w:eastAsiaTheme="majorEastAsia" w:hAnsiTheme="majorHAnsi" w:cstheme="minorHAnsi"/>
          <w:b/>
          <w:color w:val="004B8D" w:themeColor="text2"/>
          <w:szCs w:val="24"/>
          <w:bdr w:val="none" w:sz="0" w:space="0" w:color="auto" w:frame="1"/>
        </w:rPr>
      </w:pPr>
      <w:r>
        <w:br w:type="page"/>
      </w:r>
    </w:p>
    <w:p w14:paraId="59771305" w14:textId="414B6DAC" w:rsidR="002B6B23" w:rsidRDefault="005A6A67" w:rsidP="002B6B23">
      <w:pPr>
        <w:pStyle w:val="HSNadpis4bezslovn"/>
      </w:pPr>
      <w:r>
        <w:lastRenderedPageBreak/>
        <w:t>R</w:t>
      </w:r>
      <w:r w:rsidR="002B6B23">
        <w:t>ating České republiky</w:t>
      </w:r>
    </w:p>
    <w:p w14:paraId="482182C1" w14:textId="77777777" w:rsidR="002B6B23" w:rsidRPr="00301991" w:rsidRDefault="002B6B23" w:rsidP="002B6B23">
      <w:pPr>
        <w:sectPr w:rsidR="002B6B23" w:rsidRPr="00301991" w:rsidSect="002234D9">
          <w:type w:val="continuous"/>
          <w:pgSz w:w="11906" w:h="16838"/>
          <w:pgMar w:top="1134" w:right="992" w:bottom="1134" w:left="992" w:header="709" w:footer="709" w:gutter="0"/>
          <w:cols w:space="708"/>
          <w:docGrid w:linePitch="360"/>
        </w:sectPr>
      </w:pPr>
    </w:p>
    <w:p w14:paraId="48A1FB15" w14:textId="77777777" w:rsidR="002B6B23" w:rsidRDefault="002B6B23" w:rsidP="002B6B23">
      <w:r w:rsidRPr="004D420A">
        <w:t xml:space="preserve">Ratingy poskytují ratingové agentury, které se specializují na hodnocení úvěrového rizika. </w:t>
      </w:r>
      <w:r w:rsidRPr="00867985">
        <w:t xml:space="preserve">Kreditní ratingy jsou </w:t>
      </w:r>
      <w:proofErr w:type="spellStart"/>
      <w:r>
        <w:t>vpředhledící</w:t>
      </w:r>
      <w:proofErr w:type="spellEnd"/>
      <w:r>
        <w:t xml:space="preserve"> indikátory (názory ratingových agentur), které odrážejí</w:t>
      </w:r>
      <w:r w:rsidRPr="00867985">
        <w:t xml:space="preserve"> schopnost a ochotu vydavatelů dluhu, jako jsou korporace nebo vlády, splácet své finanční závazky včas a v plné výši</w:t>
      </w:r>
      <w:r>
        <w:t xml:space="preserve"> včetně úroků</w:t>
      </w:r>
      <w:r w:rsidRPr="00867985">
        <w:t xml:space="preserve">. Poskytují </w:t>
      </w:r>
      <w:r>
        <w:t>univerzální</w:t>
      </w:r>
      <w:r w:rsidRPr="00867985">
        <w:t xml:space="preserve"> a transparentní globální </w:t>
      </w:r>
      <w:r>
        <w:t>pohled</w:t>
      </w:r>
      <w:r w:rsidRPr="00867985">
        <w:t xml:space="preserve"> pro investory a další účastníky </w:t>
      </w:r>
      <w:r>
        <w:t xml:space="preserve">finančních </w:t>
      </w:r>
      <w:r w:rsidRPr="00867985">
        <w:t>trh</w:t>
      </w:r>
      <w:r>
        <w:t>ů</w:t>
      </w:r>
      <w:r w:rsidRPr="00867985">
        <w:t>,</w:t>
      </w:r>
      <w:r>
        <w:t xml:space="preserve"> zejména</w:t>
      </w:r>
      <w:r w:rsidRPr="00867985">
        <w:t xml:space="preserve"> korporace a vlády, </w:t>
      </w:r>
      <w:r>
        <w:t>ohledně kredibility emitentů dluhu. Ratingy</w:t>
      </w:r>
      <w:r w:rsidRPr="00867985">
        <w:t xml:space="preserve"> jsou jedním z mnoha faktorů, které </w:t>
      </w:r>
      <w:r>
        <w:t>investoři</w:t>
      </w:r>
      <w:r w:rsidRPr="00867985">
        <w:t xml:space="preserve"> </w:t>
      </w:r>
      <w:r>
        <w:t>berou v potaz během</w:t>
      </w:r>
      <w:r w:rsidRPr="00867985">
        <w:t xml:space="preserve"> svých rozhodovacích procesů.</w:t>
      </w:r>
    </w:p>
    <w:p w14:paraId="092A2DB9" w14:textId="58A8A36E" w:rsidR="002B6B23" w:rsidRPr="00867985" w:rsidRDefault="002B6B23" w:rsidP="002B6B23">
      <w:r w:rsidRPr="00D67550">
        <w:rPr>
          <w:noProof/>
          <w:lang w:eastAsia="cs-CZ"/>
        </w:rPr>
        <mc:AlternateContent>
          <mc:Choice Requires="wps">
            <w:drawing>
              <wp:anchor distT="151130" distB="151130" distL="114300" distR="114300" simplePos="0" relativeHeight="251830272" behindDoc="0" locked="0" layoutInCell="1" allowOverlap="1" wp14:anchorId="21DCA869" wp14:editId="44010B20">
                <wp:simplePos x="0" y="0"/>
                <wp:positionH relativeFrom="margin">
                  <wp:posOffset>-2540</wp:posOffset>
                </wp:positionH>
                <wp:positionV relativeFrom="paragraph">
                  <wp:posOffset>1267980</wp:posOffset>
                </wp:positionV>
                <wp:extent cx="6301740" cy="1004570"/>
                <wp:effectExtent l="0" t="0" r="3810" b="5080"/>
                <wp:wrapSquare wrapText="bothSides"/>
                <wp:docPr id="124"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01740" cy="1004570"/>
                        </a:xfrm>
                        <a:prstGeom prst="rect">
                          <a:avLst/>
                        </a:prstGeom>
                        <a:noFill/>
                        <a:ln w="9525">
                          <a:noFill/>
                          <a:miter lim="800000"/>
                          <a:headEnd/>
                          <a:tailEnd/>
                        </a:ln>
                      </wps:spPr>
                      <wps:txbx>
                        <w:txbxContent>
                          <w:p w14:paraId="5E414350" w14:textId="77777777" w:rsidR="002B6B23" w:rsidRPr="007C3EDA" w:rsidRDefault="002B6B23" w:rsidP="002B6B23">
                            <w:pPr>
                              <w:pStyle w:val="Bezmezer"/>
                              <w:keepNext/>
                              <w:widowControl w:val="0"/>
                              <w:pBdr>
                                <w:bottom w:val="single" w:sz="4" w:space="1" w:color="auto"/>
                              </w:pBdr>
                              <w:rPr>
                                <w:b/>
                                <w:bCs/>
                                <w:kern w:val="2"/>
                                <w:szCs w:val="16"/>
                              </w:rPr>
                            </w:pPr>
                            <w:r w:rsidRPr="007C3EDA">
                              <w:rPr>
                                <w:b/>
                                <w:bCs/>
                                <w:kern w:val="2"/>
                                <w:szCs w:val="16"/>
                              </w:rPr>
                              <w:t>Rating České republiky pro dlouhodobé závazky v zahraniční měně dle jednotlivých agentur</w:t>
                            </w:r>
                          </w:p>
                          <w:tbl>
                            <w:tblPr>
                              <w:tblW w:w="5000" w:type="pct"/>
                              <w:tblBorders>
                                <w:top w:val="single" w:sz="4" w:space="0" w:color="FFFFFF"/>
                                <w:left w:val="single" w:sz="4" w:space="0" w:color="FFFFFF"/>
                                <w:bottom w:val="single" w:sz="4" w:space="0" w:color="FFFFFF"/>
                                <w:right w:val="single" w:sz="4" w:space="0" w:color="FFFFFF"/>
                                <w:insideH w:val="single" w:sz="4" w:space="0" w:color="auto"/>
                                <w:insideV w:val="single" w:sz="4" w:space="0" w:color="FFFFFF"/>
                              </w:tblBorders>
                              <w:tblCellMar>
                                <w:left w:w="70" w:type="dxa"/>
                                <w:right w:w="70" w:type="dxa"/>
                              </w:tblCellMar>
                              <w:tblLook w:val="04A0" w:firstRow="1" w:lastRow="0" w:firstColumn="1" w:lastColumn="0" w:noHBand="0" w:noVBand="1"/>
                            </w:tblPr>
                            <w:tblGrid>
                              <w:gridCol w:w="829"/>
                              <w:gridCol w:w="465"/>
                              <w:gridCol w:w="484"/>
                              <w:gridCol w:w="500"/>
                              <w:gridCol w:w="484"/>
                              <w:gridCol w:w="256"/>
                              <w:gridCol w:w="501"/>
                              <w:gridCol w:w="501"/>
                              <w:gridCol w:w="255"/>
                              <w:gridCol w:w="501"/>
                              <w:gridCol w:w="483"/>
                              <w:gridCol w:w="255"/>
                              <w:gridCol w:w="483"/>
                              <w:gridCol w:w="255"/>
                              <w:gridCol w:w="483"/>
                              <w:gridCol w:w="483"/>
                              <w:gridCol w:w="255"/>
                              <w:gridCol w:w="483"/>
                              <w:gridCol w:w="255"/>
                              <w:gridCol w:w="483"/>
                              <w:gridCol w:w="483"/>
                              <w:gridCol w:w="255"/>
                              <w:gridCol w:w="483"/>
                            </w:tblGrid>
                            <w:tr w:rsidR="00E0697C" w:rsidRPr="00222FAF" w14:paraId="7FF84F86" w14:textId="77777777" w:rsidTr="0091394A">
                              <w:trPr>
                                <w:trHeight w:val="216"/>
                              </w:trPr>
                              <w:tc>
                                <w:tcPr>
                                  <w:tcW w:w="425" w:type="pct"/>
                                  <w:shd w:val="clear" w:color="auto" w:fill="auto"/>
                                  <w:vAlign w:val="center"/>
                                  <w:hideMark/>
                                </w:tcPr>
                                <w:p w14:paraId="08C04595" w14:textId="77777777" w:rsidR="002B6B23" w:rsidRPr="00222FAF" w:rsidRDefault="002B6B23" w:rsidP="00222FAF">
                                  <w:pPr>
                                    <w:spacing w:after="0"/>
                                    <w:jc w:val="center"/>
                                    <w:rPr>
                                      <w:rFonts w:ascii="Calibri" w:eastAsia="Times New Roman" w:hAnsi="Calibri" w:cs="Calibri"/>
                                      <w:b/>
                                      <w:bCs/>
                                      <w:color w:val="auto"/>
                                      <w:sz w:val="16"/>
                                      <w:szCs w:val="16"/>
                                      <w:lang w:eastAsia="cs-CZ"/>
                                    </w:rPr>
                                  </w:pPr>
                                  <w:r w:rsidRPr="00222FAF">
                                    <w:rPr>
                                      <w:rFonts w:ascii="Calibri" w:eastAsia="Times New Roman" w:hAnsi="Calibri" w:cs="Calibri"/>
                                      <w:b/>
                                      <w:bCs/>
                                      <w:color w:val="auto"/>
                                      <w:sz w:val="16"/>
                                      <w:szCs w:val="16"/>
                                      <w:lang w:eastAsia="cs-CZ"/>
                                    </w:rPr>
                                    <w:t> </w:t>
                                  </w:r>
                                </w:p>
                              </w:tc>
                              <w:tc>
                                <w:tcPr>
                                  <w:tcW w:w="89" w:type="pct"/>
                                  <w:shd w:val="clear" w:color="auto" w:fill="auto"/>
                                  <w:vAlign w:val="center"/>
                                  <w:hideMark/>
                                </w:tcPr>
                                <w:p w14:paraId="533A1FB9" w14:textId="77777777" w:rsidR="002B6B23" w:rsidRPr="00011B6E" w:rsidRDefault="002B6B23" w:rsidP="00222FAF">
                                  <w:pPr>
                                    <w:spacing w:after="0"/>
                                    <w:jc w:val="right"/>
                                    <w:rPr>
                                      <w:rFonts w:ascii="Calibri" w:eastAsia="Times New Roman" w:hAnsi="Calibri" w:cs="Calibri"/>
                                      <w:b/>
                                      <w:bCs/>
                                      <w:color w:val="auto"/>
                                      <w:sz w:val="16"/>
                                      <w:szCs w:val="16"/>
                                      <w:lang w:eastAsia="cs-CZ"/>
                                    </w:rPr>
                                  </w:pPr>
                                  <w:r w:rsidRPr="00011B6E">
                                    <w:rPr>
                                      <w:rFonts w:ascii="Calibri" w:eastAsia="Times New Roman" w:hAnsi="Calibri" w:cs="Calibri"/>
                                      <w:b/>
                                      <w:bCs/>
                                      <w:color w:val="auto"/>
                                      <w:sz w:val="16"/>
                                      <w:szCs w:val="16"/>
                                      <w:lang w:eastAsia="cs-CZ"/>
                                    </w:rPr>
                                    <w:t>1992</w:t>
                                  </w:r>
                                </w:p>
                              </w:tc>
                              <w:tc>
                                <w:tcPr>
                                  <w:tcW w:w="251" w:type="pct"/>
                                  <w:shd w:val="clear" w:color="auto" w:fill="auto"/>
                                  <w:vAlign w:val="center"/>
                                  <w:hideMark/>
                                </w:tcPr>
                                <w:p w14:paraId="77DFD7B1" w14:textId="77777777" w:rsidR="002B6B23" w:rsidRPr="00011B6E" w:rsidRDefault="002B6B23" w:rsidP="00222FAF">
                                  <w:pPr>
                                    <w:spacing w:after="0"/>
                                    <w:jc w:val="right"/>
                                    <w:rPr>
                                      <w:rFonts w:ascii="Calibri" w:eastAsia="Times New Roman" w:hAnsi="Calibri" w:cs="Calibri"/>
                                      <w:b/>
                                      <w:bCs/>
                                      <w:color w:val="auto"/>
                                      <w:sz w:val="16"/>
                                      <w:szCs w:val="16"/>
                                      <w:lang w:eastAsia="cs-CZ"/>
                                    </w:rPr>
                                  </w:pPr>
                                  <w:r w:rsidRPr="00011B6E">
                                    <w:rPr>
                                      <w:rFonts w:ascii="Calibri" w:eastAsia="Times New Roman" w:hAnsi="Calibri" w:cs="Calibri"/>
                                      <w:b/>
                                      <w:bCs/>
                                      <w:color w:val="auto"/>
                                      <w:sz w:val="16"/>
                                      <w:szCs w:val="16"/>
                                      <w:lang w:eastAsia="cs-CZ"/>
                                    </w:rPr>
                                    <w:t>1993</w:t>
                                  </w:r>
                                </w:p>
                              </w:tc>
                              <w:tc>
                                <w:tcPr>
                                  <w:tcW w:w="259" w:type="pct"/>
                                  <w:shd w:val="clear" w:color="auto" w:fill="auto"/>
                                  <w:vAlign w:val="center"/>
                                  <w:hideMark/>
                                </w:tcPr>
                                <w:p w14:paraId="6162992F" w14:textId="77777777" w:rsidR="002B6B23" w:rsidRPr="00011B6E" w:rsidRDefault="002B6B23" w:rsidP="00222FAF">
                                  <w:pPr>
                                    <w:spacing w:after="0"/>
                                    <w:jc w:val="right"/>
                                    <w:rPr>
                                      <w:rFonts w:ascii="Calibri" w:eastAsia="Times New Roman" w:hAnsi="Calibri" w:cs="Calibri"/>
                                      <w:b/>
                                      <w:bCs/>
                                      <w:color w:val="auto"/>
                                      <w:sz w:val="16"/>
                                      <w:szCs w:val="16"/>
                                      <w:lang w:eastAsia="cs-CZ"/>
                                    </w:rPr>
                                  </w:pPr>
                                  <w:r w:rsidRPr="00011B6E">
                                    <w:rPr>
                                      <w:rFonts w:ascii="Calibri" w:eastAsia="Times New Roman" w:hAnsi="Calibri" w:cs="Calibri"/>
                                      <w:b/>
                                      <w:bCs/>
                                      <w:color w:val="auto"/>
                                      <w:sz w:val="16"/>
                                      <w:szCs w:val="16"/>
                                      <w:lang w:eastAsia="cs-CZ"/>
                                    </w:rPr>
                                    <w:t>1994</w:t>
                                  </w:r>
                                </w:p>
                              </w:tc>
                              <w:tc>
                                <w:tcPr>
                                  <w:tcW w:w="251" w:type="pct"/>
                                  <w:shd w:val="clear" w:color="auto" w:fill="auto"/>
                                  <w:vAlign w:val="center"/>
                                  <w:hideMark/>
                                </w:tcPr>
                                <w:p w14:paraId="1E9B91E5" w14:textId="77777777" w:rsidR="002B6B23" w:rsidRPr="00011B6E" w:rsidRDefault="002B6B23" w:rsidP="00222FAF">
                                  <w:pPr>
                                    <w:spacing w:after="0"/>
                                    <w:jc w:val="right"/>
                                    <w:rPr>
                                      <w:rFonts w:ascii="Calibri" w:eastAsia="Times New Roman" w:hAnsi="Calibri" w:cs="Calibri"/>
                                      <w:b/>
                                      <w:bCs/>
                                      <w:color w:val="auto"/>
                                      <w:sz w:val="16"/>
                                      <w:szCs w:val="16"/>
                                      <w:lang w:eastAsia="cs-CZ"/>
                                    </w:rPr>
                                  </w:pPr>
                                  <w:r w:rsidRPr="00011B6E">
                                    <w:rPr>
                                      <w:rFonts w:ascii="Calibri" w:eastAsia="Times New Roman" w:hAnsi="Calibri" w:cs="Calibri"/>
                                      <w:b/>
                                      <w:bCs/>
                                      <w:color w:val="auto"/>
                                      <w:sz w:val="16"/>
                                      <w:szCs w:val="16"/>
                                      <w:lang w:eastAsia="cs-CZ"/>
                                    </w:rPr>
                                    <w:t>1995</w:t>
                                  </w:r>
                                </w:p>
                              </w:tc>
                              <w:tc>
                                <w:tcPr>
                                  <w:tcW w:w="136" w:type="pct"/>
                                  <w:shd w:val="clear" w:color="auto" w:fill="auto"/>
                                  <w:vAlign w:val="center"/>
                                  <w:hideMark/>
                                </w:tcPr>
                                <w:p w14:paraId="5138AE4B" w14:textId="77777777" w:rsidR="002B6B23" w:rsidRPr="00011B6E" w:rsidRDefault="002B6B23" w:rsidP="00222FAF">
                                  <w:pPr>
                                    <w:spacing w:after="0"/>
                                    <w:jc w:val="left"/>
                                    <w:rPr>
                                      <w:rFonts w:ascii="Calibri" w:eastAsia="Times New Roman" w:hAnsi="Calibri" w:cs="Calibri"/>
                                      <w:b/>
                                      <w:bCs/>
                                      <w:color w:val="auto"/>
                                      <w:sz w:val="16"/>
                                      <w:szCs w:val="16"/>
                                      <w:lang w:eastAsia="cs-CZ"/>
                                    </w:rPr>
                                  </w:pPr>
                                  <w:r w:rsidRPr="00011B6E">
                                    <w:rPr>
                                      <w:rFonts w:ascii="Calibri" w:eastAsia="Times New Roman" w:hAnsi="Calibri" w:cs="Calibri"/>
                                      <w:b/>
                                      <w:bCs/>
                                      <w:color w:val="auto"/>
                                      <w:sz w:val="16"/>
                                      <w:szCs w:val="16"/>
                                      <w:lang w:eastAsia="cs-CZ"/>
                                    </w:rPr>
                                    <w:t>…</w:t>
                                  </w:r>
                                </w:p>
                              </w:tc>
                              <w:tc>
                                <w:tcPr>
                                  <w:tcW w:w="259" w:type="pct"/>
                                  <w:shd w:val="clear" w:color="auto" w:fill="auto"/>
                                  <w:vAlign w:val="center"/>
                                  <w:hideMark/>
                                </w:tcPr>
                                <w:p w14:paraId="0683649E" w14:textId="77777777" w:rsidR="002B6B23" w:rsidRPr="00011B6E" w:rsidRDefault="002B6B23" w:rsidP="00222FAF">
                                  <w:pPr>
                                    <w:spacing w:after="0"/>
                                    <w:jc w:val="right"/>
                                    <w:rPr>
                                      <w:rFonts w:ascii="Calibri" w:eastAsia="Times New Roman" w:hAnsi="Calibri" w:cs="Calibri"/>
                                      <w:b/>
                                      <w:bCs/>
                                      <w:color w:val="auto"/>
                                      <w:sz w:val="16"/>
                                      <w:szCs w:val="16"/>
                                      <w:lang w:eastAsia="cs-CZ"/>
                                    </w:rPr>
                                  </w:pPr>
                                  <w:r w:rsidRPr="00011B6E">
                                    <w:rPr>
                                      <w:rFonts w:ascii="Calibri" w:eastAsia="Times New Roman" w:hAnsi="Calibri" w:cs="Calibri"/>
                                      <w:b/>
                                      <w:bCs/>
                                      <w:color w:val="auto"/>
                                      <w:sz w:val="16"/>
                                      <w:szCs w:val="16"/>
                                      <w:lang w:eastAsia="cs-CZ"/>
                                    </w:rPr>
                                    <w:t>1997</w:t>
                                  </w:r>
                                </w:p>
                              </w:tc>
                              <w:tc>
                                <w:tcPr>
                                  <w:tcW w:w="259" w:type="pct"/>
                                  <w:shd w:val="clear" w:color="auto" w:fill="auto"/>
                                  <w:vAlign w:val="center"/>
                                  <w:hideMark/>
                                </w:tcPr>
                                <w:p w14:paraId="79B7AE0D" w14:textId="77777777" w:rsidR="002B6B23" w:rsidRPr="00011B6E" w:rsidRDefault="002B6B23" w:rsidP="00222FAF">
                                  <w:pPr>
                                    <w:spacing w:after="0"/>
                                    <w:jc w:val="right"/>
                                    <w:rPr>
                                      <w:rFonts w:ascii="Calibri" w:eastAsia="Times New Roman" w:hAnsi="Calibri" w:cs="Calibri"/>
                                      <w:b/>
                                      <w:bCs/>
                                      <w:color w:val="auto"/>
                                      <w:sz w:val="16"/>
                                      <w:szCs w:val="16"/>
                                      <w:lang w:eastAsia="cs-CZ"/>
                                    </w:rPr>
                                  </w:pPr>
                                  <w:r w:rsidRPr="00011B6E">
                                    <w:rPr>
                                      <w:rFonts w:ascii="Calibri" w:eastAsia="Times New Roman" w:hAnsi="Calibri" w:cs="Calibri"/>
                                      <w:b/>
                                      <w:bCs/>
                                      <w:color w:val="auto"/>
                                      <w:sz w:val="16"/>
                                      <w:szCs w:val="16"/>
                                      <w:lang w:eastAsia="cs-CZ"/>
                                    </w:rPr>
                                    <w:t>1998</w:t>
                                  </w:r>
                                </w:p>
                              </w:tc>
                              <w:tc>
                                <w:tcPr>
                                  <w:tcW w:w="135" w:type="pct"/>
                                  <w:shd w:val="clear" w:color="auto" w:fill="auto"/>
                                  <w:vAlign w:val="center"/>
                                  <w:hideMark/>
                                </w:tcPr>
                                <w:p w14:paraId="169D32D1" w14:textId="77777777" w:rsidR="002B6B23" w:rsidRPr="00011B6E" w:rsidRDefault="002B6B23" w:rsidP="00222FAF">
                                  <w:pPr>
                                    <w:spacing w:after="0"/>
                                    <w:jc w:val="left"/>
                                    <w:rPr>
                                      <w:rFonts w:ascii="Calibri" w:eastAsia="Times New Roman" w:hAnsi="Calibri" w:cs="Calibri"/>
                                      <w:b/>
                                      <w:bCs/>
                                      <w:color w:val="auto"/>
                                      <w:sz w:val="16"/>
                                      <w:szCs w:val="16"/>
                                      <w:lang w:eastAsia="cs-CZ"/>
                                    </w:rPr>
                                  </w:pPr>
                                  <w:r w:rsidRPr="00011B6E">
                                    <w:rPr>
                                      <w:rFonts w:ascii="Calibri" w:eastAsia="Times New Roman" w:hAnsi="Calibri" w:cs="Calibri"/>
                                      <w:b/>
                                      <w:bCs/>
                                      <w:color w:val="auto"/>
                                      <w:sz w:val="16"/>
                                      <w:szCs w:val="16"/>
                                      <w:lang w:eastAsia="cs-CZ"/>
                                    </w:rPr>
                                    <w:t>…</w:t>
                                  </w:r>
                                </w:p>
                              </w:tc>
                              <w:tc>
                                <w:tcPr>
                                  <w:tcW w:w="259" w:type="pct"/>
                                  <w:shd w:val="clear" w:color="auto" w:fill="auto"/>
                                  <w:vAlign w:val="center"/>
                                  <w:hideMark/>
                                </w:tcPr>
                                <w:p w14:paraId="27B34CC6" w14:textId="77777777" w:rsidR="002B6B23" w:rsidRPr="00011B6E" w:rsidRDefault="002B6B23" w:rsidP="00222FAF">
                                  <w:pPr>
                                    <w:spacing w:after="0"/>
                                    <w:jc w:val="right"/>
                                    <w:rPr>
                                      <w:rFonts w:ascii="Calibri" w:eastAsia="Times New Roman" w:hAnsi="Calibri" w:cs="Calibri"/>
                                      <w:b/>
                                      <w:bCs/>
                                      <w:color w:val="auto"/>
                                      <w:sz w:val="16"/>
                                      <w:szCs w:val="16"/>
                                      <w:lang w:eastAsia="cs-CZ"/>
                                    </w:rPr>
                                  </w:pPr>
                                  <w:r w:rsidRPr="00011B6E">
                                    <w:rPr>
                                      <w:rFonts w:ascii="Calibri" w:eastAsia="Times New Roman" w:hAnsi="Calibri" w:cs="Calibri"/>
                                      <w:b/>
                                      <w:bCs/>
                                      <w:color w:val="auto"/>
                                      <w:sz w:val="16"/>
                                      <w:szCs w:val="16"/>
                                      <w:lang w:eastAsia="cs-CZ"/>
                                    </w:rPr>
                                    <w:t>2002</w:t>
                                  </w:r>
                                </w:p>
                              </w:tc>
                              <w:tc>
                                <w:tcPr>
                                  <w:tcW w:w="250" w:type="pct"/>
                                  <w:shd w:val="clear" w:color="auto" w:fill="auto"/>
                                  <w:vAlign w:val="center"/>
                                  <w:hideMark/>
                                </w:tcPr>
                                <w:p w14:paraId="24952165" w14:textId="77777777" w:rsidR="002B6B23" w:rsidRPr="00011B6E" w:rsidRDefault="002B6B23" w:rsidP="00222FAF">
                                  <w:pPr>
                                    <w:spacing w:after="0"/>
                                    <w:jc w:val="right"/>
                                    <w:rPr>
                                      <w:rFonts w:ascii="Calibri" w:eastAsia="Times New Roman" w:hAnsi="Calibri" w:cs="Calibri"/>
                                      <w:b/>
                                      <w:bCs/>
                                      <w:color w:val="auto"/>
                                      <w:sz w:val="16"/>
                                      <w:szCs w:val="16"/>
                                      <w:lang w:eastAsia="cs-CZ"/>
                                    </w:rPr>
                                  </w:pPr>
                                  <w:r w:rsidRPr="00011B6E">
                                    <w:rPr>
                                      <w:rFonts w:ascii="Calibri" w:eastAsia="Times New Roman" w:hAnsi="Calibri" w:cs="Calibri"/>
                                      <w:b/>
                                      <w:bCs/>
                                      <w:color w:val="auto"/>
                                      <w:sz w:val="16"/>
                                      <w:szCs w:val="16"/>
                                      <w:lang w:eastAsia="cs-CZ"/>
                                    </w:rPr>
                                    <w:t>2003</w:t>
                                  </w:r>
                                </w:p>
                              </w:tc>
                              <w:tc>
                                <w:tcPr>
                                  <w:tcW w:w="135" w:type="pct"/>
                                  <w:shd w:val="clear" w:color="auto" w:fill="auto"/>
                                  <w:vAlign w:val="center"/>
                                  <w:hideMark/>
                                </w:tcPr>
                                <w:p w14:paraId="082EF4E3" w14:textId="77777777" w:rsidR="002B6B23" w:rsidRPr="00011B6E" w:rsidRDefault="002B6B23" w:rsidP="00222FAF">
                                  <w:pPr>
                                    <w:spacing w:after="0"/>
                                    <w:jc w:val="left"/>
                                    <w:rPr>
                                      <w:rFonts w:ascii="Calibri" w:eastAsia="Times New Roman" w:hAnsi="Calibri" w:cs="Calibri"/>
                                      <w:b/>
                                      <w:bCs/>
                                      <w:color w:val="auto"/>
                                      <w:sz w:val="16"/>
                                      <w:szCs w:val="16"/>
                                      <w:lang w:eastAsia="cs-CZ"/>
                                    </w:rPr>
                                  </w:pPr>
                                  <w:r w:rsidRPr="00011B6E">
                                    <w:rPr>
                                      <w:rFonts w:ascii="Calibri" w:eastAsia="Times New Roman" w:hAnsi="Calibri" w:cs="Calibri"/>
                                      <w:b/>
                                      <w:bCs/>
                                      <w:color w:val="auto"/>
                                      <w:sz w:val="16"/>
                                      <w:szCs w:val="16"/>
                                      <w:lang w:eastAsia="cs-CZ"/>
                                    </w:rPr>
                                    <w:t>…</w:t>
                                  </w:r>
                                </w:p>
                              </w:tc>
                              <w:tc>
                                <w:tcPr>
                                  <w:tcW w:w="250" w:type="pct"/>
                                  <w:shd w:val="clear" w:color="auto" w:fill="auto"/>
                                  <w:vAlign w:val="center"/>
                                  <w:hideMark/>
                                </w:tcPr>
                                <w:p w14:paraId="0C75701A" w14:textId="77777777" w:rsidR="002B6B23" w:rsidRPr="00011B6E" w:rsidRDefault="002B6B23" w:rsidP="00222FAF">
                                  <w:pPr>
                                    <w:spacing w:after="0"/>
                                    <w:jc w:val="right"/>
                                    <w:rPr>
                                      <w:rFonts w:ascii="Calibri" w:eastAsia="Times New Roman" w:hAnsi="Calibri" w:cs="Calibri"/>
                                      <w:b/>
                                      <w:bCs/>
                                      <w:color w:val="auto"/>
                                      <w:sz w:val="16"/>
                                      <w:szCs w:val="16"/>
                                      <w:lang w:eastAsia="cs-CZ"/>
                                    </w:rPr>
                                  </w:pPr>
                                  <w:r w:rsidRPr="00011B6E">
                                    <w:rPr>
                                      <w:rFonts w:ascii="Calibri" w:eastAsia="Times New Roman" w:hAnsi="Calibri" w:cs="Calibri"/>
                                      <w:b/>
                                      <w:bCs/>
                                      <w:color w:val="auto"/>
                                      <w:sz w:val="16"/>
                                      <w:szCs w:val="16"/>
                                      <w:lang w:eastAsia="cs-CZ"/>
                                    </w:rPr>
                                    <w:t>2005</w:t>
                                  </w:r>
                                </w:p>
                              </w:tc>
                              <w:tc>
                                <w:tcPr>
                                  <w:tcW w:w="135" w:type="pct"/>
                                  <w:shd w:val="clear" w:color="auto" w:fill="auto"/>
                                  <w:vAlign w:val="center"/>
                                  <w:hideMark/>
                                </w:tcPr>
                                <w:p w14:paraId="105A3B70" w14:textId="77777777" w:rsidR="002B6B23" w:rsidRPr="00011B6E" w:rsidRDefault="002B6B23" w:rsidP="00222FAF">
                                  <w:pPr>
                                    <w:spacing w:after="0"/>
                                    <w:jc w:val="left"/>
                                    <w:rPr>
                                      <w:rFonts w:ascii="Calibri" w:eastAsia="Times New Roman" w:hAnsi="Calibri" w:cs="Calibri"/>
                                      <w:b/>
                                      <w:bCs/>
                                      <w:color w:val="auto"/>
                                      <w:sz w:val="16"/>
                                      <w:szCs w:val="16"/>
                                      <w:lang w:eastAsia="cs-CZ"/>
                                    </w:rPr>
                                  </w:pPr>
                                  <w:r w:rsidRPr="00011B6E">
                                    <w:rPr>
                                      <w:rFonts w:ascii="Calibri" w:eastAsia="Times New Roman" w:hAnsi="Calibri" w:cs="Calibri"/>
                                      <w:b/>
                                      <w:bCs/>
                                      <w:color w:val="auto"/>
                                      <w:sz w:val="16"/>
                                      <w:szCs w:val="16"/>
                                      <w:lang w:eastAsia="cs-CZ"/>
                                    </w:rPr>
                                    <w:t>…</w:t>
                                  </w:r>
                                </w:p>
                              </w:tc>
                              <w:tc>
                                <w:tcPr>
                                  <w:tcW w:w="250" w:type="pct"/>
                                  <w:shd w:val="clear" w:color="auto" w:fill="auto"/>
                                  <w:vAlign w:val="center"/>
                                  <w:hideMark/>
                                </w:tcPr>
                                <w:p w14:paraId="70A6EEAF" w14:textId="77777777" w:rsidR="002B6B23" w:rsidRPr="00011B6E" w:rsidRDefault="002B6B23" w:rsidP="00222FAF">
                                  <w:pPr>
                                    <w:spacing w:after="0"/>
                                    <w:jc w:val="right"/>
                                    <w:rPr>
                                      <w:rFonts w:ascii="Calibri" w:eastAsia="Times New Roman" w:hAnsi="Calibri" w:cs="Calibri"/>
                                      <w:b/>
                                      <w:bCs/>
                                      <w:color w:val="auto"/>
                                      <w:sz w:val="16"/>
                                      <w:szCs w:val="16"/>
                                      <w:lang w:eastAsia="cs-CZ"/>
                                    </w:rPr>
                                  </w:pPr>
                                  <w:r w:rsidRPr="00011B6E">
                                    <w:rPr>
                                      <w:rFonts w:ascii="Calibri" w:eastAsia="Times New Roman" w:hAnsi="Calibri" w:cs="Calibri"/>
                                      <w:b/>
                                      <w:bCs/>
                                      <w:color w:val="auto"/>
                                      <w:sz w:val="16"/>
                                      <w:szCs w:val="16"/>
                                      <w:lang w:eastAsia="cs-CZ"/>
                                    </w:rPr>
                                    <w:t>2007</w:t>
                                  </w:r>
                                </w:p>
                              </w:tc>
                              <w:tc>
                                <w:tcPr>
                                  <w:tcW w:w="250" w:type="pct"/>
                                  <w:shd w:val="clear" w:color="auto" w:fill="auto"/>
                                  <w:vAlign w:val="center"/>
                                  <w:hideMark/>
                                </w:tcPr>
                                <w:p w14:paraId="4F1F95DA" w14:textId="77777777" w:rsidR="002B6B23" w:rsidRPr="00011B6E" w:rsidRDefault="002B6B23" w:rsidP="00222FAF">
                                  <w:pPr>
                                    <w:spacing w:after="0"/>
                                    <w:jc w:val="right"/>
                                    <w:rPr>
                                      <w:rFonts w:ascii="Calibri" w:eastAsia="Times New Roman" w:hAnsi="Calibri" w:cs="Calibri"/>
                                      <w:b/>
                                      <w:bCs/>
                                      <w:color w:val="auto"/>
                                      <w:sz w:val="16"/>
                                      <w:szCs w:val="16"/>
                                      <w:lang w:eastAsia="cs-CZ"/>
                                    </w:rPr>
                                  </w:pPr>
                                  <w:r w:rsidRPr="00011B6E">
                                    <w:rPr>
                                      <w:rFonts w:ascii="Calibri" w:eastAsia="Times New Roman" w:hAnsi="Calibri" w:cs="Calibri"/>
                                      <w:b/>
                                      <w:bCs/>
                                      <w:color w:val="auto"/>
                                      <w:sz w:val="16"/>
                                      <w:szCs w:val="16"/>
                                      <w:lang w:eastAsia="cs-CZ"/>
                                    </w:rPr>
                                    <w:t>2008</w:t>
                                  </w:r>
                                </w:p>
                              </w:tc>
                              <w:tc>
                                <w:tcPr>
                                  <w:tcW w:w="135" w:type="pct"/>
                                  <w:shd w:val="clear" w:color="auto" w:fill="auto"/>
                                  <w:vAlign w:val="center"/>
                                  <w:hideMark/>
                                </w:tcPr>
                                <w:p w14:paraId="09C4A3CA" w14:textId="77777777" w:rsidR="002B6B23" w:rsidRPr="00011B6E" w:rsidRDefault="002B6B23" w:rsidP="00222FAF">
                                  <w:pPr>
                                    <w:spacing w:after="0"/>
                                    <w:jc w:val="left"/>
                                    <w:rPr>
                                      <w:rFonts w:ascii="Calibri" w:eastAsia="Times New Roman" w:hAnsi="Calibri" w:cs="Calibri"/>
                                      <w:b/>
                                      <w:bCs/>
                                      <w:color w:val="auto"/>
                                      <w:sz w:val="16"/>
                                      <w:szCs w:val="16"/>
                                      <w:lang w:eastAsia="cs-CZ"/>
                                    </w:rPr>
                                  </w:pPr>
                                  <w:r w:rsidRPr="00011B6E">
                                    <w:rPr>
                                      <w:rFonts w:ascii="Calibri" w:eastAsia="Times New Roman" w:hAnsi="Calibri" w:cs="Calibri"/>
                                      <w:b/>
                                      <w:bCs/>
                                      <w:color w:val="auto"/>
                                      <w:sz w:val="16"/>
                                      <w:szCs w:val="16"/>
                                      <w:lang w:eastAsia="cs-CZ"/>
                                    </w:rPr>
                                    <w:t>…</w:t>
                                  </w:r>
                                </w:p>
                              </w:tc>
                              <w:tc>
                                <w:tcPr>
                                  <w:tcW w:w="250" w:type="pct"/>
                                  <w:shd w:val="clear" w:color="auto" w:fill="auto"/>
                                  <w:vAlign w:val="center"/>
                                  <w:hideMark/>
                                </w:tcPr>
                                <w:p w14:paraId="57CC3CD2" w14:textId="77777777" w:rsidR="002B6B23" w:rsidRPr="00011B6E" w:rsidRDefault="002B6B23" w:rsidP="00222FAF">
                                  <w:pPr>
                                    <w:spacing w:after="0"/>
                                    <w:jc w:val="right"/>
                                    <w:rPr>
                                      <w:rFonts w:ascii="Calibri" w:eastAsia="Times New Roman" w:hAnsi="Calibri" w:cs="Calibri"/>
                                      <w:b/>
                                      <w:bCs/>
                                      <w:color w:val="auto"/>
                                      <w:sz w:val="16"/>
                                      <w:szCs w:val="16"/>
                                      <w:lang w:eastAsia="cs-CZ"/>
                                    </w:rPr>
                                  </w:pPr>
                                  <w:r w:rsidRPr="00011B6E">
                                    <w:rPr>
                                      <w:rFonts w:ascii="Calibri" w:eastAsia="Times New Roman" w:hAnsi="Calibri" w:cs="Calibri"/>
                                      <w:b/>
                                      <w:bCs/>
                                      <w:color w:val="auto"/>
                                      <w:sz w:val="16"/>
                                      <w:szCs w:val="16"/>
                                      <w:lang w:eastAsia="cs-CZ"/>
                                    </w:rPr>
                                    <w:t>2011</w:t>
                                  </w:r>
                                </w:p>
                              </w:tc>
                              <w:tc>
                                <w:tcPr>
                                  <w:tcW w:w="135" w:type="pct"/>
                                  <w:shd w:val="clear" w:color="auto" w:fill="auto"/>
                                  <w:vAlign w:val="center"/>
                                  <w:hideMark/>
                                </w:tcPr>
                                <w:p w14:paraId="51462638" w14:textId="77777777" w:rsidR="002B6B23" w:rsidRPr="00011B6E" w:rsidRDefault="002B6B23" w:rsidP="00222FAF">
                                  <w:pPr>
                                    <w:spacing w:after="0"/>
                                    <w:jc w:val="left"/>
                                    <w:rPr>
                                      <w:rFonts w:ascii="Calibri" w:eastAsia="Times New Roman" w:hAnsi="Calibri" w:cs="Calibri"/>
                                      <w:b/>
                                      <w:bCs/>
                                      <w:color w:val="auto"/>
                                      <w:sz w:val="16"/>
                                      <w:szCs w:val="16"/>
                                      <w:lang w:eastAsia="cs-CZ"/>
                                    </w:rPr>
                                  </w:pPr>
                                  <w:r w:rsidRPr="00011B6E">
                                    <w:rPr>
                                      <w:rFonts w:ascii="Calibri" w:eastAsia="Times New Roman" w:hAnsi="Calibri" w:cs="Calibri"/>
                                      <w:b/>
                                      <w:bCs/>
                                      <w:color w:val="auto"/>
                                      <w:sz w:val="16"/>
                                      <w:szCs w:val="16"/>
                                      <w:lang w:eastAsia="cs-CZ"/>
                                    </w:rPr>
                                    <w:t>…</w:t>
                                  </w:r>
                                </w:p>
                              </w:tc>
                              <w:tc>
                                <w:tcPr>
                                  <w:tcW w:w="250" w:type="pct"/>
                                  <w:shd w:val="clear" w:color="auto" w:fill="auto"/>
                                  <w:vAlign w:val="center"/>
                                  <w:hideMark/>
                                </w:tcPr>
                                <w:p w14:paraId="0B351BB2" w14:textId="77777777" w:rsidR="002B6B23" w:rsidRPr="00011B6E" w:rsidRDefault="002B6B23" w:rsidP="00222FAF">
                                  <w:pPr>
                                    <w:spacing w:after="0"/>
                                    <w:jc w:val="right"/>
                                    <w:rPr>
                                      <w:rFonts w:ascii="Calibri" w:eastAsia="Times New Roman" w:hAnsi="Calibri" w:cs="Calibri"/>
                                      <w:b/>
                                      <w:bCs/>
                                      <w:color w:val="auto"/>
                                      <w:sz w:val="16"/>
                                      <w:szCs w:val="16"/>
                                      <w:lang w:eastAsia="cs-CZ"/>
                                    </w:rPr>
                                  </w:pPr>
                                  <w:r w:rsidRPr="00011B6E">
                                    <w:rPr>
                                      <w:rFonts w:ascii="Calibri" w:eastAsia="Times New Roman" w:hAnsi="Calibri" w:cs="Calibri"/>
                                      <w:b/>
                                      <w:bCs/>
                                      <w:color w:val="auto"/>
                                      <w:sz w:val="16"/>
                                      <w:szCs w:val="16"/>
                                      <w:lang w:eastAsia="cs-CZ"/>
                                    </w:rPr>
                                    <w:t>2018</w:t>
                                  </w:r>
                                </w:p>
                              </w:tc>
                              <w:tc>
                                <w:tcPr>
                                  <w:tcW w:w="250" w:type="pct"/>
                                  <w:shd w:val="clear" w:color="auto" w:fill="auto"/>
                                  <w:vAlign w:val="center"/>
                                  <w:hideMark/>
                                </w:tcPr>
                                <w:p w14:paraId="0F743DFB" w14:textId="77777777" w:rsidR="002B6B23" w:rsidRPr="00011B6E" w:rsidRDefault="002B6B23" w:rsidP="00222FAF">
                                  <w:pPr>
                                    <w:spacing w:after="0"/>
                                    <w:jc w:val="right"/>
                                    <w:rPr>
                                      <w:rFonts w:ascii="Calibri" w:eastAsia="Times New Roman" w:hAnsi="Calibri" w:cs="Calibri"/>
                                      <w:b/>
                                      <w:bCs/>
                                      <w:color w:val="auto"/>
                                      <w:sz w:val="16"/>
                                      <w:szCs w:val="16"/>
                                      <w:lang w:eastAsia="cs-CZ"/>
                                    </w:rPr>
                                  </w:pPr>
                                  <w:r w:rsidRPr="00011B6E">
                                    <w:rPr>
                                      <w:rFonts w:ascii="Calibri" w:eastAsia="Times New Roman" w:hAnsi="Calibri" w:cs="Calibri"/>
                                      <w:b/>
                                      <w:bCs/>
                                      <w:color w:val="auto"/>
                                      <w:sz w:val="16"/>
                                      <w:szCs w:val="16"/>
                                      <w:lang w:eastAsia="cs-CZ"/>
                                    </w:rPr>
                                    <w:t>2019</w:t>
                                  </w:r>
                                </w:p>
                              </w:tc>
                              <w:tc>
                                <w:tcPr>
                                  <w:tcW w:w="135" w:type="pct"/>
                                  <w:shd w:val="clear" w:color="auto" w:fill="auto"/>
                                  <w:vAlign w:val="center"/>
                                  <w:hideMark/>
                                </w:tcPr>
                                <w:p w14:paraId="797A7024" w14:textId="77777777" w:rsidR="002B6B23" w:rsidRPr="00011B6E" w:rsidRDefault="002B6B23" w:rsidP="00222FAF">
                                  <w:pPr>
                                    <w:spacing w:after="0"/>
                                    <w:jc w:val="left"/>
                                    <w:rPr>
                                      <w:rFonts w:ascii="Calibri" w:eastAsia="Times New Roman" w:hAnsi="Calibri" w:cs="Calibri"/>
                                      <w:b/>
                                      <w:bCs/>
                                      <w:color w:val="auto"/>
                                      <w:sz w:val="16"/>
                                      <w:szCs w:val="16"/>
                                      <w:lang w:eastAsia="cs-CZ"/>
                                    </w:rPr>
                                  </w:pPr>
                                  <w:r w:rsidRPr="00011B6E">
                                    <w:rPr>
                                      <w:rFonts w:ascii="Calibri" w:eastAsia="Times New Roman" w:hAnsi="Calibri" w:cs="Calibri"/>
                                      <w:b/>
                                      <w:bCs/>
                                      <w:color w:val="auto"/>
                                      <w:sz w:val="16"/>
                                      <w:szCs w:val="16"/>
                                      <w:lang w:eastAsia="cs-CZ"/>
                                    </w:rPr>
                                    <w:t>…</w:t>
                                  </w:r>
                                </w:p>
                              </w:tc>
                              <w:tc>
                                <w:tcPr>
                                  <w:tcW w:w="250" w:type="pct"/>
                                  <w:shd w:val="clear" w:color="auto" w:fill="auto"/>
                                  <w:vAlign w:val="center"/>
                                  <w:hideMark/>
                                </w:tcPr>
                                <w:p w14:paraId="692D0A7D" w14:textId="77777777" w:rsidR="002B6B23" w:rsidRPr="00011B6E" w:rsidRDefault="002B6B23" w:rsidP="00222FAF">
                                  <w:pPr>
                                    <w:spacing w:after="0"/>
                                    <w:jc w:val="right"/>
                                    <w:rPr>
                                      <w:rFonts w:ascii="Calibri" w:eastAsia="Times New Roman" w:hAnsi="Calibri" w:cs="Calibri"/>
                                      <w:b/>
                                      <w:bCs/>
                                      <w:color w:val="auto"/>
                                      <w:sz w:val="16"/>
                                      <w:szCs w:val="16"/>
                                      <w:lang w:eastAsia="cs-CZ"/>
                                    </w:rPr>
                                  </w:pPr>
                                  <w:r w:rsidRPr="00011B6E">
                                    <w:rPr>
                                      <w:rFonts w:ascii="Calibri" w:eastAsia="Times New Roman" w:hAnsi="Calibri" w:cs="Calibri"/>
                                      <w:b/>
                                      <w:bCs/>
                                      <w:color w:val="auto"/>
                                      <w:sz w:val="16"/>
                                      <w:szCs w:val="16"/>
                                      <w:lang w:eastAsia="cs-CZ"/>
                                    </w:rPr>
                                    <w:t>2024</w:t>
                                  </w:r>
                                </w:p>
                              </w:tc>
                            </w:tr>
                            <w:tr w:rsidR="00E0697C" w:rsidRPr="00222FAF" w14:paraId="7058E6D1" w14:textId="77777777" w:rsidTr="0091394A">
                              <w:trPr>
                                <w:trHeight w:val="216"/>
                              </w:trPr>
                              <w:tc>
                                <w:tcPr>
                                  <w:tcW w:w="425" w:type="pct"/>
                                  <w:shd w:val="clear" w:color="auto" w:fill="auto"/>
                                  <w:vAlign w:val="center"/>
                                  <w:hideMark/>
                                </w:tcPr>
                                <w:p w14:paraId="740FBA04" w14:textId="77777777" w:rsidR="002B6B23" w:rsidRPr="00222FAF" w:rsidRDefault="002B6B23" w:rsidP="00222FAF">
                                  <w:pPr>
                                    <w:spacing w:after="0"/>
                                    <w:jc w:val="center"/>
                                    <w:rPr>
                                      <w:rFonts w:ascii="Calibri" w:eastAsia="Times New Roman" w:hAnsi="Calibri" w:cs="Calibri"/>
                                      <w:b/>
                                      <w:bCs/>
                                      <w:color w:val="auto"/>
                                      <w:sz w:val="16"/>
                                      <w:szCs w:val="16"/>
                                      <w:lang w:eastAsia="cs-CZ"/>
                                    </w:rPr>
                                  </w:pPr>
                                  <w:r w:rsidRPr="00222FAF">
                                    <w:rPr>
                                      <w:rFonts w:ascii="Calibri" w:eastAsia="Times New Roman" w:hAnsi="Calibri" w:cs="Calibri"/>
                                      <w:b/>
                                      <w:bCs/>
                                      <w:color w:val="auto"/>
                                      <w:sz w:val="16"/>
                                      <w:szCs w:val="16"/>
                                      <w:lang w:eastAsia="cs-CZ"/>
                                    </w:rPr>
                                    <w:t>Moody's</w:t>
                                  </w:r>
                                </w:p>
                              </w:tc>
                              <w:tc>
                                <w:tcPr>
                                  <w:tcW w:w="89" w:type="pct"/>
                                  <w:shd w:val="clear" w:color="auto" w:fill="auto"/>
                                  <w:vAlign w:val="center"/>
                                  <w:hideMark/>
                                </w:tcPr>
                                <w:p w14:paraId="1A6032DA"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Ba1</w:t>
                                  </w:r>
                                </w:p>
                              </w:tc>
                              <w:tc>
                                <w:tcPr>
                                  <w:tcW w:w="251" w:type="pct"/>
                                  <w:shd w:val="clear" w:color="auto" w:fill="auto"/>
                                  <w:vAlign w:val="center"/>
                                  <w:hideMark/>
                                </w:tcPr>
                                <w:p w14:paraId="778B915C"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Baa3</w:t>
                                  </w:r>
                                </w:p>
                              </w:tc>
                              <w:tc>
                                <w:tcPr>
                                  <w:tcW w:w="259" w:type="pct"/>
                                  <w:shd w:val="clear" w:color="auto" w:fill="auto"/>
                                  <w:vAlign w:val="center"/>
                                  <w:hideMark/>
                                </w:tcPr>
                                <w:p w14:paraId="40547128"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Baa2</w:t>
                                  </w:r>
                                </w:p>
                              </w:tc>
                              <w:tc>
                                <w:tcPr>
                                  <w:tcW w:w="251" w:type="pct"/>
                                  <w:shd w:val="clear" w:color="auto" w:fill="auto"/>
                                  <w:vAlign w:val="center"/>
                                  <w:hideMark/>
                                </w:tcPr>
                                <w:p w14:paraId="0285D364"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Baa1</w:t>
                                  </w:r>
                                </w:p>
                              </w:tc>
                              <w:tc>
                                <w:tcPr>
                                  <w:tcW w:w="136" w:type="pct"/>
                                  <w:shd w:val="clear" w:color="auto" w:fill="auto"/>
                                  <w:vAlign w:val="center"/>
                                  <w:hideMark/>
                                </w:tcPr>
                                <w:p w14:paraId="630B5E38"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w:t>
                                  </w:r>
                                </w:p>
                              </w:tc>
                              <w:tc>
                                <w:tcPr>
                                  <w:tcW w:w="259" w:type="pct"/>
                                  <w:shd w:val="clear" w:color="auto" w:fill="auto"/>
                                  <w:vAlign w:val="center"/>
                                  <w:hideMark/>
                                </w:tcPr>
                                <w:p w14:paraId="462A81B5"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Baa1</w:t>
                                  </w:r>
                                </w:p>
                              </w:tc>
                              <w:tc>
                                <w:tcPr>
                                  <w:tcW w:w="259" w:type="pct"/>
                                  <w:shd w:val="clear" w:color="auto" w:fill="auto"/>
                                  <w:vAlign w:val="center"/>
                                  <w:hideMark/>
                                </w:tcPr>
                                <w:p w14:paraId="67BED4CB"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Baa1</w:t>
                                  </w:r>
                                </w:p>
                              </w:tc>
                              <w:tc>
                                <w:tcPr>
                                  <w:tcW w:w="135" w:type="pct"/>
                                  <w:shd w:val="clear" w:color="auto" w:fill="auto"/>
                                  <w:vAlign w:val="center"/>
                                  <w:hideMark/>
                                </w:tcPr>
                                <w:p w14:paraId="1EF659FF"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w:t>
                                  </w:r>
                                </w:p>
                              </w:tc>
                              <w:tc>
                                <w:tcPr>
                                  <w:tcW w:w="259" w:type="pct"/>
                                  <w:shd w:val="clear" w:color="auto" w:fill="auto"/>
                                  <w:vAlign w:val="center"/>
                                  <w:hideMark/>
                                </w:tcPr>
                                <w:p w14:paraId="6BE754D7"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A1</w:t>
                                  </w:r>
                                </w:p>
                              </w:tc>
                              <w:tc>
                                <w:tcPr>
                                  <w:tcW w:w="250" w:type="pct"/>
                                  <w:shd w:val="clear" w:color="auto" w:fill="auto"/>
                                  <w:vAlign w:val="center"/>
                                  <w:hideMark/>
                                </w:tcPr>
                                <w:p w14:paraId="24AEA7B4"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A1</w:t>
                                  </w:r>
                                </w:p>
                              </w:tc>
                              <w:tc>
                                <w:tcPr>
                                  <w:tcW w:w="135" w:type="pct"/>
                                  <w:shd w:val="clear" w:color="auto" w:fill="auto"/>
                                  <w:vAlign w:val="center"/>
                                  <w:hideMark/>
                                </w:tcPr>
                                <w:p w14:paraId="5B6477EF"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w:t>
                                  </w:r>
                                </w:p>
                              </w:tc>
                              <w:tc>
                                <w:tcPr>
                                  <w:tcW w:w="250" w:type="pct"/>
                                  <w:shd w:val="clear" w:color="auto" w:fill="auto"/>
                                  <w:vAlign w:val="center"/>
                                  <w:hideMark/>
                                </w:tcPr>
                                <w:p w14:paraId="3859F9F8"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A1</w:t>
                                  </w:r>
                                </w:p>
                              </w:tc>
                              <w:tc>
                                <w:tcPr>
                                  <w:tcW w:w="135" w:type="pct"/>
                                  <w:shd w:val="clear" w:color="auto" w:fill="auto"/>
                                  <w:vAlign w:val="center"/>
                                  <w:hideMark/>
                                </w:tcPr>
                                <w:p w14:paraId="6ED77961"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w:t>
                                  </w:r>
                                </w:p>
                              </w:tc>
                              <w:tc>
                                <w:tcPr>
                                  <w:tcW w:w="250" w:type="pct"/>
                                  <w:shd w:val="clear" w:color="auto" w:fill="auto"/>
                                  <w:vAlign w:val="center"/>
                                  <w:hideMark/>
                                </w:tcPr>
                                <w:p w14:paraId="5B5879B8"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A1</w:t>
                                  </w:r>
                                </w:p>
                              </w:tc>
                              <w:tc>
                                <w:tcPr>
                                  <w:tcW w:w="250" w:type="pct"/>
                                  <w:shd w:val="clear" w:color="auto" w:fill="auto"/>
                                  <w:vAlign w:val="center"/>
                                  <w:hideMark/>
                                </w:tcPr>
                                <w:p w14:paraId="6C426EDE"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A1</w:t>
                                  </w:r>
                                </w:p>
                              </w:tc>
                              <w:tc>
                                <w:tcPr>
                                  <w:tcW w:w="135" w:type="pct"/>
                                  <w:shd w:val="clear" w:color="auto" w:fill="auto"/>
                                  <w:vAlign w:val="center"/>
                                  <w:hideMark/>
                                </w:tcPr>
                                <w:p w14:paraId="4BA4317C"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 </w:t>
                                  </w:r>
                                </w:p>
                              </w:tc>
                              <w:tc>
                                <w:tcPr>
                                  <w:tcW w:w="250" w:type="pct"/>
                                  <w:shd w:val="clear" w:color="auto" w:fill="auto"/>
                                  <w:vAlign w:val="center"/>
                                  <w:hideMark/>
                                </w:tcPr>
                                <w:p w14:paraId="750B3F2E"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A1</w:t>
                                  </w:r>
                                </w:p>
                              </w:tc>
                              <w:tc>
                                <w:tcPr>
                                  <w:tcW w:w="135" w:type="pct"/>
                                  <w:shd w:val="clear" w:color="auto" w:fill="auto"/>
                                  <w:vAlign w:val="center"/>
                                  <w:hideMark/>
                                </w:tcPr>
                                <w:p w14:paraId="4B83BF72"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w:t>
                                  </w:r>
                                </w:p>
                              </w:tc>
                              <w:tc>
                                <w:tcPr>
                                  <w:tcW w:w="250" w:type="pct"/>
                                  <w:shd w:val="clear" w:color="auto" w:fill="auto"/>
                                  <w:vAlign w:val="center"/>
                                  <w:hideMark/>
                                </w:tcPr>
                                <w:p w14:paraId="18545C72"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A1</w:t>
                                  </w:r>
                                </w:p>
                              </w:tc>
                              <w:tc>
                                <w:tcPr>
                                  <w:tcW w:w="250" w:type="pct"/>
                                  <w:shd w:val="clear" w:color="auto" w:fill="auto"/>
                                  <w:vAlign w:val="center"/>
                                  <w:hideMark/>
                                </w:tcPr>
                                <w:p w14:paraId="776B47B2"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Aa3</w:t>
                                  </w:r>
                                </w:p>
                              </w:tc>
                              <w:tc>
                                <w:tcPr>
                                  <w:tcW w:w="135" w:type="pct"/>
                                  <w:shd w:val="clear" w:color="auto" w:fill="auto"/>
                                  <w:vAlign w:val="center"/>
                                  <w:hideMark/>
                                </w:tcPr>
                                <w:p w14:paraId="69AA6009"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w:t>
                                  </w:r>
                                </w:p>
                              </w:tc>
                              <w:tc>
                                <w:tcPr>
                                  <w:tcW w:w="250" w:type="pct"/>
                                  <w:shd w:val="clear" w:color="auto" w:fill="auto"/>
                                  <w:vAlign w:val="center"/>
                                  <w:hideMark/>
                                </w:tcPr>
                                <w:p w14:paraId="48333A85"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Aa3</w:t>
                                  </w:r>
                                </w:p>
                              </w:tc>
                            </w:tr>
                            <w:tr w:rsidR="00E0697C" w:rsidRPr="00222FAF" w14:paraId="2EC2F2D9" w14:textId="77777777" w:rsidTr="00C903F3">
                              <w:trPr>
                                <w:trHeight w:val="245"/>
                              </w:trPr>
                              <w:tc>
                                <w:tcPr>
                                  <w:tcW w:w="425" w:type="pct"/>
                                  <w:shd w:val="clear" w:color="auto" w:fill="auto"/>
                                  <w:vAlign w:val="center"/>
                                  <w:hideMark/>
                                </w:tcPr>
                                <w:p w14:paraId="1D9BCC59" w14:textId="77777777" w:rsidR="002B6B23" w:rsidRPr="00222FAF" w:rsidRDefault="002B6B23" w:rsidP="00222FAF">
                                  <w:pPr>
                                    <w:spacing w:after="0"/>
                                    <w:jc w:val="center"/>
                                    <w:rPr>
                                      <w:rFonts w:ascii="Calibri" w:eastAsia="Times New Roman" w:hAnsi="Calibri" w:cs="Calibri"/>
                                      <w:b/>
                                      <w:bCs/>
                                      <w:color w:val="auto"/>
                                      <w:sz w:val="16"/>
                                      <w:szCs w:val="16"/>
                                      <w:lang w:eastAsia="cs-CZ"/>
                                    </w:rPr>
                                  </w:pPr>
                                  <w:r w:rsidRPr="00222FAF">
                                    <w:rPr>
                                      <w:rFonts w:ascii="Calibri" w:eastAsia="Times New Roman" w:hAnsi="Calibri" w:cs="Calibri"/>
                                      <w:b/>
                                      <w:bCs/>
                                      <w:color w:val="auto"/>
                                      <w:sz w:val="16"/>
                                      <w:szCs w:val="16"/>
                                      <w:lang w:eastAsia="cs-CZ"/>
                                    </w:rPr>
                                    <w:t>S</w:t>
                                  </w:r>
                                  <w:r>
                                    <w:rPr>
                                      <w:rFonts w:ascii="Calibri" w:eastAsia="Times New Roman" w:hAnsi="Calibri" w:cs="Calibri"/>
                                      <w:b/>
                                      <w:bCs/>
                                      <w:color w:val="auto"/>
                                      <w:sz w:val="16"/>
                                      <w:szCs w:val="16"/>
                                      <w:lang w:eastAsia="cs-CZ"/>
                                    </w:rPr>
                                    <w:t>&amp;</w:t>
                                  </w:r>
                                  <w:r w:rsidRPr="00222FAF">
                                    <w:rPr>
                                      <w:rFonts w:ascii="Calibri" w:eastAsia="Times New Roman" w:hAnsi="Calibri" w:cs="Calibri"/>
                                      <w:b/>
                                      <w:bCs/>
                                      <w:color w:val="auto"/>
                                      <w:sz w:val="16"/>
                                      <w:szCs w:val="16"/>
                                      <w:lang w:eastAsia="cs-CZ"/>
                                    </w:rPr>
                                    <w:t>P's</w:t>
                                  </w:r>
                                </w:p>
                              </w:tc>
                              <w:tc>
                                <w:tcPr>
                                  <w:tcW w:w="89" w:type="pct"/>
                                  <w:shd w:val="clear" w:color="auto" w:fill="auto"/>
                                  <w:vAlign w:val="center"/>
                                  <w:hideMark/>
                                </w:tcPr>
                                <w:p w14:paraId="7CFB45E0"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w:t>
                                  </w:r>
                                </w:p>
                              </w:tc>
                              <w:tc>
                                <w:tcPr>
                                  <w:tcW w:w="251" w:type="pct"/>
                                  <w:shd w:val="clear" w:color="auto" w:fill="auto"/>
                                  <w:vAlign w:val="center"/>
                                  <w:hideMark/>
                                </w:tcPr>
                                <w:p w14:paraId="4EB49085"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BBB</w:t>
                                  </w:r>
                                </w:p>
                              </w:tc>
                              <w:tc>
                                <w:tcPr>
                                  <w:tcW w:w="259" w:type="pct"/>
                                  <w:shd w:val="clear" w:color="auto" w:fill="auto"/>
                                  <w:vAlign w:val="center"/>
                                  <w:hideMark/>
                                </w:tcPr>
                                <w:p w14:paraId="001918C2"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BBB+</w:t>
                                  </w:r>
                                </w:p>
                              </w:tc>
                              <w:tc>
                                <w:tcPr>
                                  <w:tcW w:w="251" w:type="pct"/>
                                  <w:shd w:val="clear" w:color="auto" w:fill="auto"/>
                                  <w:vAlign w:val="center"/>
                                  <w:hideMark/>
                                </w:tcPr>
                                <w:p w14:paraId="5DD7872B"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A</w:t>
                                  </w:r>
                                </w:p>
                              </w:tc>
                              <w:tc>
                                <w:tcPr>
                                  <w:tcW w:w="136" w:type="pct"/>
                                  <w:shd w:val="clear" w:color="auto" w:fill="auto"/>
                                  <w:vAlign w:val="center"/>
                                  <w:hideMark/>
                                </w:tcPr>
                                <w:p w14:paraId="30695B68"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w:t>
                                  </w:r>
                                </w:p>
                              </w:tc>
                              <w:tc>
                                <w:tcPr>
                                  <w:tcW w:w="259" w:type="pct"/>
                                  <w:shd w:val="clear" w:color="auto" w:fill="auto"/>
                                  <w:vAlign w:val="center"/>
                                  <w:hideMark/>
                                </w:tcPr>
                                <w:p w14:paraId="54E483A4"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A</w:t>
                                  </w:r>
                                </w:p>
                              </w:tc>
                              <w:tc>
                                <w:tcPr>
                                  <w:tcW w:w="259" w:type="pct"/>
                                  <w:shd w:val="clear" w:color="auto" w:fill="auto"/>
                                  <w:vAlign w:val="center"/>
                                  <w:hideMark/>
                                </w:tcPr>
                                <w:p w14:paraId="5D9B02C4"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A-</w:t>
                                  </w:r>
                                </w:p>
                              </w:tc>
                              <w:tc>
                                <w:tcPr>
                                  <w:tcW w:w="135" w:type="pct"/>
                                  <w:shd w:val="clear" w:color="auto" w:fill="auto"/>
                                  <w:vAlign w:val="center"/>
                                  <w:hideMark/>
                                </w:tcPr>
                                <w:p w14:paraId="1EC61164"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w:t>
                                  </w:r>
                                </w:p>
                              </w:tc>
                              <w:tc>
                                <w:tcPr>
                                  <w:tcW w:w="259" w:type="pct"/>
                                  <w:shd w:val="clear" w:color="auto" w:fill="auto"/>
                                  <w:vAlign w:val="center"/>
                                  <w:hideMark/>
                                </w:tcPr>
                                <w:p w14:paraId="2F95EA4B"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A-</w:t>
                                  </w:r>
                                </w:p>
                              </w:tc>
                              <w:tc>
                                <w:tcPr>
                                  <w:tcW w:w="250" w:type="pct"/>
                                  <w:shd w:val="clear" w:color="auto" w:fill="auto"/>
                                  <w:vAlign w:val="center"/>
                                  <w:hideMark/>
                                </w:tcPr>
                                <w:p w14:paraId="254A053B"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A-</w:t>
                                  </w:r>
                                </w:p>
                              </w:tc>
                              <w:tc>
                                <w:tcPr>
                                  <w:tcW w:w="135" w:type="pct"/>
                                  <w:shd w:val="clear" w:color="auto" w:fill="auto"/>
                                  <w:vAlign w:val="center"/>
                                  <w:hideMark/>
                                </w:tcPr>
                                <w:p w14:paraId="23B774F0"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w:t>
                                  </w:r>
                                </w:p>
                              </w:tc>
                              <w:tc>
                                <w:tcPr>
                                  <w:tcW w:w="250" w:type="pct"/>
                                  <w:shd w:val="clear" w:color="auto" w:fill="auto"/>
                                  <w:vAlign w:val="center"/>
                                  <w:hideMark/>
                                </w:tcPr>
                                <w:p w14:paraId="500DE01F"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A-</w:t>
                                  </w:r>
                                </w:p>
                              </w:tc>
                              <w:tc>
                                <w:tcPr>
                                  <w:tcW w:w="135" w:type="pct"/>
                                  <w:shd w:val="clear" w:color="auto" w:fill="auto"/>
                                  <w:vAlign w:val="center"/>
                                  <w:hideMark/>
                                </w:tcPr>
                                <w:p w14:paraId="3F5BE34C"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w:t>
                                  </w:r>
                                </w:p>
                              </w:tc>
                              <w:tc>
                                <w:tcPr>
                                  <w:tcW w:w="250" w:type="pct"/>
                                  <w:shd w:val="clear" w:color="auto" w:fill="auto"/>
                                  <w:vAlign w:val="center"/>
                                  <w:hideMark/>
                                </w:tcPr>
                                <w:p w14:paraId="432BB2E0"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A</w:t>
                                  </w:r>
                                </w:p>
                              </w:tc>
                              <w:tc>
                                <w:tcPr>
                                  <w:tcW w:w="250" w:type="pct"/>
                                  <w:shd w:val="clear" w:color="auto" w:fill="auto"/>
                                  <w:vAlign w:val="center"/>
                                  <w:hideMark/>
                                </w:tcPr>
                                <w:p w14:paraId="7E7A1429"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A</w:t>
                                  </w:r>
                                </w:p>
                              </w:tc>
                              <w:tc>
                                <w:tcPr>
                                  <w:tcW w:w="135" w:type="pct"/>
                                  <w:shd w:val="clear" w:color="auto" w:fill="auto"/>
                                  <w:vAlign w:val="center"/>
                                  <w:hideMark/>
                                </w:tcPr>
                                <w:p w14:paraId="2C647277"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 </w:t>
                                  </w:r>
                                </w:p>
                              </w:tc>
                              <w:tc>
                                <w:tcPr>
                                  <w:tcW w:w="250" w:type="pct"/>
                                  <w:shd w:val="clear" w:color="auto" w:fill="auto"/>
                                  <w:vAlign w:val="center"/>
                                  <w:hideMark/>
                                </w:tcPr>
                                <w:p w14:paraId="24880597"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AA-</w:t>
                                  </w:r>
                                </w:p>
                              </w:tc>
                              <w:tc>
                                <w:tcPr>
                                  <w:tcW w:w="135" w:type="pct"/>
                                  <w:shd w:val="clear" w:color="auto" w:fill="auto"/>
                                  <w:vAlign w:val="center"/>
                                  <w:hideMark/>
                                </w:tcPr>
                                <w:p w14:paraId="114B3AD7"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w:t>
                                  </w:r>
                                </w:p>
                              </w:tc>
                              <w:tc>
                                <w:tcPr>
                                  <w:tcW w:w="250" w:type="pct"/>
                                  <w:shd w:val="clear" w:color="auto" w:fill="auto"/>
                                  <w:vAlign w:val="center"/>
                                  <w:hideMark/>
                                </w:tcPr>
                                <w:p w14:paraId="0E1CFA70"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AA-</w:t>
                                  </w:r>
                                </w:p>
                              </w:tc>
                              <w:tc>
                                <w:tcPr>
                                  <w:tcW w:w="250" w:type="pct"/>
                                  <w:shd w:val="clear" w:color="auto" w:fill="auto"/>
                                  <w:vAlign w:val="center"/>
                                  <w:hideMark/>
                                </w:tcPr>
                                <w:p w14:paraId="08C0543C"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AA-</w:t>
                                  </w:r>
                                </w:p>
                              </w:tc>
                              <w:tc>
                                <w:tcPr>
                                  <w:tcW w:w="135" w:type="pct"/>
                                  <w:shd w:val="clear" w:color="auto" w:fill="auto"/>
                                  <w:vAlign w:val="center"/>
                                  <w:hideMark/>
                                </w:tcPr>
                                <w:p w14:paraId="556C4874"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w:t>
                                  </w:r>
                                </w:p>
                              </w:tc>
                              <w:tc>
                                <w:tcPr>
                                  <w:tcW w:w="250" w:type="pct"/>
                                  <w:shd w:val="clear" w:color="auto" w:fill="auto"/>
                                  <w:vAlign w:val="center"/>
                                  <w:hideMark/>
                                </w:tcPr>
                                <w:p w14:paraId="36246EFF"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 </w:t>
                                  </w:r>
                                </w:p>
                              </w:tc>
                            </w:tr>
                            <w:tr w:rsidR="00E0697C" w:rsidRPr="00222FAF" w14:paraId="5143F5B5" w14:textId="77777777" w:rsidTr="00C903F3">
                              <w:trPr>
                                <w:trHeight w:val="58"/>
                              </w:trPr>
                              <w:tc>
                                <w:tcPr>
                                  <w:tcW w:w="425" w:type="pct"/>
                                  <w:shd w:val="clear" w:color="auto" w:fill="auto"/>
                                  <w:vAlign w:val="center"/>
                                  <w:hideMark/>
                                </w:tcPr>
                                <w:p w14:paraId="07EB29E1" w14:textId="77777777" w:rsidR="002B6B23" w:rsidRPr="00222FAF" w:rsidRDefault="002B6B23" w:rsidP="00222FAF">
                                  <w:pPr>
                                    <w:spacing w:after="0"/>
                                    <w:jc w:val="center"/>
                                    <w:rPr>
                                      <w:rFonts w:ascii="Calibri" w:eastAsia="Times New Roman" w:hAnsi="Calibri" w:cs="Calibri"/>
                                      <w:b/>
                                      <w:bCs/>
                                      <w:color w:val="auto"/>
                                      <w:sz w:val="16"/>
                                      <w:szCs w:val="16"/>
                                      <w:lang w:eastAsia="cs-CZ"/>
                                    </w:rPr>
                                  </w:pPr>
                                  <w:r w:rsidRPr="00222FAF">
                                    <w:rPr>
                                      <w:rFonts w:ascii="Calibri" w:eastAsia="Times New Roman" w:hAnsi="Calibri" w:cs="Calibri"/>
                                      <w:b/>
                                      <w:bCs/>
                                      <w:color w:val="auto"/>
                                      <w:sz w:val="16"/>
                                      <w:szCs w:val="16"/>
                                      <w:lang w:eastAsia="cs-CZ"/>
                                    </w:rPr>
                                    <w:t>Fitch</w:t>
                                  </w:r>
                                </w:p>
                              </w:tc>
                              <w:tc>
                                <w:tcPr>
                                  <w:tcW w:w="89" w:type="pct"/>
                                  <w:shd w:val="clear" w:color="auto" w:fill="auto"/>
                                  <w:vAlign w:val="center"/>
                                  <w:hideMark/>
                                </w:tcPr>
                                <w:p w14:paraId="63B2554F"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w:t>
                                  </w:r>
                                </w:p>
                              </w:tc>
                              <w:tc>
                                <w:tcPr>
                                  <w:tcW w:w="251" w:type="pct"/>
                                  <w:shd w:val="clear" w:color="auto" w:fill="auto"/>
                                  <w:vAlign w:val="center"/>
                                  <w:hideMark/>
                                </w:tcPr>
                                <w:p w14:paraId="4B7F96DC"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w:t>
                                  </w:r>
                                </w:p>
                              </w:tc>
                              <w:tc>
                                <w:tcPr>
                                  <w:tcW w:w="259" w:type="pct"/>
                                  <w:shd w:val="clear" w:color="auto" w:fill="auto"/>
                                  <w:vAlign w:val="center"/>
                                  <w:hideMark/>
                                </w:tcPr>
                                <w:p w14:paraId="78CB439F"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w:t>
                                  </w:r>
                                </w:p>
                              </w:tc>
                              <w:tc>
                                <w:tcPr>
                                  <w:tcW w:w="251" w:type="pct"/>
                                  <w:shd w:val="clear" w:color="auto" w:fill="auto"/>
                                  <w:vAlign w:val="center"/>
                                  <w:hideMark/>
                                </w:tcPr>
                                <w:p w14:paraId="28EE1277"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A-</w:t>
                                  </w:r>
                                </w:p>
                              </w:tc>
                              <w:tc>
                                <w:tcPr>
                                  <w:tcW w:w="136" w:type="pct"/>
                                  <w:shd w:val="clear" w:color="auto" w:fill="auto"/>
                                  <w:vAlign w:val="center"/>
                                  <w:hideMark/>
                                </w:tcPr>
                                <w:p w14:paraId="504721B1"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w:t>
                                  </w:r>
                                </w:p>
                              </w:tc>
                              <w:tc>
                                <w:tcPr>
                                  <w:tcW w:w="259" w:type="pct"/>
                                  <w:shd w:val="clear" w:color="auto" w:fill="auto"/>
                                  <w:vAlign w:val="center"/>
                                  <w:hideMark/>
                                </w:tcPr>
                                <w:p w14:paraId="53E4618F"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BBB+</w:t>
                                  </w:r>
                                </w:p>
                              </w:tc>
                              <w:tc>
                                <w:tcPr>
                                  <w:tcW w:w="259" w:type="pct"/>
                                  <w:shd w:val="clear" w:color="auto" w:fill="auto"/>
                                  <w:vAlign w:val="center"/>
                                  <w:hideMark/>
                                </w:tcPr>
                                <w:p w14:paraId="7B7F981E"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BBB+</w:t>
                                  </w:r>
                                </w:p>
                              </w:tc>
                              <w:tc>
                                <w:tcPr>
                                  <w:tcW w:w="135" w:type="pct"/>
                                  <w:shd w:val="clear" w:color="auto" w:fill="auto"/>
                                  <w:vAlign w:val="center"/>
                                  <w:hideMark/>
                                </w:tcPr>
                                <w:p w14:paraId="68FBA9B0"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w:t>
                                  </w:r>
                                </w:p>
                              </w:tc>
                              <w:tc>
                                <w:tcPr>
                                  <w:tcW w:w="259" w:type="pct"/>
                                  <w:shd w:val="clear" w:color="auto" w:fill="auto"/>
                                  <w:vAlign w:val="center"/>
                                  <w:hideMark/>
                                </w:tcPr>
                                <w:p w14:paraId="19A9A945"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BBB+</w:t>
                                  </w:r>
                                </w:p>
                              </w:tc>
                              <w:tc>
                                <w:tcPr>
                                  <w:tcW w:w="250" w:type="pct"/>
                                  <w:shd w:val="clear" w:color="auto" w:fill="auto"/>
                                  <w:vAlign w:val="center"/>
                                  <w:hideMark/>
                                </w:tcPr>
                                <w:p w14:paraId="1CCF77DD"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A-</w:t>
                                  </w:r>
                                </w:p>
                              </w:tc>
                              <w:tc>
                                <w:tcPr>
                                  <w:tcW w:w="135" w:type="pct"/>
                                  <w:shd w:val="clear" w:color="auto" w:fill="auto"/>
                                  <w:vAlign w:val="center"/>
                                  <w:hideMark/>
                                </w:tcPr>
                                <w:p w14:paraId="5E360AD0"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w:t>
                                  </w:r>
                                </w:p>
                              </w:tc>
                              <w:tc>
                                <w:tcPr>
                                  <w:tcW w:w="250" w:type="pct"/>
                                  <w:shd w:val="clear" w:color="auto" w:fill="auto"/>
                                  <w:vAlign w:val="center"/>
                                  <w:hideMark/>
                                </w:tcPr>
                                <w:p w14:paraId="5A49A9DF"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A</w:t>
                                  </w:r>
                                </w:p>
                              </w:tc>
                              <w:tc>
                                <w:tcPr>
                                  <w:tcW w:w="135" w:type="pct"/>
                                  <w:shd w:val="clear" w:color="auto" w:fill="auto"/>
                                  <w:vAlign w:val="center"/>
                                  <w:hideMark/>
                                </w:tcPr>
                                <w:p w14:paraId="5706C7D2"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w:t>
                                  </w:r>
                                </w:p>
                              </w:tc>
                              <w:tc>
                                <w:tcPr>
                                  <w:tcW w:w="250" w:type="pct"/>
                                  <w:shd w:val="clear" w:color="auto" w:fill="auto"/>
                                  <w:vAlign w:val="center"/>
                                  <w:hideMark/>
                                </w:tcPr>
                                <w:p w14:paraId="3A2CAE23"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A</w:t>
                                  </w:r>
                                </w:p>
                              </w:tc>
                              <w:tc>
                                <w:tcPr>
                                  <w:tcW w:w="250" w:type="pct"/>
                                  <w:shd w:val="clear" w:color="auto" w:fill="auto"/>
                                  <w:vAlign w:val="center"/>
                                  <w:hideMark/>
                                </w:tcPr>
                                <w:p w14:paraId="5F214F4D"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A+</w:t>
                                  </w:r>
                                </w:p>
                              </w:tc>
                              <w:tc>
                                <w:tcPr>
                                  <w:tcW w:w="135" w:type="pct"/>
                                  <w:shd w:val="clear" w:color="auto" w:fill="auto"/>
                                  <w:vAlign w:val="center"/>
                                  <w:hideMark/>
                                </w:tcPr>
                                <w:p w14:paraId="1BEC2DF8"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 </w:t>
                                  </w:r>
                                </w:p>
                              </w:tc>
                              <w:tc>
                                <w:tcPr>
                                  <w:tcW w:w="250" w:type="pct"/>
                                  <w:shd w:val="clear" w:color="auto" w:fill="auto"/>
                                  <w:vAlign w:val="center"/>
                                  <w:hideMark/>
                                </w:tcPr>
                                <w:p w14:paraId="4EAC3346"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A+</w:t>
                                  </w:r>
                                </w:p>
                              </w:tc>
                              <w:tc>
                                <w:tcPr>
                                  <w:tcW w:w="135" w:type="pct"/>
                                  <w:shd w:val="clear" w:color="auto" w:fill="auto"/>
                                  <w:vAlign w:val="center"/>
                                  <w:hideMark/>
                                </w:tcPr>
                                <w:p w14:paraId="3F37D667"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w:t>
                                  </w:r>
                                </w:p>
                              </w:tc>
                              <w:tc>
                                <w:tcPr>
                                  <w:tcW w:w="250" w:type="pct"/>
                                  <w:shd w:val="clear" w:color="auto" w:fill="auto"/>
                                  <w:vAlign w:val="center"/>
                                  <w:hideMark/>
                                </w:tcPr>
                                <w:p w14:paraId="5C28FC51"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AA-</w:t>
                                  </w:r>
                                </w:p>
                              </w:tc>
                              <w:tc>
                                <w:tcPr>
                                  <w:tcW w:w="250" w:type="pct"/>
                                  <w:shd w:val="clear" w:color="auto" w:fill="auto"/>
                                  <w:vAlign w:val="center"/>
                                  <w:hideMark/>
                                </w:tcPr>
                                <w:p w14:paraId="2B649388"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AA-</w:t>
                                  </w:r>
                                </w:p>
                              </w:tc>
                              <w:tc>
                                <w:tcPr>
                                  <w:tcW w:w="135" w:type="pct"/>
                                  <w:shd w:val="clear" w:color="auto" w:fill="auto"/>
                                  <w:vAlign w:val="center"/>
                                  <w:hideMark/>
                                </w:tcPr>
                                <w:p w14:paraId="4C7C95A8"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w:t>
                                  </w:r>
                                </w:p>
                              </w:tc>
                              <w:tc>
                                <w:tcPr>
                                  <w:tcW w:w="250" w:type="pct"/>
                                  <w:shd w:val="clear" w:color="auto" w:fill="auto"/>
                                  <w:vAlign w:val="center"/>
                                  <w:hideMark/>
                                </w:tcPr>
                                <w:p w14:paraId="62863249"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AA-</w:t>
                                  </w:r>
                                </w:p>
                              </w:tc>
                            </w:tr>
                          </w:tbl>
                          <w:p w14:paraId="3735FCC4" w14:textId="77777777" w:rsidR="002B6B23" w:rsidRPr="007C3EDA" w:rsidRDefault="002B6B23" w:rsidP="002B6B23">
                            <w:pPr>
                              <w:widowControl w:val="0"/>
                              <w:pBdr>
                                <w:top w:val="single" w:sz="4" w:space="1" w:color="auto"/>
                              </w:pBdr>
                              <w:spacing w:after="0"/>
                              <w:rPr>
                                <w:kern w:val="2"/>
                                <w:sz w:val="16"/>
                                <w:szCs w:val="16"/>
                              </w:rPr>
                            </w:pPr>
                            <w:r w:rsidRPr="007C3EDA">
                              <w:rPr>
                                <w:kern w:val="2"/>
                                <w:sz w:val="16"/>
                                <w:szCs w:val="16"/>
                              </w:rPr>
                              <w:t xml:space="preserve">Pramen: ČNB: </w:t>
                            </w:r>
                            <w:hyperlink r:id="rId56" w:history="1">
                              <w:r w:rsidRPr="007C3EDA">
                                <w:rPr>
                                  <w:rStyle w:val="Hypertextovodkaz"/>
                                  <w:kern w:val="2"/>
                                  <w:sz w:val="16"/>
                                  <w:szCs w:val="16"/>
                                </w:rPr>
                                <w:t>https://www.cnb.cz/cs/o_cnb/mezinarodni-vztahy/srovnavaci-tabulka/</w:t>
                              </w:r>
                            </w:hyperlink>
                          </w:p>
                          <w:p w14:paraId="2D2EC724" w14:textId="77777777" w:rsidR="002B6B23" w:rsidRPr="00C81344" w:rsidRDefault="002B6B23" w:rsidP="002B6B23">
                            <w:pPr>
                              <w:widowControl w:val="0"/>
                              <w:pBdr>
                                <w:top w:val="single" w:sz="4" w:space="1" w:color="auto"/>
                              </w:pBdr>
                              <w:spacing w:after="0"/>
                              <w:rPr>
                                <w:color w:val="auto"/>
                                <w:kern w:val="2"/>
                                <w:sz w:val="16"/>
                                <w:szCs w:val="16"/>
                              </w:rPr>
                            </w:pPr>
                            <w:r w:rsidRPr="007C3EDA">
                              <w:rPr>
                                <w:kern w:val="2"/>
                                <w:sz w:val="16"/>
                                <w:szCs w:val="16"/>
                              </w:rPr>
                              <w:t>Pozn.: tři tečky znamenají sta</w:t>
                            </w:r>
                            <w:r w:rsidRPr="00C81344">
                              <w:rPr>
                                <w:color w:val="auto"/>
                                <w:kern w:val="2"/>
                                <w:sz w:val="16"/>
                                <w:szCs w:val="16"/>
                              </w:rPr>
                              <w:t>bilitu ratingu</w:t>
                            </w:r>
                          </w:p>
                        </w:txbxContent>
                      </wps:txbx>
                      <wps:bodyPr rot="0" vert="horz" wrap="square" lIns="0" tIns="0" rIns="0" bIns="0" anchor="t" anchorCtr="0">
                        <a:spAutoFit/>
                      </wps:bodyPr>
                    </wps:wsp>
                  </a:graphicData>
                </a:graphic>
                <wp14:sizeRelH relativeFrom="margin">
                  <wp14:pctWidth>0</wp14:pctWidth>
                </wp14:sizeRelH>
                <wp14:sizeRelV relativeFrom="margin">
                  <wp14:pctHeight>0</wp14:pctHeight>
                </wp14:sizeRelV>
              </wp:anchor>
            </w:drawing>
          </mc:Choice>
          <mc:Fallback>
            <w:pict>
              <v:shape w14:anchorId="21DCA869" id="_x0000_s1067" type="#_x0000_t202" style="position:absolute;left:0;text-align:left;margin-left:-.2pt;margin-top:99.85pt;width:496.2pt;height:79.1pt;z-index:251830272;visibility:visible;mso-wrap-style:square;mso-width-percent:0;mso-height-percent:0;mso-wrap-distance-left:9pt;mso-wrap-distance-top:11.9pt;mso-wrap-distance-right:9pt;mso-wrap-distance-bottom:11.9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" filled="f" stroked="f">
                <v:textbox style="mso-fit-shape-to-text:t" inset="0,0,0,0">
                  <w:txbxContent>
                    <w:p w14:paraId="5E414350" w14:textId="77777777" w:rsidR="002B6B23" w:rsidRPr="007C3EDA" w:rsidRDefault="002B6B23" w:rsidP="002B6B23">
                      <w:pPr>
                        <w:pStyle w:val="Bezmezer"/>
                        <w:keepNext/>
                        <w:widowControl w:val="0"/>
                        <w:pBdr>
                          <w:bottom w:val="single" w:sz="4" w:space="1" w:color="auto"/>
                        </w:pBdr>
                        <w:rPr>
                          <w:b/>
                          <w:bCs/>
                          <w:kern w:val="2"/>
                          <w:szCs w:val="16"/>
                        </w:rPr>
                      </w:pPr>
                      <w:r w:rsidRPr="007C3EDA">
                        <w:rPr>
                          <w:b/>
                          <w:bCs/>
                          <w:kern w:val="2"/>
                          <w:szCs w:val="16"/>
                        </w:rPr>
                        <w:t>Rating České republiky pro dlouhodobé závazky v zahraniční měně dle jednotlivých agentur</w:t>
                      </w:r>
                    </w:p>
                    <w:tbl>
                      <w:tblPr>
                        <w:tblW w:w="5000" w:type="pct"/>
                        <w:tblBorders>
                          <w:top w:val="single" w:sz="4" w:space="0" w:color="FFFFFF"/>
                          <w:left w:val="single" w:sz="4" w:space="0" w:color="FFFFFF"/>
                          <w:bottom w:val="single" w:sz="4" w:space="0" w:color="FFFFFF"/>
                          <w:right w:val="single" w:sz="4" w:space="0" w:color="FFFFFF"/>
                          <w:insideH w:val="single" w:sz="4" w:space="0" w:color="auto"/>
                          <w:insideV w:val="single" w:sz="4" w:space="0" w:color="FFFFFF"/>
                        </w:tblBorders>
                        <w:tblCellMar>
                          <w:left w:w="70" w:type="dxa"/>
                          <w:right w:w="70" w:type="dxa"/>
                        </w:tblCellMar>
                        <w:tblLook w:val="04A0" w:firstRow="1" w:lastRow="0" w:firstColumn="1" w:lastColumn="0" w:noHBand="0" w:noVBand="1"/>
                      </w:tblPr>
                      <w:tblGrid>
                        <w:gridCol w:w="829"/>
                        <w:gridCol w:w="465"/>
                        <w:gridCol w:w="484"/>
                        <w:gridCol w:w="500"/>
                        <w:gridCol w:w="484"/>
                        <w:gridCol w:w="256"/>
                        <w:gridCol w:w="501"/>
                        <w:gridCol w:w="501"/>
                        <w:gridCol w:w="255"/>
                        <w:gridCol w:w="501"/>
                        <w:gridCol w:w="483"/>
                        <w:gridCol w:w="255"/>
                        <w:gridCol w:w="483"/>
                        <w:gridCol w:w="255"/>
                        <w:gridCol w:w="483"/>
                        <w:gridCol w:w="483"/>
                        <w:gridCol w:w="255"/>
                        <w:gridCol w:w="483"/>
                        <w:gridCol w:w="255"/>
                        <w:gridCol w:w="483"/>
                        <w:gridCol w:w="483"/>
                        <w:gridCol w:w="255"/>
                        <w:gridCol w:w="483"/>
                      </w:tblGrid>
                      <w:tr w:rsidR="00E0697C" w:rsidRPr="00222FAF" w14:paraId="7FF84F86" w14:textId="77777777" w:rsidTr="0091394A">
                        <w:trPr>
                          <w:trHeight w:val="216"/>
                        </w:trPr>
                        <w:tc>
                          <w:tcPr>
                            <w:tcW w:w="425" w:type="pct"/>
                            <w:shd w:val="clear" w:color="auto" w:fill="auto"/>
                            <w:vAlign w:val="center"/>
                            <w:hideMark/>
                          </w:tcPr>
                          <w:p w14:paraId="08C04595" w14:textId="77777777" w:rsidR="002B6B23" w:rsidRPr="00222FAF" w:rsidRDefault="002B6B23" w:rsidP="00222FAF">
                            <w:pPr>
                              <w:spacing w:after="0"/>
                              <w:jc w:val="center"/>
                              <w:rPr>
                                <w:rFonts w:ascii="Calibri" w:eastAsia="Times New Roman" w:hAnsi="Calibri" w:cs="Calibri"/>
                                <w:b/>
                                <w:bCs/>
                                <w:color w:val="auto"/>
                                <w:sz w:val="16"/>
                                <w:szCs w:val="16"/>
                                <w:lang w:eastAsia="cs-CZ"/>
                              </w:rPr>
                            </w:pPr>
                            <w:r w:rsidRPr="00222FAF">
                              <w:rPr>
                                <w:rFonts w:ascii="Calibri" w:eastAsia="Times New Roman" w:hAnsi="Calibri" w:cs="Calibri"/>
                                <w:b/>
                                <w:bCs/>
                                <w:color w:val="auto"/>
                                <w:sz w:val="16"/>
                                <w:szCs w:val="16"/>
                                <w:lang w:eastAsia="cs-CZ"/>
                              </w:rPr>
                              <w:t> </w:t>
                            </w:r>
                          </w:p>
                        </w:tc>
                        <w:tc>
                          <w:tcPr>
                            <w:tcW w:w="89" w:type="pct"/>
                            <w:shd w:val="clear" w:color="auto" w:fill="auto"/>
                            <w:vAlign w:val="center"/>
                            <w:hideMark/>
                          </w:tcPr>
                          <w:p w14:paraId="533A1FB9" w14:textId="77777777" w:rsidR="002B6B23" w:rsidRPr="00011B6E" w:rsidRDefault="002B6B23" w:rsidP="00222FAF">
                            <w:pPr>
                              <w:spacing w:after="0"/>
                              <w:jc w:val="right"/>
                              <w:rPr>
                                <w:rFonts w:ascii="Calibri" w:eastAsia="Times New Roman" w:hAnsi="Calibri" w:cs="Calibri"/>
                                <w:b/>
                                <w:bCs/>
                                <w:color w:val="auto"/>
                                <w:sz w:val="16"/>
                                <w:szCs w:val="16"/>
                                <w:lang w:eastAsia="cs-CZ"/>
                              </w:rPr>
                            </w:pPr>
                            <w:r w:rsidRPr="00011B6E">
                              <w:rPr>
                                <w:rFonts w:ascii="Calibri" w:eastAsia="Times New Roman" w:hAnsi="Calibri" w:cs="Calibri"/>
                                <w:b/>
                                <w:bCs/>
                                <w:color w:val="auto"/>
                                <w:sz w:val="16"/>
                                <w:szCs w:val="16"/>
                                <w:lang w:eastAsia="cs-CZ"/>
                              </w:rPr>
                              <w:t>1992</w:t>
                            </w:r>
                          </w:p>
                        </w:tc>
                        <w:tc>
                          <w:tcPr>
                            <w:tcW w:w="251" w:type="pct"/>
                            <w:shd w:val="clear" w:color="auto" w:fill="auto"/>
                            <w:vAlign w:val="center"/>
                            <w:hideMark/>
                          </w:tcPr>
                          <w:p w14:paraId="77DFD7B1" w14:textId="77777777" w:rsidR="002B6B23" w:rsidRPr="00011B6E" w:rsidRDefault="002B6B23" w:rsidP="00222FAF">
                            <w:pPr>
                              <w:spacing w:after="0"/>
                              <w:jc w:val="right"/>
                              <w:rPr>
                                <w:rFonts w:ascii="Calibri" w:eastAsia="Times New Roman" w:hAnsi="Calibri" w:cs="Calibri"/>
                                <w:b/>
                                <w:bCs/>
                                <w:color w:val="auto"/>
                                <w:sz w:val="16"/>
                                <w:szCs w:val="16"/>
                                <w:lang w:eastAsia="cs-CZ"/>
                              </w:rPr>
                            </w:pPr>
                            <w:r w:rsidRPr="00011B6E">
                              <w:rPr>
                                <w:rFonts w:ascii="Calibri" w:eastAsia="Times New Roman" w:hAnsi="Calibri" w:cs="Calibri"/>
                                <w:b/>
                                <w:bCs/>
                                <w:color w:val="auto"/>
                                <w:sz w:val="16"/>
                                <w:szCs w:val="16"/>
                                <w:lang w:eastAsia="cs-CZ"/>
                              </w:rPr>
                              <w:t>1993</w:t>
                            </w:r>
                          </w:p>
                        </w:tc>
                        <w:tc>
                          <w:tcPr>
                            <w:tcW w:w="259" w:type="pct"/>
                            <w:shd w:val="clear" w:color="auto" w:fill="auto"/>
                            <w:vAlign w:val="center"/>
                            <w:hideMark/>
                          </w:tcPr>
                          <w:p w14:paraId="6162992F" w14:textId="77777777" w:rsidR="002B6B23" w:rsidRPr="00011B6E" w:rsidRDefault="002B6B23" w:rsidP="00222FAF">
                            <w:pPr>
                              <w:spacing w:after="0"/>
                              <w:jc w:val="right"/>
                              <w:rPr>
                                <w:rFonts w:ascii="Calibri" w:eastAsia="Times New Roman" w:hAnsi="Calibri" w:cs="Calibri"/>
                                <w:b/>
                                <w:bCs/>
                                <w:color w:val="auto"/>
                                <w:sz w:val="16"/>
                                <w:szCs w:val="16"/>
                                <w:lang w:eastAsia="cs-CZ"/>
                              </w:rPr>
                            </w:pPr>
                            <w:r w:rsidRPr="00011B6E">
                              <w:rPr>
                                <w:rFonts w:ascii="Calibri" w:eastAsia="Times New Roman" w:hAnsi="Calibri" w:cs="Calibri"/>
                                <w:b/>
                                <w:bCs/>
                                <w:color w:val="auto"/>
                                <w:sz w:val="16"/>
                                <w:szCs w:val="16"/>
                                <w:lang w:eastAsia="cs-CZ"/>
                              </w:rPr>
                              <w:t>1994</w:t>
                            </w:r>
                          </w:p>
                        </w:tc>
                        <w:tc>
                          <w:tcPr>
                            <w:tcW w:w="251" w:type="pct"/>
                            <w:shd w:val="clear" w:color="auto" w:fill="auto"/>
                            <w:vAlign w:val="center"/>
                            <w:hideMark/>
                          </w:tcPr>
                          <w:p w14:paraId="1E9B91E5" w14:textId="77777777" w:rsidR="002B6B23" w:rsidRPr="00011B6E" w:rsidRDefault="002B6B23" w:rsidP="00222FAF">
                            <w:pPr>
                              <w:spacing w:after="0"/>
                              <w:jc w:val="right"/>
                              <w:rPr>
                                <w:rFonts w:ascii="Calibri" w:eastAsia="Times New Roman" w:hAnsi="Calibri" w:cs="Calibri"/>
                                <w:b/>
                                <w:bCs/>
                                <w:color w:val="auto"/>
                                <w:sz w:val="16"/>
                                <w:szCs w:val="16"/>
                                <w:lang w:eastAsia="cs-CZ"/>
                              </w:rPr>
                            </w:pPr>
                            <w:r w:rsidRPr="00011B6E">
                              <w:rPr>
                                <w:rFonts w:ascii="Calibri" w:eastAsia="Times New Roman" w:hAnsi="Calibri" w:cs="Calibri"/>
                                <w:b/>
                                <w:bCs/>
                                <w:color w:val="auto"/>
                                <w:sz w:val="16"/>
                                <w:szCs w:val="16"/>
                                <w:lang w:eastAsia="cs-CZ"/>
                              </w:rPr>
                              <w:t>1995</w:t>
                            </w:r>
                          </w:p>
                        </w:tc>
                        <w:tc>
                          <w:tcPr>
                            <w:tcW w:w="136" w:type="pct"/>
                            <w:shd w:val="clear" w:color="auto" w:fill="auto"/>
                            <w:vAlign w:val="center"/>
                            <w:hideMark/>
                          </w:tcPr>
                          <w:p w14:paraId="5138AE4B" w14:textId="77777777" w:rsidR="002B6B23" w:rsidRPr="00011B6E" w:rsidRDefault="002B6B23" w:rsidP="00222FAF">
                            <w:pPr>
                              <w:spacing w:after="0"/>
                              <w:jc w:val="left"/>
                              <w:rPr>
                                <w:rFonts w:ascii="Calibri" w:eastAsia="Times New Roman" w:hAnsi="Calibri" w:cs="Calibri"/>
                                <w:b/>
                                <w:bCs/>
                                <w:color w:val="auto"/>
                                <w:sz w:val="16"/>
                                <w:szCs w:val="16"/>
                                <w:lang w:eastAsia="cs-CZ"/>
                              </w:rPr>
                            </w:pPr>
                            <w:r w:rsidRPr="00011B6E">
                              <w:rPr>
                                <w:rFonts w:ascii="Calibri" w:eastAsia="Times New Roman" w:hAnsi="Calibri" w:cs="Calibri"/>
                                <w:b/>
                                <w:bCs/>
                                <w:color w:val="auto"/>
                                <w:sz w:val="16"/>
                                <w:szCs w:val="16"/>
                                <w:lang w:eastAsia="cs-CZ"/>
                              </w:rPr>
                              <w:t>…</w:t>
                            </w:r>
                          </w:p>
                        </w:tc>
                        <w:tc>
                          <w:tcPr>
                            <w:tcW w:w="259" w:type="pct"/>
                            <w:shd w:val="clear" w:color="auto" w:fill="auto"/>
                            <w:vAlign w:val="center"/>
                            <w:hideMark/>
                          </w:tcPr>
                          <w:p w14:paraId="0683649E" w14:textId="77777777" w:rsidR="002B6B23" w:rsidRPr="00011B6E" w:rsidRDefault="002B6B23" w:rsidP="00222FAF">
                            <w:pPr>
                              <w:spacing w:after="0"/>
                              <w:jc w:val="right"/>
                              <w:rPr>
                                <w:rFonts w:ascii="Calibri" w:eastAsia="Times New Roman" w:hAnsi="Calibri" w:cs="Calibri"/>
                                <w:b/>
                                <w:bCs/>
                                <w:color w:val="auto"/>
                                <w:sz w:val="16"/>
                                <w:szCs w:val="16"/>
                                <w:lang w:eastAsia="cs-CZ"/>
                              </w:rPr>
                            </w:pPr>
                            <w:r w:rsidRPr="00011B6E">
                              <w:rPr>
                                <w:rFonts w:ascii="Calibri" w:eastAsia="Times New Roman" w:hAnsi="Calibri" w:cs="Calibri"/>
                                <w:b/>
                                <w:bCs/>
                                <w:color w:val="auto"/>
                                <w:sz w:val="16"/>
                                <w:szCs w:val="16"/>
                                <w:lang w:eastAsia="cs-CZ"/>
                              </w:rPr>
                              <w:t>1997</w:t>
                            </w:r>
                          </w:p>
                        </w:tc>
                        <w:tc>
                          <w:tcPr>
                            <w:tcW w:w="259" w:type="pct"/>
                            <w:shd w:val="clear" w:color="auto" w:fill="auto"/>
                            <w:vAlign w:val="center"/>
                            <w:hideMark/>
                          </w:tcPr>
                          <w:p w14:paraId="79B7AE0D" w14:textId="77777777" w:rsidR="002B6B23" w:rsidRPr="00011B6E" w:rsidRDefault="002B6B23" w:rsidP="00222FAF">
                            <w:pPr>
                              <w:spacing w:after="0"/>
                              <w:jc w:val="right"/>
                              <w:rPr>
                                <w:rFonts w:ascii="Calibri" w:eastAsia="Times New Roman" w:hAnsi="Calibri" w:cs="Calibri"/>
                                <w:b/>
                                <w:bCs/>
                                <w:color w:val="auto"/>
                                <w:sz w:val="16"/>
                                <w:szCs w:val="16"/>
                                <w:lang w:eastAsia="cs-CZ"/>
                              </w:rPr>
                            </w:pPr>
                            <w:r w:rsidRPr="00011B6E">
                              <w:rPr>
                                <w:rFonts w:ascii="Calibri" w:eastAsia="Times New Roman" w:hAnsi="Calibri" w:cs="Calibri"/>
                                <w:b/>
                                <w:bCs/>
                                <w:color w:val="auto"/>
                                <w:sz w:val="16"/>
                                <w:szCs w:val="16"/>
                                <w:lang w:eastAsia="cs-CZ"/>
                              </w:rPr>
                              <w:t>1998</w:t>
                            </w:r>
                          </w:p>
                        </w:tc>
                        <w:tc>
                          <w:tcPr>
                            <w:tcW w:w="135" w:type="pct"/>
                            <w:shd w:val="clear" w:color="auto" w:fill="auto"/>
                            <w:vAlign w:val="center"/>
                            <w:hideMark/>
                          </w:tcPr>
                          <w:p w14:paraId="169D32D1" w14:textId="77777777" w:rsidR="002B6B23" w:rsidRPr="00011B6E" w:rsidRDefault="002B6B23" w:rsidP="00222FAF">
                            <w:pPr>
                              <w:spacing w:after="0"/>
                              <w:jc w:val="left"/>
                              <w:rPr>
                                <w:rFonts w:ascii="Calibri" w:eastAsia="Times New Roman" w:hAnsi="Calibri" w:cs="Calibri"/>
                                <w:b/>
                                <w:bCs/>
                                <w:color w:val="auto"/>
                                <w:sz w:val="16"/>
                                <w:szCs w:val="16"/>
                                <w:lang w:eastAsia="cs-CZ"/>
                              </w:rPr>
                            </w:pPr>
                            <w:r w:rsidRPr="00011B6E">
                              <w:rPr>
                                <w:rFonts w:ascii="Calibri" w:eastAsia="Times New Roman" w:hAnsi="Calibri" w:cs="Calibri"/>
                                <w:b/>
                                <w:bCs/>
                                <w:color w:val="auto"/>
                                <w:sz w:val="16"/>
                                <w:szCs w:val="16"/>
                                <w:lang w:eastAsia="cs-CZ"/>
                              </w:rPr>
                              <w:t>…</w:t>
                            </w:r>
                          </w:p>
                        </w:tc>
                        <w:tc>
                          <w:tcPr>
                            <w:tcW w:w="259" w:type="pct"/>
                            <w:shd w:val="clear" w:color="auto" w:fill="auto"/>
                            <w:vAlign w:val="center"/>
                            <w:hideMark/>
                          </w:tcPr>
                          <w:p w14:paraId="27B34CC6" w14:textId="77777777" w:rsidR="002B6B23" w:rsidRPr="00011B6E" w:rsidRDefault="002B6B23" w:rsidP="00222FAF">
                            <w:pPr>
                              <w:spacing w:after="0"/>
                              <w:jc w:val="right"/>
                              <w:rPr>
                                <w:rFonts w:ascii="Calibri" w:eastAsia="Times New Roman" w:hAnsi="Calibri" w:cs="Calibri"/>
                                <w:b/>
                                <w:bCs/>
                                <w:color w:val="auto"/>
                                <w:sz w:val="16"/>
                                <w:szCs w:val="16"/>
                                <w:lang w:eastAsia="cs-CZ"/>
                              </w:rPr>
                            </w:pPr>
                            <w:r w:rsidRPr="00011B6E">
                              <w:rPr>
                                <w:rFonts w:ascii="Calibri" w:eastAsia="Times New Roman" w:hAnsi="Calibri" w:cs="Calibri"/>
                                <w:b/>
                                <w:bCs/>
                                <w:color w:val="auto"/>
                                <w:sz w:val="16"/>
                                <w:szCs w:val="16"/>
                                <w:lang w:eastAsia="cs-CZ"/>
                              </w:rPr>
                              <w:t>2002</w:t>
                            </w:r>
                          </w:p>
                        </w:tc>
                        <w:tc>
                          <w:tcPr>
                            <w:tcW w:w="250" w:type="pct"/>
                            <w:shd w:val="clear" w:color="auto" w:fill="auto"/>
                            <w:vAlign w:val="center"/>
                            <w:hideMark/>
                          </w:tcPr>
                          <w:p w14:paraId="24952165" w14:textId="77777777" w:rsidR="002B6B23" w:rsidRPr="00011B6E" w:rsidRDefault="002B6B23" w:rsidP="00222FAF">
                            <w:pPr>
                              <w:spacing w:after="0"/>
                              <w:jc w:val="right"/>
                              <w:rPr>
                                <w:rFonts w:ascii="Calibri" w:eastAsia="Times New Roman" w:hAnsi="Calibri" w:cs="Calibri"/>
                                <w:b/>
                                <w:bCs/>
                                <w:color w:val="auto"/>
                                <w:sz w:val="16"/>
                                <w:szCs w:val="16"/>
                                <w:lang w:eastAsia="cs-CZ"/>
                              </w:rPr>
                            </w:pPr>
                            <w:r w:rsidRPr="00011B6E">
                              <w:rPr>
                                <w:rFonts w:ascii="Calibri" w:eastAsia="Times New Roman" w:hAnsi="Calibri" w:cs="Calibri"/>
                                <w:b/>
                                <w:bCs/>
                                <w:color w:val="auto"/>
                                <w:sz w:val="16"/>
                                <w:szCs w:val="16"/>
                                <w:lang w:eastAsia="cs-CZ"/>
                              </w:rPr>
                              <w:t>2003</w:t>
                            </w:r>
                          </w:p>
                        </w:tc>
                        <w:tc>
                          <w:tcPr>
                            <w:tcW w:w="135" w:type="pct"/>
                            <w:shd w:val="clear" w:color="auto" w:fill="auto"/>
                            <w:vAlign w:val="center"/>
                            <w:hideMark/>
                          </w:tcPr>
                          <w:p w14:paraId="082EF4E3" w14:textId="77777777" w:rsidR="002B6B23" w:rsidRPr="00011B6E" w:rsidRDefault="002B6B23" w:rsidP="00222FAF">
                            <w:pPr>
                              <w:spacing w:after="0"/>
                              <w:jc w:val="left"/>
                              <w:rPr>
                                <w:rFonts w:ascii="Calibri" w:eastAsia="Times New Roman" w:hAnsi="Calibri" w:cs="Calibri"/>
                                <w:b/>
                                <w:bCs/>
                                <w:color w:val="auto"/>
                                <w:sz w:val="16"/>
                                <w:szCs w:val="16"/>
                                <w:lang w:eastAsia="cs-CZ"/>
                              </w:rPr>
                            </w:pPr>
                            <w:r w:rsidRPr="00011B6E">
                              <w:rPr>
                                <w:rFonts w:ascii="Calibri" w:eastAsia="Times New Roman" w:hAnsi="Calibri" w:cs="Calibri"/>
                                <w:b/>
                                <w:bCs/>
                                <w:color w:val="auto"/>
                                <w:sz w:val="16"/>
                                <w:szCs w:val="16"/>
                                <w:lang w:eastAsia="cs-CZ"/>
                              </w:rPr>
                              <w:t>…</w:t>
                            </w:r>
                          </w:p>
                        </w:tc>
                        <w:tc>
                          <w:tcPr>
                            <w:tcW w:w="250" w:type="pct"/>
                            <w:shd w:val="clear" w:color="auto" w:fill="auto"/>
                            <w:vAlign w:val="center"/>
                            <w:hideMark/>
                          </w:tcPr>
                          <w:p w14:paraId="0C75701A" w14:textId="77777777" w:rsidR="002B6B23" w:rsidRPr="00011B6E" w:rsidRDefault="002B6B23" w:rsidP="00222FAF">
                            <w:pPr>
                              <w:spacing w:after="0"/>
                              <w:jc w:val="right"/>
                              <w:rPr>
                                <w:rFonts w:ascii="Calibri" w:eastAsia="Times New Roman" w:hAnsi="Calibri" w:cs="Calibri"/>
                                <w:b/>
                                <w:bCs/>
                                <w:color w:val="auto"/>
                                <w:sz w:val="16"/>
                                <w:szCs w:val="16"/>
                                <w:lang w:eastAsia="cs-CZ"/>
                              </w:rPr>
                            </w:pPr>
                            <w:r w:rsidRPr="00011B6E">
                              <w:rPr>
                                <w:rFonts w:ascii="Calibri" w:eastAsia="Times New Roman" w:hAnsi="Calibri" w:cs="Calibri"/>
                                <w:b/>
                                <w:bCs/>
                                <w:color w:val="auto"/>
                                <w:sz w:val="16"/>
                                <w:szCs w:val="16"/>
                                <w:lang w:eastAsia="cs-CZ"/>
                              </w:rPr>
                              <w:t>2005</w:t>
                            </w:r>
                          </w:p>
                        </w:tc>
                        <w:tc>
                          <w:tcPr>
                            <w:tcW w:w="135" w:type="pct"/>
                            <w:shd w:val="clear" w:color="auto" w:fill="auto"/>
                            <w:vAlign w:val="center"/>
                            <w:hideMark/>
                          </w:tcPr>
                          <w:p w14:paraId="105A3B70" w14:textId="77777777" w:rsidR="002B6B23" w:rsidRPr="00011B6E" w:rsidRDefault="002B6B23" w:rsidP="00222FAF">
                            <w:pPr>
                              <w:spacing w:after="0"/>
                              <w:jc w:val="left"/>
                              <w:rPr>
                                <w:rFonts w:ascii="Calibri" w:eastAsia="Times New Roman" w:hAnsi="Calibri" w:cs="Calibri"/>
                                <w:b/>
                                <w:bCs/>
                                <w:color w:val="auto"/>
                                <w:sz w:val="16"/>
                                <w:szCs w:val="16"/>
                                <w:lang w:eastAsia="cs-CZ"/>
                              </w:rPr>
                            </w:pPr>
                            <w:r w:rsidRPr="00011B6E">
                              <w:rPr>
                                <w:rFonts w:ascii="Calibri" w:eastAsia="Times New Roman" w:hAnsi="Calibri" w:cs="Calibri"/>
                                <w:b/>
                                <w:bCs/>
                                <w:color w:val="auto"/>
                                <w:sz w:val="16"/>
                                <w:szCs w:val="16"/>
                                <w:lang w:eastAsia="cs-CZ"/>
                              </w:rPr>
                              <w:t>…</w:t>
                            </w:r>
                          </w:p>
                        </w:tc>
                        <w:tc>
                          <w:tcPr>
                            <w:tcW w:w="250" w:type="pct"/>
                            <w:shd w:val="clear" w:color="auto" w:fill="auto"/>
                            <w:vAlign w:val="center"/>
                            <w:hideMark/>
                          </w:tcPr>
                          <w:p w14:paraId="70A6EEAF" w14:textId="77777777" w:rsidR="002B6B23" w:rsidRPr="00011B6E" w:rsidRDefault="002B6B23" w:rsidP="00222FAF">
                            <w:pPr>
                              <w:spacing w:after="0"/>
                              <w:jc w:val="right"/>
                              <w:rPr>
                                <w:rFonts w:ascii="Calibri" w:eastAsia="Times New Roman" w:hAnsi="Calibri" w:cs="Calibri"/>
                                <w:b/>
                                <w:bCs/>
                                <w:color w:val="auto"/>
                                <w:sz w:val="16"/>
                                <w:szCs w:val="16"/>
                                <w:lang w:eastAsia="cs-CZ"/>
                              </w:rPr>
                            </w:pPr>
                            <w:r w:rsidRPr="00011B6E">
                              <w:rPr>
                                <w:rFonts w:ascii="Calibri" w:eastAsia="Times New Roman" w:hAnsi="Calibri" w:cs="Calibri"/>
                                <w:b/>
                                <w:bCs/>
                                <w:color w:val="auto"/>
                                <w:sz w:val="16"/>
                                <w:szCs w:val="16"/>
                                <w:lang w:eastAsia="cs-CZ"/>
                              </w:rPr>
                              <w:t>2007</w:t>
                            </w:r>
                          </w:p>
                        </w:tc>
                        <w:tc>
                          <w:tcPr>
                            <w:tcW w:w="250" w:type="pct"/>
                            <w:shd w:val="clear" w:color="auto" w:fill="auto"/>
                            <w:vAlign w:val="center"/>
                            <w:hideMark/>
                          </w:tcPr>
                          <w:p w14:paraId="4F1F95DA" w14:textId="77777777" w:rsidR="002B6B23" w:rsidRPr="00011B6E" w:rsidRDefault="002B6B23" w:rsidP="00222FAF">
                            <w:pPr>
                              <w:spacing w:after="0"/>
                              <w:jc w:val="right"/>
                              <w:rPr>
                                <w:rFonts w:ascii="Calibri" w:eastAsia="Times New Roman" w:hAnsi="Calibri" w:cs="Calibri"/>
                                <w:b/>
                                <w:bCs/>
                                <w:color w:val="auto"/>
                                <w:sz w:val="16"/>
                                <w:szCs w:val="16"/>
                                <w:lang w:eastAsia="cs-CZ"/>
                              </w:rPr>
                            </w:pPr>
                            <w:r w:rsidRPr="00011B6E">
                              <w:rPr>
                                <w:rFonts w:ascii="Calibri" w:eastAsia="Times New Roman" w:hAnsi="Calibri" w:cs="Calibri"/>
                                <w:b/>
                                <w:bCs/>
                                <w:color w:val="auto"/>
                                <w:sz w:val="16"/>
                                <w:szCs w:val="16"/>
                                <w:lang w:eastAsia="cs-CZ"/>
                              </w:rPr>
                              <w:t>2008</w:t>
                            </w:r>
                          </w:p>
                        </w:tc>
                        <w:tc>
                          <w:tcPr>
                            <w:tcW w:w="135" w:type="pct"/>
                            <w:shd w:val="clear" w:color="auto" w:fill="auto"/>
                            <w:vAlign w:val="center"/>
                            <w:hideMark/>
                          </w:tcPr>
                          <w:p w14:paraId="09C4A3CA" w14:textId="77777777" w:rsidR="002B6B23" w:rsidRPr="00011B6E" w:rsidRDefault="002B6B23" w:rsidP="00222FAF">
                            <w:pPr>
                              <w:spacing w:after="0"/>
                              <w:jc w:val="left"/>
                              <w:rPr>
                                <w:rFonts w:ascii="Calibri" w:eastAsia="Times New Roman" w:hAnsi="Calibri" w:cs="Calibri"/>
                                <w:b/>
                                <w:bCs/>
                                <w:color w:val="auto"/>
                                <w:sz w:val="16"/>
                                <w:szCs w:val="16"/>
                                <w:lang w:eastAsia="cs-CZ"/>
                              </w:rPr>
                            </w:pPr>
                            <w:r w:rsidRPr="00011B6E">
                              <w:rPr>
                                <w:rFonts w:ascii="Calibri" w:eastAsia="Times New Roman" w:hAnsi="Calibri" w:cs="Calibri"/>
                                <w:b/>
                                <w:bCs/>
                                <w:color w:val="auto"/>
                                <w:sz w:val="16"/>
                                <w:szCs w:val="16"/>
                                <w:lang w:eastAsia="cs-CZ"/>
                              </w:rPr>
                              <w:t>…</w:t>
                            </w:r>
                          </w:p>
                        </w:tc>
                        <w:tc>
                          <w:tcPr>
                            <w:tcW w:w="250" w:type="pct"/>
                            <w:shd w:val="clear" w:color="auto" w:fill="auto"/>
                            <w:vAlign w:val="center"/>
                            <w:hideMark/>
                          </w:tcPr>
                          <w:p w14:paraId="57CC3CD2" w14:textId="77777777" w:rsidR="002B6B23" w:rsidRPr="00011B6E" w:rsidRDefault="002B6B23" w:rsidP="00222FAF">
                            <w:pPr>
                              <w:spacing w:after="0"/>
                              <w:jc w:val="right"/>
                              <w:rPr>
                                <w:rFonts w:ascii="Calibri" w:eastAsia="Times New Roman" w:hAnsi="Calibri" w:cs="Calibri"/>
                                <w:b/>
                                <w:bCs/>
                                <w:color w:val="auto"/>
                                <w:sz w:val="16"/>
                                <w:szCs w:val="16"/>
                                <w:lang w:eastAsia="cs-CZ"/>
                              </w:rPr>
                            </w:pPr>
                            <w:r w:rsidRPr="00011B6E">
                              <w:rPr>
                                <w:rFonts w:ascii="Calibri" w:eastAsia="Times New Roman" w:hAnsi="Calibri" w:cs="Calibri"/>
                                <w:b/>
                                <w:bCs/>
                                <w:color w:val="auto"/>
                                <w:sz w:val="16"/>
                                <w:szCs w:val="16"/>
                                <w:lang w:eastAsia="cs-CZ"/>
                              </w:rPr>
                              <w:t>2011</w:t>
                            </w:r>
                          </w:p>
                        </w:tc>
                        <w:tc>
                          <w:tcPr>
                            <w:tcW w:w="135" w:type="pct"/>
                            <w:shd w:val="clear" w:color="auto" w:fill="auto"/>
                            <w:vAlign w:val="center"/>
                            <w:hideMark/>
                          </w:tcPr>
                          <w:p w14:paraId="51462638" w14:textId="77777777" w:rsidR="002B6B23" w:rsidRPr="00011B6E" w:rsidRDefault="002B6B23" w:rsidP="00222FAF">
                            <w:pPr>
                              <w:spacing w:after="0"/>
                              <w:jc w:val="left"/>
                              <w:rPr>
                                <w:rFonts w:ascii="Calibri" w:eastAsia="Times New Roman" w:hAnsi="Calibri" w:cs="Calibri"/>
                                <w:b/>
                                <w:bCs/>
                                <w:color w:val="auto"/>
                                <w:sz w:val="16"/>
                                <w:szCs w:val="16"/>
                                <w:lang w:eastAsia="cs-CZ"/>
                              </w:rPr>
                            </w:pPr>
                            <w:r w:rsidRPr="00011B6E">
                              <w:rPr>
                                <w:rFonts w:ascii="Calibri" w:eastAsia="Times New Roman" w:hAnsi="Calibri" w:cs="Calibri"/>
                                <w:b/>
                                <w:bCs/>
                                <w:color w:val="auto"/>
                                <w:sz w:val="16"/>
                                <w:szCs w:val="16"/>
                                <w:lang w:eastAsia="cs-CZ"/>
                              </w:rPr>
                              <w:t>…</w:t>
                            </w:r>
                          </w:p>
                        </w:tc>
                        <w:tc>
                          <w:tcPr>
                            <w:tcW w:w="250" w:type="pct"/>
                            <w:shd w:val="clear" w:color="auto" w:fill="auto"/>
                            <w:vAlign w:val="center"/>
                            <w:hideMark/>
                          </w:tcPr>
                          <w:p w14:paraId="0B351BB2" w14:textId="77777777" w:rsidR="002B6B23" w:rsidRPr="00011B6E" w:rsidRDefault="002B6B23" w:rsidP="00222FAF">
                            <w:pPr>
                              <w:spacing w:after="0"/>
                              <w:jc w:val="right"/>
                              <w:rPr>
                                <w:rFonts w:ascii="Calibri" w:eastAsia="Times New Roman" w:hAnsi="Calibri" w:cs="Calibri"/>
                                <w:b/>
                                <w:bCs/>
                                <w:color w:val="auto"/>
                                <w:sz w:val="16"/>
                                <w:szCs w:val="16"/>
                                <w:lang w:eastAsia="cs-CZ"/>
                              </w:rPr>
                            </w:pPr>
                            <w:r w:rsidRPr="00011B6E">
                              <w:rPr>
                                <w:rFonts w:ascii="Calibri" w:eastAsia="Times New Roman" w:hAnsi="Calibri" w:cs="Calibri"/>
                                <w:b/>
                                <w:bCs/>
                                <w:color w:val="auto"/>
                                <w:sz w:val="16"/>
                                <w:szCs w:val="16"/>
                                <w:lang w:eastAsia="cs-CZ"/>
                              </w:rPr>
                              <w:t>2018</w:t>
                            </w:r>
                          </w:p>
                        </w:tc>
                        <w:tc>
                          <w:tcPr>
                            <w:tcW w:w="250" w:type="pct"/>
                            <w:shd w:val="clear" w:color="auto" w:fill="auto"/>
                            <w:vAlign w:val="center"/>
                            <w:hideMark/>
                          </w:tcPr>
                          <w:p w14:paraId="0F743DFB" w14:textId="77777777" w:rsidR="002B6B23" w:rsidRPr="00011B6E" w:rsidRDefault="002B6B23" w:rsidP="00222FAF">
                            <w:pPr>
                              <w:spacing w:after="0"/>
                              <w:jc w:val="right"/>
                              <w:rPr>
                                <w:rFonts w:ascii="Calibri" w:eastAsia="Times New Roman" w:hAnsi="Calibri" w:cs="Calibri"/>
                                <w:b/>
                                <w:bCs/>
                                <w:color w:val="auto"/>
                                <w:sz w:val="16"/>
                                <w:szCs w:val="16"/>
                                <w:lang w:eastAsia="cs-CZ"/>
                              </w:rPr>
                            </w:pPr>
                            <w:r w:rsidRPr="00011B6E">
                              <w:rPr>
                                <w:rFonts w:ascii="Calibri" w:eastAsia="Times New Roman" w:hAnsi="Calibri" w:cs="Calibri"/>
                                <w:b/>
                                <w:bCs/>
                                <w:color w:val="auto"/>
                                <w:sz w:val="16"/>
                                <w:szCs w:val="16"/>
                                <w:lang w:eastAsia="cs-CZ"/>
                              </w:rPr>
                              <w:t>2019</w:t>
                            </w:r>
                          </w:p>
                        </w:tc>
                        <w:tc>
                          <w:tcPr>
                            <w:tcW w:w="135" w:type="pct"/>
                            <w:shd w:val="clear" w:color="auto" w:fill="auto"/>
                            <w:vAlign w:val="center"/>
                            <w:hideMark/>
                          </w:tcPr>
                          <w:p w14:paraId="797A7024" w14:textId="77777777" w:rsidR="002B6B23" w:rsidRPr="00011B6E" w:rsidRDefault="002B6B23" w:rsidP="00222FAF">
                            <w:pPr>
                              <w:spacing w:after="0"/>
                              <w:jc w:val="left"/>
                              <w:rPr>
                                <w:rFonts w:ascii="Calibri" w:eastAsia="Times New Roman" w:hAnsi="Calibri" w:cs="Calibri"/>
                                <w:b/>
                                <w:bCs/>
                                <w:color w:val="auto"/>
                                <w:sz w:val="16"/>
                                <w:szCs w:val="16"/>
                                <w:lang w:eastAsia="cs-CZ"/>
                              </w:rPr>
                            </w:pPr>
                            <w:r w:rsidRPr="00011B6E">
                              <w:rPr>
                                <w:rFonts w:ascii="Calibri" w:eastAsia="Times New Roman" w:hAnsi="Calibri" w:cs="Calibri"/>
                                <w:b/>
                                <w:bCs/>
                                <w:color w:val="auto"/>
                                <w:sz w:val="16"/>
                                <w:szCs w:val="16"/>
                                <w:lang w:eastAsia="cs-CZ"/>
                              </w:rPr>
                              <w:t>…</w:t>
                            </w:r>
                          </w:p>
                        </w:tc>
                        <w:tc>
                          <w:tcPr>
                            <w:tcW w:w="250" w:type="pct"/>
                            <w:shd w:val="clear" w:color="auto" w:fill="auto"/>
                            <w:vAlign w:val="center"/>
                            <w:hideMark/>
                          </w:tcPr>
                          <w:p w14:paraId="692D0A7D" w14:textId="77777777" w:rsidR="002B6B23" w:rsidRPr="00011B6E" w:rsidRDefault="002B6B23" w:rsidP="00222FAF">
                            <w:pPr>
                              <w:spacing w:after="0"/>
                              <w:jc w:val="right"/>
                              <w:rPr>
                                <w:rFonts w:ascii="Calibri" w:eastAsia="Times New Roman" w:hAnsi="Calibri" w:cs="Calibri"/>
                                <w:b/>
                                <w:bCs/>
                                <w:color w:val="auto"/>
                                <w:sz w:val="16"/>
                                <w:szCs w:val="16"/>
                                <w:lang w:eastAsia="cs-CZ"/>
                              </w:rPr>
                            </w:pPr>
                            <w:r w:rsidRPr="00011B6E">
                              <w:rPr>
                                <w:rFonts w:ascii="Calibri" w:eastAsia="Times New Roman" w:hAnsi="Calibri" w:cs="Calibri"/>
                                <w:b/>
                                <w:bCs/>
                                <w:color w:val="auto"/>
                                <w:sz w:val="16"/>
                                <w:szCs w:val="16"/>
                                <w:lang w:eastAsia="cs-CZ"/>
                              </w:rPr>
                              <w:t>2024</w:t>
                            </w:r>
                          </w:p>
                        </w:tc>
                      </w:tr>
                      <w:tr w:rsidR="00E0697C" w:rsidRPr="00222FAF" w14:paraId="7058E6D1" w14:textId="77777777" w:rsidTr="0091394A">
                        <w:trPr>
                          <w:trHeight w:val="216"/>
                        </w:trPr>
                        <w:tc>
                          <w:tcPr>
                            <w:tcW w:w="425" w:type="pct"/>
                            <w:shd w:val="clear" w:color="auto" w:fill="auto"/>
                            <w:vAlign w:val="center"/>
                            <w:hideMark/>
                          </w:tcPr>
                          <w:p w14:paraId="740FBA04" w14:textId="77777777" w:rsidR="002B6B23" w:rsidRPr="00222FAF" w:rsidRDefault="002B6B23" w:rsidP="00222FAF">
                            <w:pPr>
                              <w:spacing w:after="0"/>
                              <w:jc w:val="center"/>
                              <w:rPr>
                                <w:rFonts w:ascii="Calibri" w:eastAsia="Times New Roman" w:hAnsi="Calibri" w:cs="Calibri"/>
                                <w:b/>
                                <w:bCs/>
                                <w:color w:val="auto"/>
                                <w:sz w:val="16"/>
                                <w:szCs w:val="16"/>
                                <w:lang w:eastAsia="cs-CZ"/>
                              </w:rPr>
                            </w:pPr>
                            <w:r w:rsidRPr="00222FAF">
                              <w:rPr>
                                <w:rFonts w:ascii="Calibri" w:eastAsia="Times New Roman" w:hAnsi="Calibri" w:cs="Calibri"/>
                                <w:b/>
                                <w:bCs/>
                                <w:color w:val="auto"/>
                                <w:sz w:val="16"/>
                                <w:szCs w:val="16"/>
                                <w:lang w:eastAsia="cs-CZ"/>
                              </w:rPr>
                              <w:t>Moody's</w:t>
                            </w:r>
                          </w:p>
                        </w:tc>
                        <w:tc>
                          <w:tcPr>
                            <w:tcW w:w="89" w:type="pct"/>
                            <w:shd w:val="clear" w:color="auto" w:fill="auto"/>
                            <w:vAlign w:val="center"/>
                            <w:hideMark/>
                          </w:tcPr>
                          <w:p w14:paraId="1A6032DA"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Ba1</w:t>
                            </w:r>
                          </w:p>
                        </w:tc>
                        <w:tc>
                          <w:tcPr>
                            <w:tcW w:w="251" w:type="pct"/>
                            <w:shd w:val="clear" w:color="auto" w:fill="auto"/>
                            <w:vAlign w:val="center"/>
                            <w:hideMark/>
                          </w:tcPr>
                          <w:p w14:paraId="778B915C"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Baa3</w:t>
                            </w:r>
                          </w:p>
                        </w:tc>
                        <w:tc>
                          <w:tcPr>
                            <w:tcW w:w="259" w:type="pct"/>
                            <w:shd w:val="clear" w:color="auto" w:fill="auto"/>
                            <w:vAlign w:val="center"/>
                            <w:hideMark/>
                          </w:tcPr>
                          <w:p w14:paraId="40547128"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Baa2</w:t>
                            </w:r>
                          </w:p>
                        </w:tc>
                        <w:tc>
                          <w:tcPr>
                            <w:tcW w:w="251" w:type="pct"/>
                            <w:shd w:val="clear" w:color="auto" w:fill="auto"/>
                            <w:vAlign w:val="center"/>
                            <w:hideMark/>
                          </w:tcPr>
                          <w:p w14:paraId="0285D364"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Baa1</w:t>
                            </w:r>
                          </w:p>
                        </w:tc>
                        <w:tc>
                          <w:tcPr>
                            <w:tcW w:w="136" w:type="pct"/>
                            <w:shd w:val="clear" w:color="auto" w:fill="auto"/>
                            <w:vAlign w:val="center"/>
                            <w:hideMark/>
                          </w:tcPr>
                          <w:p w14:paraId="630B5E38"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w:t>
                            </w:r>
                          </w:p>
                        </w:tc>
                        <w:tc>
                          <w:tcPr>
                            <w:tcW w:w="259" w:type="pct"/>
                            <w:shd w:val="clear" w:color="auto" w:fill="auto"/>
                            <w:vAlign w:val="center"/>
                            <w:hideMark/>
                          </w:tcPr>
                          <w:p w14:paraId="462A81B5"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Baa1</w:t>
                            </w:r>
                          </w:p>
                        </w:tc>
                        <w:tc>
                          <w:tcPr>
                            <w:tcW w:w="259" w:type="pct"/>
                            <w:shd w:val="clear" w:color="auto" w:fill="auto"/>
                            <w:vAlign w:val="center"/>
                            <w:hideMark/>
                          </w:tcPr>
                          <w:p w14:paraId="67BED4CB"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Baa1</w:t>
                            </w:r>
                          </w:p>
                        </w:tc>
                        <w:tc>
                          <w:tcPr>
                            <w:tcW w:w="135" w:type="pct"/>
                            <w:shd w:val="clear" w:color="auto" w:fill="auto"/>
                            <w:vAlign w:val="center"/>
                            <w:hideMark/>
                          </w:tcPr>
                          <w:p w14:paraId="1EF659FF"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w:t>
                            </w:r>
                          </w:p>
                        </w:tc>
                        <w:tc>
                          <w:tcPr>
                            <w:tcW w:w="259" w:type="pct"/>
                            <w:shd w:val="clear" w:color="auto" w:fill="auto"/>
                            <w:vAlign w:val="center"/>
                            <w:hideMark/>
                          </w:tcPr>
                          <w:p w14:paraId="6BE754D7"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A1</w:t>
                            </w:r>
                          </w:p>
                        </w:tc>
                        <w:tc>
                          <w:tcPr>
                            <w:tcW w:w="250" w:type="pct"/>
                            <w:shd w:val="clear" w:color="auto" w:fill="auto"/>
                            <w:vAlign w:val="center"/>
                            <w:hideMark/>
                          </w:tcPr>
                          <w:p w14:paraId="24AEA7B4"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A1</w:t>
                            </w:r>
                          </w:p>
                        </w:tc>
                        <w:tc>
                          <w:tcPr>
                            <w:tcW w:w="135" w:type="pct"/>
                            <w:shd w:val="clear" w:color="auto" w:fill="auto"/>
                            <w:vAlign w:val="center"/>
                            <w:hideMark/>
                          </w:tcPr>
                          <w:p w14:paraId="5B6477EF"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w:t>
                            </w:r>
                          </w:p>
                        </w:tc>
                        <w:tc>
                          <w:tcPr>
                            <w:tcW w:w="250" w:type="pct"/>
                            <w:shd w:val="clear" w:color="auto" w:fill="auto"/>
                            <w:vAlign w:val="center"/>
                            <w:hideMark/>
                          </w:tcPr>
                          <w:p w14:paraId="3859F9F8"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A1</w:t>
                            </w:r>
                          </w:p>
                        </w:tc>
                        <w:tc>
                          <w:tcPr>
                            <w:tcW w:w="135" w:type="pct"/>
                            <w:shd w:val="clear" w:color="auto" w:fill="auto"/>
                            <w:vAlign w:val="center"/>
                            <w:hideMark/>
                          </w:tcPr>
                          <w:p w14:paraId="6ED77961"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w:t>
                            </w:r>
                          </w:p>
                        </w:tc>
                        <w:tc>
                          <w:tcPr>
                            <w:tcW w:w="250" w:type="pct"/>
                            <w:shd w:val="clear" w:color="auto" w:fill="auto"/>
                            <w:vAlign w:val="center"/>
                            <w:hideMark/>
                          </w:tcPr>
                          <w:p w14:paraId="5B5879B8"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A1</w:t>
                            </w:r>
                          </w:p>
                        </w:tc>
                        <w:tc>
                          <w:tcPr>
                            <w:tcW w:w="250" w:type="pct"/>
                            <w:shd w:val="clear" w:color="auto" w:fill="auto"/>
                            <w:vAlign w:val="center"/>
                            <w:hideMark/>
                          </w:tcPr>
                          <w:p w14:paraId="6C426EDE"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A1</w:t>
                            </w:r>
                          </w:p>
                        </w:tc>
                        <w:tc>
                          <w:tcPr>
                            <w:tcW w:w="135" w:type="pct"/>
                            <w:shd w:val="clear" w:color="auto" w:fill="auto"/>
                            <w:vAlign w:val="center"/>
                            <w:hideMark/>
                          </w:tcPr>
                          <w:p w14:paraId="4BA4317C"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 </w:t>
                            </w:r>
                          </w:p>
                        </w:tc>
                        <w:tc>
                          <w:tcPr>
                            <w:tcW w:w="250" w:type="pct"/>
                            <w:shd w:val="clear" w:color="auto" w:fill="auto"/>
                            <w:vAlign w:val="center"/>
                            <w:hideMark/>
                          </w:tcPr>
                          <w:p w14:paraId="750B3F2E"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A1</w:t>
                            </w:r>
                          </w:p>
                        </w:tc>
                        <w:tc>
                          <w:tcPr>
                            <w:tcW w:w="135" w:type="pct"/>
                            <w:shd w:val="clear" w:color="auto" w:fill="auto"/>
                            <w:vAlign w:val="center"/>
                            <w:hideMark/>
                          </w:tcPr>
                          <w:p w14:paraId="4B83BF72"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w:t>
                            </w:r>
                          </w:p>
                        </w:tc>
                        <w:tc>
                          <w:tcPr>
                            <w:tcW w:w="250" w:type="pct"/>
                            <w:shd w:val="clear" w:color="auto" w:fill="auto"/>
                            <w:vAlign w:val="center"/>
                            <w:hideMark/>
                          </w:tcPr>
                          <w:p w14:paraId="18545C72"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A1</w:t>
                            </w:r>
                          </w:p>
                        </w:tc>
                        <w:tc>
                          <w:tcPr>
                            <w:tcW w:w="250" w:type="pct"/>
                            <w:shd w:val="clear" w:color="auto" w:fill="auto"/>
                            <w:vAlign w:val="center"/>
                            <w:hideMark/>
                          </w:tcPr>
                          <w:p w14:paraId="776B47B2"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Aa3</w:t>
                            </w:r>
                          </w:p>
                        </w:tc>
                        <w:tc>
                          <w:tcPr>
                            <w:tcW w:w="135" w:type="pct"/>
                            <w:shd w:val="clear" w:color="auto" w:fill="auto"/>
                            <w:vAlign w:val="center"/>
                            <w:hideMark/>
                          </w:tcPr>
                          <w:p w14:paraId="69AA6009"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w:t>
                            </w:r>
                          </w:p>
                        </w:tc>
                        <w:tc>
                          <w:tcPr>
                            <w:tcW w:w="250" w:type="pct"/>
                            <w:shd w:val="clear" w:color="auto" w:fill="auto"/>
                            <w:vAlign w:val="center"/>
                            <w:hideMark/>
                          </w:tcPr>
                          <w:p w14:paraId="48333A85"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Aa3</w:t>
                            </w:r>
                          </w:p>
                        </w:tc>
                      </w:tr>
                      <w:tr w:rsidR="00E0697C" w:rsidRPr="00222FAF" w14:paraId="2EC2F2D9" w14:textId="77777777" w:rsidTr="00C903F3">
                        <w:trPr>
                          <w:trHeight w:val="245"/>
                        </w:trPr>
                        <w:tc>
                          <w:tcPr>
                            <w:tcW w:w="425" w:type="pct"/>
                            <w:shd w:val="clear" w:color="auto" w:fill="auto"/>
                            <w:vAlign w:val="center"/>
                            <w:hideMark/>
                          </w:tcPr>
                          <w:p w14:paraId="1D9BCC59" w14:textId="77777777" w:rsidR="002B6B23" w:rsidRPr="00222FAF" w:rsidRDefault="002B6B23" w:rsidP="00222FAF">
                            <w:pPr>
                              <w:spacing w:after="0"/>
                              <w:jc w:val="center"/>
                              <w:rPr>
                                <w:rFonts w:ascii="Calibri" w:eastAsia="Times New Roman" w:hAnsi="Calibri" w:cs="Calibri"/>
                                <w:b/>
                                <w:bCs/>
                                <w:color w:val="auto"/>
                                <w:sz w:val="16"/>
                                <w:szCs w:val="16"/>
                                <w:lang w:eastAsia="cs-CZ"/>
                              </w:rPr>
                            </w:pPr>
                            <w:r w:rsidRPr="00222FAF">
                              <w:rPr>
                                <w:rFonts w:ascii="Calibri" w:eastAsia="Times New Roman" w:hAnsi="Calibri" w:cs="Calibri"/>
                                <w:b/>
                                <w:bCs/>
                                <w:color w:val="auto"/>
                                <w:sz w:val="16"/>
                                <w:szCs w:val="16"/>
                                <w:lang w:eastAsia="cs-CZ"/>
                              </w:rPr>
                              <w:t>S</w:t>
                            </w:r>
                            <w:r>
                              <w:rPr>
                                <w:rFonts w:ascii="Calibri" w:eastAsia="Times New Roman" w:hAnsi="Calibri" w:cs="Calibri"/>
                                <w:b/>
                                <w:bCs/>
                                <w:color w:val="auto"/>
                                <w:sz w:val="16"/>
                                <w:szCs w:val="16"/>
                                <w:lang w:eastAsia="cs-CZ"/>
                              </w:rPr>
                              <w:t>&amp;</w:t>
                            </w:r>
                            <w:r w:rsidRPr="00222FAF">
                              <w:rPr>
                                <w:rFonts w:ascii="Calibri" w:eastAsia="Times New Roman" w:hAnsi="Calibri" w:cs="Calibri"/>
                                <w:b/>
                                <w:bCs/>
                                <w:color w:val="auto"/>
                                <w:sz w:val="16"/>
                                <w:szCs w:val="16"/>
                                <w:lang w:eastAsia="cs-CZ"/>
                              </w:rPr>
                              <w:t>P's</w:t>
                            </w:r>
                          </w:p>
                        </w:tc>
                        <w:tc>
                          <w:tcPr>
                            <w:tcW w:w="89" w:type="pct"/>
                            <w:shd w:val="clear" w:color="auto" w:fill="auto"/>
                            <w:vAlign w:val="center"/>
                            <w:hideMark/>
                          </w:tcPr>
                          <w:p w14:paraId="7CFB45E0"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w:t>
                            </w:r>
                          </w:p>
                        </w:tc>
                        <w:tc>
                          <w:tcPr>
                            <w:tcW w:w="251" w:type="pct"/>
                            <w:shd w:val="clear" w:color="auto" w:fill="auto"/>
                            <w:vAlign w:val="center"/>
                            <w:hideMark/>
                          </w:tcPr>
                          <w:p w14:paraId="4EB49085"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BBB</w:t>
                            </w:r>
                          </w:p>
                        </w:tc>
                        <w:tc>
                          <w:tcPr>
                            <w:tcW w:w="259" w:type="pct"/>
                            <w:shd w:val="clear" w:color="auto" w:fill="auto"/>
                            <w:vAlign w:val="center"/>
                            <w:hideMark/>
                          </w:tcPr>
                          <w:p w14:paraId="001918C2"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BBB+</w:t>
                            </w:r>
                          </w:p>
                        </w:tc>
                        <w:tc>
                          <w:tcPr>
                            <w:tcW w:w="251" w:type="pct"/>
                            <w:shd w:val="clear" w:color="auto" w:fill="auto"/>
                            <w:vAlign w:val="center"/>
                            <w:hideMark/>
                          </w:tcPr>
                          <w:p w14:paraId="5DD7872B"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A</w:t>
                            </w:r>
                          </w:p>
                        </w:tc>
                        <w:tc>
                          <w:tcPr>
                            <w:tcW w:w="136" w:type="pct"/>
                            <w:shd w:val="clear" w:color="auto" w:fill="auto"/>
                            <w:vAlign w:val="center"/>
                            <w:hideMark/>
                          </w:tcPr>
                          <w:p w14:paraId="30695B68"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w:t>
                            </w:r>
                          </w:p>
                        </w:tc>
                        <w:tc>
                          <w:tcPr>
                            <w:tcW w:w="259" w:type="pct"/>
                            <w:shd w:val="clear" w:color="auto" w:fill="auto"/>
                            <w:vAlign w:val="center"/>
                            <w:hideMark/>
                          </w:tcPr>
                          <w:p w14:paraId="54E483A4"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A</w:t>
                            </w:r>
                          </w:p>
                        </w:tc>
                        <w:tc>
                          <w:tcPr>
                            <w:tcW w:w="259" w:type="pct"/>
                            <w:shd w:val="clear" w:color="auto" w:fill="auto"/>
                            <w:vAlign w:val="center"/>
                            <w:hideMark/>
                          </w:tcPr>
                          <w:p w14:paraId="5D9B02C4"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A-</w:t>
                            </w:r>
                          </w:p>
                        </w:tc>
                        <w:tc>
                          <w:tcPr>
                            <w:tcW w:w="135" w:type="pct"/>
                            <w:shd w:val="clear" w:color="auto" w:fill="auto"/>
                            <w:vAlign w:val="center"/>
                            <w:hideMark/>
                          </w:tcPr>
                          <w:p w14:paraId="1EC61164"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w:t>
                            </w:r>
                          </w:p>
                        </w:tc>
                        <w:tc>
                          <w:tcPr>
                            <w:tcW w:w="259" w:type="pct"/>
                            <w:shd w:val="clear" w:color="auto" w:fill="auto"/>
                            <w:vAlign w:val="center"/>
                            <w:hideMark/>
                          </w:tcPr>
                          <w:p w14:paraId="2F95EA4B"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A-</w:t>
                            </w:r>
                          </w:p>
                        </w:tc>
                        <w:tc>
                          <w:tcPr>
                            <w:tcW w:w="250" w:type="pct"/>
                            <w:shd w:val="clear" w:color="auto" w:fill="auto"/>
                            <w:vAlign w:val="center"/>
                            <w:hideMark/>
                          </w:tcPr>
                          <w:p w14:paraId="254A053B"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A-</w:t>
                            </w:r>
                          </w:p>
                        </w:tc>
                        <w:tc>
                          <w:tcPr>
                            <w:tcW w:w="135" w:type="pct"/>
                            <w:shd w:val="clear" w:color="auto" w:fill="auto"/>
                            <w:vAlign w:val="center"/>
                            <w:hideMark/>
                          </w:tcPr>
                          <w:p w14:paraId="23B774F0"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w:t>
                            </w:r>
                          </w:p>
                        </w:tc>
                        <w:tc>
                          <w:tcPr>
                            <w:tcW w:w="250" w:type="pct"/>
                            <w:shd w:val="clear" w:color="auto" w:fill="auto"/>
                            <w:vAlign w:val="center"/>
                            <w:hideMark/>
                          </w:tcPr>
                          <w:p w14:paraId="500DE01F"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A-</w:t>
                            </w:r>
                          </w:p>
                        </w:tc>
                        <w:tc>
                          <w:tcPr>
                            <w:tcW w:w="135" w:type="pct"/>
                            <w:shd w:val="clear" w:color="auto" w:fill="auto"/>
                            <w:vAlign w:val="center"/>
                            <w:hideMark/>
                          </w:tcPr>
                          <w:p w14:paraId="3F5BE34C"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w:t>
                            </w:r>
                          </w:p>
                        </w:tc>
                        <w:tc>
                          <w:tcPr>
                            <w:tcW w:w="250" w:type="pct"/>
                            <w:shd w:val="clear" w:color="auto" w:fill="auto"/>
                            <w:vAlign w:val="center"/>
                            <w:hideMark/>
                          </w:tcPr>
                          <w:p w14:paraId="432BB2E0"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A</w:t>
                            </w:r>
                          </w:p>
                        </w:tc>
                        <w:tc>
                          <w:tcPr>
                            <w:tcW w:w="250" w:type="pct"/>
                            <w:shd w:val="clear" w:color="auto" w:fill="auto"/>
                            <w:vAlign w:val="center"/>
                            <w:hideMark/>
                          </w:tcPr>
                          <w:p w14:paraId="7E7A1429"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A</w:t>
                            </w:r>
                          </w:p>
                        </w:tc>
                        <w:tc>
                          <w:tcPr>
                            <w:tcW w:w="135" w:type="pct"/>
                            <w:shd w:val="clear" w:color="auto" w:fill="auto"/>
                            <w:vAlign w:val="center"/>
                            <w:hideMark/>
                          </w:tcPr>
                          <w:p w14:paraId="2C647277"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 </w:t>
                            </w:r>
                          </w:p>
                        </w:tc>
                        <w:tc>
                          <w:tcPr>
                            <w:tcW w:w="250" w:type="pct"/>
                            <w:shd w:val="clear" w:color="auto" w:fill="auto"/>
                            <w:vAlign w:val="center"/>
                            <w:hideMark/>
                          </w:tcPr>
                          <w:p w14:paraId="24880597"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AA-</w:t>
                            </w:r>
                          </w:p>
                        </w:tc>
                        <w:tc>
                          <w:tcPr>
                            <w:tcW w:w="135" w:type="pct"/>
                            <w:shd w:val="clear" w:color="auto" w:fill="auto"/>
                            <w:vAlign w:val="center"/>
                            <w:hideMark/>
                          </w:tcPr>
                          <w:p w14:paraId="114B3AD7"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w:t>
                            </w:r>
                          </w:p>
                        </w:tc>
                        <w:tc>
                          <w:tcPr>
                            <w:tcW w:w="250" w:type="pct"/>
                            <w:shd w:val="clear" w:color="auto" w:fill="auto"/>
                            <w:vAlign w:val="center"/>
                            <w:hideMark/>
                          </w:tcPr>
                          <w:p w14:paraId="0E1CFA70"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AA-</w:t>
                            </w:r>
                          </w:p>
                        </w:tc>
                        <w:tc>
                          <w:tcPr>
                            <w:tcW w:w="250" w:type="pct"/>
                            <w:shd w:val="clear" w:color="auto" w:fill="auto"/>
                            <w:vAlign w:val="center"/>
                            <w:hideMark/>
                          </w:tcPr>
                          <w:p w14:paraId="08C0543C"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AA-</w:t>
                            </w:r>
                          </w:p>
                        </w:tc>
                        <w:tc>
                          <w:tcPr>
                            <w:tcW w:w="135" w:type="pct"/>
                            <w:shd w:val="clear" w:color="auto" w:fill="auto"/>
                            <w:vAlign w:val="center"/>
                            <w:hideMark/>
                          </w:tcPr>
                          <w:p w14:paraId="556C4874"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w:t>
                            </w:r>
                          </w:p>
                        </w:tc>
                        <w:tc>
                          <w:tcPr>
                            <w:tcW w:w="250" w:type="pct"/>
                            <w:shd w:val="clear" w:color="auto" w:fill="auto"/>
                            <w:vAlign w:val="center"/>
                            <w:hideMark/>
                          </w:tcPr>
                          <w:p w14:paraId="36246EFF"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 </w:t>
                            </w:r>
                          </w:p>
                        </w:tc>
                      </w:tr>
                      <w:tr w:rsidR="00E0697C" w:rsidRPr="00222FAF" w14:paraId="5143F5B5" w14:textId="77777777" w:rsidTr="00C903F3">
                        <w:trPr>
                          <w:trHeight w:val="58"/>
                        </w:trPr>
                        <w:tc>
                          <w:tcPr>
                            <w:tcW w:w="425" w:type="pct"/>
                            <w:shd w:val="clear" w:color="auto" w:fill="auto"/>
                            <w:vAlign w:val="center"/>
                            <w:hideMark/>
                          </w:tcPr>
                          <w:p w14:paraId="07EB29E1" w14:textId="77777777" w:rsidR="002B6B23" w:rsidRPr="00222FAF" w:rsidRDefault="002B6B23" w:rsidP="00222FAF">
                            <w:pPr>
                              <w:spacing w:after="0"/>
                              <w:jc w:val="center"/>
                              <w:rPr>
                                <w:rFonts w:ascii="Calibri" w:eastAsia="Times New Roman" w:hAnsi="Calibri" w:cs="Calibri"/>
                                <w:b/>
                                <w:bCs/>
                                <w:color w:val="auto"/>
                                <w:sz w:val="16"/>
                                <w:szCs w:val="16"/>
                                <w:lang w:eastAsia="cs-CZ"/>
                              </w:rPr>
                            </w:pPr>
                            <w:r w:rsidRPr="00222FAF">
                              <w:rPr>
                                <w:rFonts w:ascii="Calibri" w:eastAsia="Times New Roman" w:hAnsi="Calibri" w:cs="Calibri"/>
                                <w:b/>
                                <w:bCs/>
                                <w:color w:val="auto"/>
                                <w:sz w:val="16"/>
                                <w:szCs w:val="16"/>
                                <w:lang w:eastAsia="cs-CZ"/>
                              </w:rPr>
                              <w:t>Fitch</w:t>
                            </w:r>
                          </w:p>
                        </w:tc>
                        <w:tc>
                          <w:tcPr>
                            <w:tcW w:w="89" w:type="pct"/>
                            <w:shd w:val="clear" w:color="auto" w:fill="auto"/>
                            <w:vAlign w:val="center"/>
                            <w:hideMark/>
                          </w:tcPr>
                          <w:p w14:paraId="63B2554F"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w:t>
                            </w:r>
                          </w:p>
                        </w:tc>
                        <w:tc>
                          <w:tcPr>
                            <w:tcW w:w="251" w:type="pct"/>
                            <w:shd w:val="clear" w:color="auto" w:fill="auto"/>
                            <w:vAlign w:val="center"/>
                            <w:hideMark/>
                          </w:tcPr>
                          <w:p w14:paraId="4B7F96DC"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w:t>
                            </w:r>
                          </w:p>
                        </w:tc>
                        <w:tc>
                          <w:tcPr>
                            <w:tcW w:w="259" w:type="pct"/>
                            <w:shd w:val="clear" w:color="auto" w:fill="auto"/>
                            <w:vAlign w:val="center"/>
                            <w:hideMark/>
                          </w:tcPr>
                          <w:p w14:paraId="78CB439F"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w:t>
                            </w:r>
                          </w:p>
                        </w:tc>
                        <w:tc>
                          <w:tcPr>
                            <w:tcW w:w="251" w:type="pct"/>
                            <w:shd w:val="clear" w:color="auto" w:fill="auto"/>
                            <w:vAlign w:val="center"/>
                            <w:hideMark/>
                          </w:tcPr>
                          <w:p w14:paraId="28EE1277"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A-</w:t>
                            </w:r>
                          </w:p>
                        </w:tc>
                        <w:tc>
                          <w:tcPr>
                            <w:tcW w:w="136" w:type="pct"/>
                            <w:shd w:val="clear" w:color="auto" w:fill="auto"/>
                            <w:vAlign w:val="center"/>
                            <w:hideMark/>
                          </w:tcPr>
                          <w:p w14:paraId="504721B1"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w:t>
                            </w:r>
                          </w:p>
                        </w:tc>
                        <w:tc>
                          <w:tcPr>
                            <w:tcW w:w="259" w:type="pct"/>
                            <w:shd w:val="clear" w:color="auto" w:fill="auto"/>
                            <w:vAlign w:val="center"/>
                            <w:hideMark/>
                          </w:tcPr>
                          <w:p w14:paraId="53E4618F"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BBB+</w:t>
                            </w:r>
                          </w:p>
                        </w:tc>
                        <w:tc>
                          <w:tcPr>
                            <w:tcW w:w="259" w:type="pct"/>
                            <w:shd w:val="clear" w:color="auto" w:fill="auto"/>
                            <w:vAlign w:val="center"/>
                            <w:hideMark/>
                          </w:tcPr>
                          <w:p w14:paraId="7B7F981E"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BBB+</w:t>
                            </w:r>
                          </w:p>
                        </w:tc>
                        <w:tc>
                          <w:tcPr>
                            <w:tcW w:w="135" w:type="pct"/>
                            <w:shd w:val="clear" w:color="auto" w:fill="auto"/>
                            <w:vAlign w:val="center"/>
                            <w:hideMark/>
                          </w:tcPr>
                          <w:p w14:paraId="68FBA9B0"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w:t>
                            </w:r>
                          </w:p>
                        </w:tc>
                        <w:tc>
                          <w:tcPr>
                            <w:tcW w:w="259" w:type="pct"/>
                            <w:shd w:val="clear" w:color="auto" w:fill="auto"/>
                            <w:vAlign w:val="center"/>
                            <w:hideMark/>
                          </w:tcPr>
                          <w:p w14:paraId="19A9A945"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BBB+</w:t>
                            </w:r>
                          </w:p>
                        </w:tc>
                        <w:tc>
                          <w:tcPr>
                            <w:tcW w:w="250" w:type="pct"/>
                            <w:shd w:val="clear" w:color="auto" w:fill="auto"/>
                            <w:vAlign w:val="center"/>
                            <w:hideMark/>
                          </w:tcPr>
                          <w:p w14:paraId="1CCF77DD"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A-</w:t>
                            </w:r>
                          </w:p>
                        </w:tc>
                        <w:tc>
                          <w:tcPr>
                            <w:tcW w:w="135" w:type="pct"/>
                            <w:shd w:val="clear" w:color="auto" w:fill="auto"/>
                            <w:vAlign w:val="center"/>
                            <w:hideMark/>
                          </w:tcPr>
                          <w:p w14:paraId="5E360AD0"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w:t>
                            </w:r>
                          </w:p>
                        </w:tc>
                        <w:tc>
                          <w:tcPr>
                            <w:tcW w:w="250" w:type="pct"/>
                            <w:shd w:val="clear" w:color="auto" w:fill="auto"/>
                            <w:vAlign w:val="center"/>
                            <w:hideMark/>
                          </w:tcPr>
                          <w:p w14:paraId="5A49A9DF"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A</w:t>
                            </w:r>
                          </w:p>
                        </w:tc>
                        <w:tc>
                          <w:tcPr>
                            <w:tcW w:w="135" w:type="pct"/>
                            <w:shd w:val="clear" w:color="auto" w:fill="auto"/>
                            <w:vAlign w:val="center"/>
                            <w:hideMark/>
                          </w:tcPr>
                          <w:p w14:paraId="5706C7D2"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w:t>
                            </w:r>
                          </w:p>
                        </w:tc>
                        <w:tc>
                          <w:tcPr>
                            <w:tcW w:w="250" w:type="pct"/>
                            <w:shd w:val="clear" w:color="auto" w:fill="auto"/>
                            <w:vAlign w:val="center"/>
                            <w:hideMark/>
                          </w:tcPr>
                          <w:p w14:paraId="3A2CAE23"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A</w:t>
                            </w:r>
                          </w:p>
                        </w:tc>
                        <w:tc>
                          <w:tcPr>
                            <w:tcW w:w="250" w:type="pct"/>
                            <w:shd w:val="clear" w:color="auto" w:fill="auto"/>
                            <w:vAlign w:val="center"/>
                            <w:hideMark/>
                          </w:tcPr>
                          <w:p w14:paraId="5F214F4D"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A+</w:t>
                            </w:r>
                          </w:p>
                        </w:tc>
                        <w:tc>
                          <w:tcPr>
                            <w:tcW w:w="135" w:type="pct"/>
                            <w:shd w:val="clear" w:color="auto" w:fill="auto"/>
                            <w:vAlign w:val="center"/>
                            <w:hideMark/>
                          </w:tcPr>
                          <w:p w14:paraId="1BEC2DF8"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 </w:t>
                            </w:r>
                          </w:p>
                        </w:tc>
                        <w:tc>
                          <w:tcPr>
                            <w:tcW w:w="250" w:type="pct"/>
                            <w:shd w:val="clear" w:color="auto" w:fill="auto"/>
                            <w:vAlign w:val="center"/>
                            <w:hideMark/>
                          </w:tcPr>
                          <w:p w14:paraId="4EAC3346"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A+</w:t>
                            </w:r>
                          </w:p>
                        </w:tc>
                        <w:tc>
                          <w:tcPr>
                            <w:tcW w:w="135" w:type="pct"/>
                            <w:shd w:val="clear" w:color="auto" w:fill="auto"/>
                            <w:vAlign w:val="center"/>
                            <w:hideMark/>
                          </w:tcPr>
                          <w:p w14:paraId="3F37D667"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w:t>
                            </w:r>
                          </w:p>
                        </w:tc>
                        <w:tc>
                          <w:tcPr>
                            <w:tcW w:w="250" w:type="pct"/>
                            <w:shd w:val="clear" w:color="auto" w:fill="auto"/>
                            <w:vAlign w:val="center"/>
                            <w:hideMark/>
                          </w:tcPr>
                          <w:p w14:paraId="5C28FC51"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AA-</w:t>
                            </w:r>
                          </w:p>
                        </w:tc>
                        <w:tc>
                          <w:tcPr>
                            <w:tcW w:w="250" w:type="pct"/>
                            <w:shd w:val="clear" w:color="auto" w:fill="auto"/>
                            <w:vAlign w:val="center"/>
                            <w:hideMark/>
                          </w:tcPr>
                          <w:p w14:paraId="2B649388"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AA-</w:t>
                            </w:r>
                          </w:p>
                        </w:tc>
                        <w:tc>
                          <w:tcPr>
                            <w:tcW w:w="135" w:type="pct"/>
                            <w:shd w:val="clear" w:color="auto" w:fill="auto"/>
                            <w:vAlign w:val="center"/>
                            <w:hideMark/>
                          </w:tcPr>
                          <w:p w14:paraId="4C7C95A8"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w:t>
                            </w:r>
                          </w:p>
                        </w:tc>
                        <w:tc>
                          <w:tcPr>
                            <w:tcW w:w="250" w:type="pct"/>
                            <w:shd w:val="clear" w:color="auto" w:fill="auto"/>
                            <w:vAlign w:val="center"/>
                            <w:hideMark/>
                          </w:tcPr>
                          <w:p w14:paraId="62863249" w14:textId="77777777" w:rsidR="002B6B23" w:rsidRPr="00222FAF" w:rsidRDefault="002B6B23" w:rsidP="00222FAF">
                            <w:pPr>
                              <w:spacing w:after="0"/>
                              <w:jc w:val="center"/>
                              <w:rPr>
                                <w:rFonts w:ascii="Calibri" w:eastAsia="Times New Roman" w:hAnsi="Calibri" w:cs="Calibri"/>
                                <w:color w:val="auto"/>
                                <w:sz w:val="16"/>
                                <w:szCs w:val="16"/>
                                <w:lang w:eastAsia="cs-CZ"/>
                              </w:rPr>
                            </w:pPr>
                            <w:r w:rsidRPr="00222FAF">
                              <w:rPr>
                                <w:rFonts w:ascii="Calibri" w:eastAsia="Times New Roman" w:hAnsi="Calibri" w:cs="Calibri"/>
                                <w:color w:val="auto"/>
                                <w:sz w:val="16"/>
                                <w:szCs w:val="16"/>
                                <w:lang w:eastAsia="cs-CZ"/>
                              </w:rPr>
                              <w:t>AA-</w:t>
                            </w:r>
                          </w:p>
                        </w:tc>
                      </w:tr>
                    </w:tbl>
                    <w:p w14:paraId="3735FCC4" w14:textId="77777777" w:rsidR="002B6B23" w:rsidRPr="007C3EDA" w:rsidRDefault="002B6B23" w:rsidP="002B6B23">
                      <w:pPr>
                        <w:widowControl w:val="0"/>
                        <w:pBdr>
                          <w:top w:val="single" w:sz="4" w:space="1" w:color="auto"/>
                        </w:pBdr>
                        <w:spacing w:after="0"/>
                        <w:rPr>
                          <w:kern w:val="2"/>
                          <w:sz w:val="16"/>
                          <w:szCs w:val="16"/>
                        </w:rPr>
                      </w:pPr>
                      <w:r w:rsidRPr="007C3EDA">
                        <w:rPr>
                          <w:kern w:val="2"/>
                          <w:sz w:val="16"/>
                          <w:szCs w:val="16"/>
                        </w:rPr>
                        <w:t xml:space="preserve">Pramen: ČNB: </w:t>
                      </w:r>
                      <w:hyperlink r:id="rId57" w:history="1">
                        <w:r w:rsidRPr="007C3EDA">
                          <w:rPr>
                            <w:rStyle w:val="Hypertextovodkaz"/>
                            <w:kern w:val="2"/>
                            <w:sz w:val="16"/>
                            <w:szCs w:val="16"/>
                          </w:rPr>
                          <w:t>https://www.cnb.cz/cs/o_cnb/mezinarodni-vztahy/srovnavaci-tabulka/</w:t>
                        </w:r>
                      </w:hyperlink>
                    </w:p>
                    <w:p w14:paraId="2D2EC724" w14:textId="77777777" w:rsidR="002B6B23" w:rsidRPr="00C81344" w:rsidRDefault="002B6B23" w:rsidP="002B6B23">
                      <w:pPr>
                        <w:widowControl w:val="0"/>
                        <w:pBdr>
                          <w:top w:val="single" w:sz="4" w:space="1" w:color="auto"/>
                        </w:pBdr>
                        <w:spacing w:after="0"/>
                        <w:rPr>
                          <w:color w:val="auto"/>
                          <w:kern w:val="2"/>
                          <w:sz w:val="16"/>
                          <w:szCs w:val="16"/>
                        </w:rPr>
                      </w:pPr>
                      <w:r w:rsidRPr="007C3EDA">
                        <w:rPr>
                          <w:kern w:val="2"/>
                          <w:sz w:val="16"/>
                          <w:szCs w:val="16"/>
                        </w:rPr>
                        <w:t>Pozn.: tři tečky znamenají sta</w:t>
                      </w:r>
                      <w:r w:rsidRPr="00C81344">
                        <w:rPr>
                          <w:color w:val="auto"/>
                          <w:kern w:val="2"/>
                          <w:sz w:val="16"/>
                          <w:szCs w:val="16"/>
                        </w:rPr>
                        <w:t>bilitu ratingu</w:t>
                      </w:r>
                    </w:p>
                  </w:txbxContent>
                </v:textbox>
                <w10:wrap type="square" anchorx="margin"/>
              </v:shape>
            </w:pict>
          </mc:Fallback>
        </mc:AlternateContent>
      </w:r>
      <w:r>
        <w:t>R</w:t>
      </w:r>
      <w:r w:rsidRPr="004D420A">
        <w:t xml:space="preserve">atingové </w:t>
      </w:r>
      <w:r>
        <w:t xml:space="preserve">agentury </w:t>
      </w:r>
      <w:r w:rsidRPr="004D420A">
        <w:t>vyhodnocuj</w:t>
      </w:r>
      <w:r>
        <w:t>í</w:t>
      </w:r>
      <w:r w:rsidRPr="004D420A">
        <w:t xml:space="preserve"> dostupné aktuální a</w:t>
      </w:r>
      <w:r>
        <w:t> </w:t>
      </w:r>
      <w:r w:rsidRPr="004D420A">
        <w:t>historické informace a posuzuj</w:t>
      </w:r>
      <w:r>
        <w:t>í</w:t>
      </w:r>
      <w:r w:rsidRPr="004D420A">
        <w:t xml:space="preserve"> potenciální dopad předvídatelných budoucích událostí. </w:t>
      </w:r>
      <w:r>
        <w:t>P</w:t>
      </w:r>
      <w:r w:rsidRPr="004D420A">
        <w:t xml:space="preserve">ři hodnocení může agentura zohlednit </w:t>
      </w:r>
      <w:r>
        <w:t xml:space="preserve">např. </w:t>
      </w:r>
      <w:r w:rsidRPr="004D420A">
        <w:t xml:space="preserve">očekávané vzestupy </w:t>
      </w:r>
      <w:r w:rsidRPr="004D420A">
        <w:t>a</w:t>
      </w:r>
      <w:r w:rsidR="00F91900">
        <w:t> </w:t>
      </w:r>
      <w:r w:rsidRPr="004D420A">
        <w:t>pády v</w:t>
      </w:r>
      <w:r>
        <w:t xml:space="preserve"> průběhu</w:t>
      </w:r>
      <w:r w:rsidRPr="004D420A">
        <w:t xml:space="preserve"> </w:t>
      </w:r>
      <w:r>
        <w:t>hospodářského</w:t>
      </w:r>
      <w:r w:rsidRPr="004D420A">
        <w:t xml:space="preserve"> cyklu. Zatímco výhledové názory ratingových agentur mohou být užitečné pro investory a</w:t>
      </w:r>
      <w:r>
        <w:t> </w:t>
      </w:r>
      <w:r w:rsidRPr="004D420A">
        <w:t>účastníky trhu, kteří přijímají dlouhodobá nebo krátkodobá investiční a obchodní rozhodnutí, úvěrové ratingy nejsou zárukou, že se investice vyplatí nebo že nedojde k selhání.</w:t>
      </w:r>
      <w:r>
        <w:t xml:space="preserve"> </w:t>
      </w:r>
      <w:r w:rsidRPr="004D420A">
        <w:t xml:space="preserve">Úvěrové ratingy </w:t>
      </w:r>
      <w:r>
        <w:t xml:space="preserve">ovšem </w:t>
      </w:r>
      <w:r w:rsidRPr="004D420A">
        <w:t>mohou usnadnit proces vydávání a nákupu dluhopisů a jiných dluhových emisí tím, že poskytují efektivní, široce uznávané a dlouhodobé měření relativního úvěrového rizika.</w:t>
      </w:r>
      <w:r>
        <w:t xml:space="preserve"> R</w:t>
      </w:r>
      <w:r w:rsidRPr="004D420A">
        <w:t xml:space="preserve">atingy </w:t>
      </w:r>
      <w:r>
        <w:t xml:space="preserve">tak zlepšují </w:t>
      </w:r>
      <w:r w:rsidRPr="004D420A">
        <w:t>efektiv</w:t>
      </w:r>
      <w:r>
        <w:t>itu</w:t>
      </w:r>
      <w:r w:rsidRPr="004D420A">
        <w:t xml:space="preserve"> kapitálov</w:t>
      </w:r>
      <w:r>
        <w:t>ého</w:t>
      </w:r>
      <w:r w:rsidRPr="004D420A">
        <w:t xml:space="preserve"> trh</w:t>
      </w:r>
      <w:r>
        <w:t>u</w:t>
      </w:r>
      <w:r w:rsidRPr="004D420A">
        <w:t>. Poskytují transparentní</w:t>
      </w:r>
      <w:r>
        <w:t xml:space="preserve"> a</w:t>
      </w:r>
      <w:r w:rsidR="00F91900">
        <w:t> </w:t>
      </w:r>
      <w:r>
        <w:t>nezaujaté</w:t>
      </w:r>
      <w:r w:rsidRPr="004D420A">
        <w:t xml:space="preserve"> informace, které nejsou pouze výhledové, ale jsou standardizované </w:t>
      </w:r>
      <w:r>
        <w:t>a</w:t>
      </w:r>
      <w:r w:rsidRPr="004D420A">
        <w:t xml:space="preserve"> konzisten</w:t>
      </w:r>
      <w:r>
        <w:t>tní</w:t>
      </w:r>
      <w:r w:rsidRPr="004D420A">
        <w:t>.</w:t>
      </w:r>
      <w:r w:rsidRPr="00E157B6">
        <w:rPr>
          <w:noProof/>
          <w:lang w:eastAsia="cs-CZ"/>
        </w:rPr>
        <w:t xml:space="preserve"> </w:t>
      </w:r>
      <w:r w:rsidRPr="00867985">
        <w:t>Česká republika je dle předních ratingových agentur hodnocena příznivě</w:t>
      </w:r>
      <w:r>
        <w:t>, s v</w:t>
      </w:r>
      <w:r w:rsidRPr="004D420A">
        <w:t>elmi siln</w:t>
      </w:r>
      <w:r>
        <w:t>ou</w:t>
      </w:r>
      <w:r w:rsidRPr="004D420A">
        <w:t xml:space="preserve"> schopnost</w:t>
      </w:r>
      <w:r>
        <w:t>í</w:t>
      </w:r>
      <w:r w:rsidRPr="004D420A">
        <w:t xml:space="preserve"> dostát finančním závazkům</w:t>
      </w:r>
      <w:r>
        <w:t xml:space="preserve"> a se stabilním výhledem</w:t>
      </w:r>
      <w:r w:rsidRPr="00867985">
        <w:rPr>
          <w:vertAlign w:val="superscript"/>
        </w:rPr>
        <w:endnoteReference w:id="25"/>
      </w:r>
      <w:r w:rsidRPr="00867985">
        <w:t>.</w:t>
      </w:r>
    </w:p>
    <w:p w14:paraId="3228C48F" w14:textId="77777777" w:rsidR="002B6B23" w:rsidRPr="00301991" w:rsidRDefault="002B6B23" w:rsidP="002B6B23">
      <w:pPr>
        <w:sectPr w:rsidR="002B6B23" w:rsidRPr="00301991" w:rsidSect="002234D9">
          <w:endnotePr>
            <w:numFmt w:val="decimal"/>
          </w:endnotePr>
          <w:type w:val="continuous"/>
          <w:pgSz w:w="11906" w:h="16838"/>
          <w:pgMar w:top="1134" w:right="992" w:bottom="1134" w:left="992" w:header="709" w:footer="709" w:gutter="0"/>
          <w:cols w:num="2" w:space="284"/>
          <w:docGrid w:linePitch="360"/>
        </w:sectPr>
      </w:pPr>
    </w:p>
    <w:p w14:paraId="61097E2F" w14:textId="70B43E64" w:rsidR="002B6B23" w:rsidRDefault="002B6B23" w:rsidP="00BB5751"/>
    <w:p w14:paraId="443AC1EB" w14:textId="77777777" w:rsidR="002B6B23" w:rsidRPr="00BB5751" w:rsidRDefault="002B6B23" w:rsidP="002B6B23">
      <w:pPr>
        <w:sectPr w:rsidR="002B6B23" w:rsidRPr="00BB5751" w:rsidSect="006B2936">
          <w:headerReference w:type="default" r:id="rId58"/>
          <w:footerReference w:type="default" r:id="rId59"/>
          <w:headerReference w:type="first" r:id="rId60"/>
          <w:type w:val="continuous"/>
          <w:pgSz w:w="11906" w:h="16838"/>
          <w:pgMar w:top="1134" w:right="992" w:bottom="1134" w:left="992" w:header="709" w:footer="709" w:gutter="0"/>
          <w:cols w:num="2" w:space="282"/>
          <w:docGrid w:linePitch="360"/>
        </w:sectPr>
      </w:pPr>
    </w:p>
    <w:p w14:paraId="69A91E91" w14:textId="77777777" w:rsidR="00492E10" w:rsidRDefault="00492E10" w:rsidP="00A337B2">
      <w:pPr>
        <w:pStyle w:val="Text"/>
        <w:ind w:right="-1"/>
        <w:rPr>
          <w:rFonts w:cstheme="minorHAnsi"/>
          <w:bdr w:val="none" w:sz="0" w:space="0" w:color="auto" w:frame="1"/>
        </w:rPr>
      </w:pPr>
    </w:p>
    <w:p w14:paraId="3A136C52" w14:textId="77777777" w:rsidR="00B94A20" w:rsidRDefault="00B94A20" w:rsidP="00A337B2">
      <w:pPr>
        <w:pStyle w:val="Text"/>
        <w:ind w:right="-1"/>
        <w:rPr>
          <w:rFonts w:cstheme="minorHAnsi"/>
          <w:bdr w:val="none" w:sz="0" w:space="0" w:color="auto" w:frame="1"/>
        </w:rPr>
        <w:sectPr w:rsidR="00B94A20" w:rsidSect="008203F7">
          <w:headerReference w:type="default" r:id="rId61"/>
          <w:type w:val="continuous"/>
          <w:pgSz w:w="11906" w:h="16838"/>
          <w:pgMar w:top="1134" w:right="992" w:bottom="1134" w:left="992" w:header="709" w:footer="709" w:gutter="0"/>
          <w:cols w:space="708"/>
          <w:docGrid w:linePitch="360"/>
        </w:sectPr>
      </w:pPr>
    </w:p>
    <w:p w14:paraId="01BAE85D" w14:textId="425BD317" w:rsidR="005C65DB" w:rsidRDefault="005C65DB" w:rsidP="008124B3">
      <w:bookmarkStart w:id="34" w:name="_Toc167264031"/>
      <w:r>
        <w:br w:type="page"/>
      </w:r>
    </w:p>
    <w:p w14:paraId="57BE0075" w14:textId="1C0BC6ED" w:rsidR="007C3EDA" w:rsidRDefault="005C65DB" w:rsidP="00D45A73">
      <w:pPr>
        <w:pStyle w:val="Nadpis1"/>
      </w:pPr>
      <w:bookmarkStart w:id="35" w:name="_Toc174703070"/>
      <w:r>
        <w:lastRenderedPageBreak/>
        <w:t>STRATEGIE</w:t>
      </w:r>
      <w:r w:rsidR="00C37AFF">
        <w:t xml:space="preserve"> A JEJÍ OBLASTI</w:t>
      </w:r>
      <w:bookmarkEnd w:id="35"/>
    </w:p>
    <w:p w14:paraId="7690262C" w14:textId="0F57C2D1" w:rsidR="009E69B7" w:rsidRPr="00395AD4" w:rsidRDefault="00293824" w:rsidP="001E2F1B">
      <w:pPr>
        <w:rPr>
          <w:b/>
          <w:bCs/>
        </w:rPr>
      </w:pPr>
      <w:r>
        <w:t xml:space="preserve">Konkurenceschopnost je klíčovým faktorem, který umožňuje zemi zajistit </w:t>
      </w:r>
      <w:r w:rsidR="00A15803" w:rsidRPr="009C157C">
        <w:rPr>
          <w:color w:val="auto"/>
        </w:rPr>
        <w:t xml:space="preserve">v dlouhodobém horizontu </w:t>
      </w:r>
      <w:r w:rsidR="005001E9">
        <w:rPr>
          <w:color w:val="auto"/>
        </w:rPr>
        <w:t xml:space="preserve">ekonomicky i environmentálně </w:t>
      </w:r>
      <w:r w:rsidR="00A15803" w:rsidRPr="009C157C">
        <w:rPr>
          <w:color w:val="auto"/>
        </w:rPr>
        <w:t>udržiteln</w:t>
      </w:r>
      <w:r w:rsidR="00A15803">
        <w:rPr>
          <w:color w:val="auto"/>
        </w:rPr>
        <w:t>ý</w:t>
      </w:r>
      <w:r w:rsidR="00A15803" w:rsidRPr="009C157C">
        <w:rPr>
          <w:color w:val="auto"/>
        </w:rPr>
        <w:t xml:space="preserve"> hospodářsk</w:t>
      </w:r>
      <w:r w:rsidR="00A15803">
        <w:rPr>
          <w:color w:val="auto"/>
        </w:rPr>
        <w:t>ý</w:t>
      </w:r>
      <w:r w:rsidR="00A15803" w:rsidRPr="009C157C">
        <w:rPr>
          <w:color w:val="auto"/>
        </w:rPr>
        <w:t xml:space="preserve"> </w:t>
      </w:r>
      <w:r>
        <w:t>růst a zlepšit životní úroveň svých obyvatel</w:t>
      </w:r>
      <w:r w:rsidR="00A15803">
        <w:t xml:space="preserve">. </w:t>
      </w:r>
      <w:r w:rsidR="00A15803">
        <w:rPr>
          <w:color w:val="auto"/>
        </w:rPr>
        <w:t>Představuje</w:t>
      </w:r>
      <w:r w:rsidR="009C157C" w:rsidRPr="009C157C">
        <w:rPr>
          <w:color w:val="auto"/>
        </w:rPr>
        <w:t xml:space="preserve"> </w:t>
      </w:r>
      <w:r w:rsidR="00A15803">
        <w:rPr>
          <w:color w:val="auto"/>
        </w:rPr>
        <w:t xml:space="preserve">schopnost prosadit se na globálním trhu, která závisí na vyspělosti výzkumu, vývoje a inovací, efektivní výrobě a </w:t>
      </w:r>
      <w:r w:rsidR="001E2F1B">
        <w:rPr>
          <w:color w:val="auto"/>
        </w:rPr>
        <w:t>úspěšném obchodu</w:t>
      </w:r>
      <w:r w:rsidR="009C157C" w:rsidRPr="009C157C">
        <w:rPr>
          <w:color w:val="auto"/>
        </w:rPr>
        <w:t>.</w:t>
      </w:r>
      <w:r w:rsidR="001E2F1B">
        <w:rPr>
          <w:color w:val="auto"/>
        </w:rPr>
        <w:t xml:space="preserve"> Z toho důvodu si Hospodářská strategie stanovila za cíl </w:t>
      </w:r>
      <w:r w:rsidR="001E2F1B">
        <w:rPr>
          <w:b/>
          <w:bCs/>
        </w:rPr>
        <w:t>d</w:t>
      </w:r>
      <w:r w:rsidR="009E69B7" w:rsidRPr="00395AD4">
        <w:rPr>
          <w:b/>
          <w:bCs/>
        </w:rPr>
        <w:t>os</w:t>
      </w:r>
      <w:r w:rsidR="001E2F1B">
        <w:rPr>
          <w:b/>
          <w:bCs/>
        </w:rPr>
        <w:t>ažení</w:t>
      </w:r>
      <w:r w:rsidR="009E69B7" w:rsidRPr="00395AD4">
        <w:rPr>
          <w:b/>
          <w:bCs/>
        </w:rPr>
        <w:t xml:space="preserve"> dlouhodobě udržitelného </w:t>
      </w:r>
      <w:r w:rsidR="00A217FA">
        <w:rPr>
          <w:b/>
          <w:bCs/>
        </w:rPr>
        <w:t xml:space="preserve">růstu </w:t>
      </w:r>
      <w:r w:rsidR="009E69B7" w:rsidRPr="00395AD4">
        <w:rPr>
          <w:b/>
          <w:bCs/>
        </w:rPr>
        <w:t>českého hospodářství založeného na konkurenceschopnosti a vysoké přidané hodnotě.</w:t>
      </w:r>
    </w:p>
    <w:p w14:paraId="692BA47D" w14:textId="57B180C6" w:rsidR="005C65DB" w:rsidRDefault="00B62668" w:rsidP="0032292E">
      <w:pPr>
        <w:rPr>
          <w:color w:val="auto"/>
        </w:rPr>
      </w:pPr>
      <w:r>
        <w:rPr>
          <w:color w:val="auto"/>
        </w:rPr>
        <w:t>Pro dosažení tohoto cíle definuje Hospodářská strategie klíčové strategické oblasti, které jsou hlavními hybateli ekonomického pokroku a vý</w:t>
      </w:r>
      <w:r w:rsidR="002461F3">
        <w:rPr>
          <w:color w:val="auto"/>
        </w:rPr>
        <w:t>znamně</w:t>
      </w:r>
      <w:r>
        <w:rPr>
          <w:color w:val="auto"/>
        </w:rPr>
        <w:t xml:space="preserve"> se podílejí na </w:t>
      </w:r>
      <w:r w:rsidR="00C37AFF">
        <w:rPr>
          <w:color w:val="auto"/>
        </w:rPr>
        <w:t xml:space="preserve">růstu přidané hodnoty, čímž přispívají k blahobytu. </w:t>
      </w:r>
      <w:r>
        <w:rPr>
          <w:color w:val="auto"/>
        </w:rPr>
        <w:t xml:space="preserve">Oblast </w:t>
      </w:r>
      <w:r w:rsidR="006E7F34">
        <w:rPr>
          <w:i/>
          <w:iCs/>
        </w:rPr>
        <w:t>1. L</w:t>
      </w:r>
      <w:r w:rsidRPr="005128A5">
        <w:rPr>
          <w:i/>
          <w:iCs/>
        </w:rPr>
        <w:t>idský kapitál, produktivita a přidaná hodnota</w:t>
      </w:r>
      <w:r>
        <w:t xml:space="preserve"> zahrnuje klíčové prvky</w:t>
      </w:r>
      <w:r w:rsidR="00770437">
        <w:t xml:space="preserve"> zahrnující</w:t>
      </w:r>
      <w:r>
        <w:t xml:space="preserve"> vzdělávání a</w:t>
      </w:r>
      <w:r w:rsidR="00C37AFF">
        <w:t> </w:t>
      </w:r>
      <w:r>
        <w:t>zdraví obyvatelstva, výzkum, vývoj, inovace, podnikatelské prostředí nebo efektivně fungující veřejn</w:t>
      </w:r>
      <w:r w:rsidR="00770437">
        <w:t>ou</w:t>
      </w:r>
      <w:r>
        <w:t xml:space="preserve"> správ</w:t>
      </w:r>
      <w:r w:rsidR="00770437">
        <w:t>u</w:t>
      </w:r>
      <w:r>
        <w:t xml:space="preserve">. Oblast </w:t>
      </w:r>
      <w:r w:rsidR="006E7F34">
        <w:rPr>
          <w:i/>
          <w:iCs/>
        </w:rPr>
        <w:t>2.</w:t>
      </w:r>
      <w:r w:rsidR="00770437">
        <w:rPr>
          <w:i/>
          <w:iCs/>
        </w:rPr>
        <w:t> </w:t>
      </w:r>
      <w:r w:rsidR="006E7F34">
        <w:rPr>
          <w:i/>
          <w:iCs/>
        </w:rPr>
        <w:t>S</w:t>
      </w:r>
      <w:r w:rsidRPr="005128A5">
        <w:rPr>
          <w:i/>
          <w:iCs/>
        </w:rPr>
        <w:t>trategick</w:t>
      </w:r>
      <w:r w:rsidR="00C37AFF">
        <w:rPr>
          <w:i/>
          <w:iCs/>
        </w:rPr>
        <w:t>á</w:t>
      </w:r>
      <w:r w:rsidRPr="005128A5">
        <w:rPr>
          <w:i/>
          <w:iCs/>
        </w:rPr>
        <w:t xml:space="preserve"> infrastruktur</w:t>
      </w:r>
      <w:r w:rsidR="00C37AFF">
        <w:rPr>
          <w:i/>
          <w:iCs/>
        </w:rPr>
        <w:t>a</w:t>
      </w:r>
      <w:r>
        <w:t xml:space="preserve"> pak pokrývá </w:t>
      </w:r>
      <w:r w:rsidR="00770437">
        <w:t>potřebné aktivity</w:t>
      </w:r>
      <w:r>
        <w:t xml:space="preserve"> </w:t>
      </w:r>
      <w:r w:rsidR="00C37AFF">
        <w:t>v dopravě, energetice a v současné době klíčové ochraně.</w:t>
      </w:r>
    </w:p>
    <w:p w14:paraId="601C7166" w14:textId="55F004C1" w:rsidR="002D434E" w:rsidRPr="0032292E" w:rsidRDefault="002D434E" w:rsidP="0032292E">
      <w:pPr>
        <w:rPr>
          <w:color w:val="auto"/>
        </w:rPr>
      </w:pPr>
      <w:r>
        <w:rPr>
          <w:color w:val="auto"/>
        </w:rPr>
        <w:t>Z</w:t>
      </w:r>
      <w:r w:rsidR="00C37AFF">
        <w:rPr>
          <w:color w:val="auto"/>
        </w:rPr>
        <w:t xml:space="preserve"> </w:t>
      </w:r>
      <w:r>
        <w:rPr>
          <w:color w:val="auto"/>
        </w:rPr>
        <w:t xml:space="preserve">hlediska Hospodářské strategie bude </w:t>
      </w:r>
      <w:r w:rsidR="00C37AFF">
        <w:rPr>
          <w:color w:val="auto"/>
        </w:rPr>
        <w:t xml:space="preserve">zásadní </w:t>
      </w:r>
      <w:r>
        <w:rPr>
          <w:color w:val="auto"/>
        </w:rPr>
        <w:t xml:space="preserve">podpora růstu nabídkové strany, a to jednak zajištěním potřebné infrastruktury, ale také vytvořením příznivých podmínek pro podniky a lidi, tj. vybudováním prostředí, které </w:t>
      </w:r>
      <w:r w:rsidR="00770437">
        <w:rPr>
          <w:color w:val="auto"/>
        </w:rPr>
        <w:t xml:space="preserve">nebude závislé na podpoře, ale </w:t>
      </w:r>
      <w:r>
        <w:rPr>
          <w:color w:val="auto"/>
        </w:rPr>
        <w:t xml:space="preserve">bude motivovat a náležitě odměňovat vyšší výkon. </w:t>
      </w:r>
      <w:r w:rsidR="00770437">
        <w:rPr>
          <w:color w:val="auto"/>
        </w:rPr>
        <w:t xml:space="preserve">Oblasti, které mají potenciál výrazně přispět k růstu konkurenceschopnosti ekonomiky České republiky jsou popsány v části </w:t>
      </w:r>
      <w:r w:rsidR="00770437" w:rsidRPr="00770437">
        <w:rPr>
          <w:i/>
          <w:iCs/>
          <w:color w:val="auto"/>
        </w:rPr>
        <w:t>3. Industrializace s přidanou hodnotou</w:t>
      </w:r>
      <w:r w:rsidR="00770437">
        <w:rPr>
          <w:color w:val="auto"/>
        </w:rPr>
        <w:t xml:space="preserve">. Klíčová ve výše definovaném cíli je ovšem také udržitelnost, která se kromě samotného fungování hospodářství váže také k veřejným financím, čemuž je věnována oblast </w:t>
      </w:r>
      <w:r w:rsidR="00770437">
        <w:rPr>
          <w:i/>
          <w:iCs/>
          <w:color w:val="auto"/>
        </w:rPr>
        <w:t>4. F</w:t>
      </w:r>
      <w:r w:rsidR="00770437" w:rsidRPr="005128A5">
        <w:rPr>
          <w:i/>
          <w:iCs/>
          <w:color w:val="auto"/>
        </w:rPr>
        <w:t>inancování</w:t>
      </w:r>
      <w:r w:rsidR="00770437">
        <w:rPr>
          <w:color w:val="auto"/>
        </w:rPr>
        <w:t>.</w:t>
      </w:r>
    </w:p>
    <w:tbl>
      <w:tblPr>
        <w:tblW w:w="0" w:type="auto"/>
        <w:tblLayout w:type="fixed"/>
        <w:tblCellMar>
          <w:left w:w="70" w:type="dxa"/>
          <w:right w:w="70" w:type="dxa"/>
        </w:tblCellMar>
        <w:tblLook w:val="04A0" w:firstRow="1" w:lastRow="0" w:firstColumn="1" w:lastColumn="0" w:noHBand="0" w:noVBand="1"/>
      </w:tblPr>
      <w:tblGrid>
        <w:gridCol w:w="4820"/>
        <w:gridCol w:w="5102"/>
      </w:tblGrid>
      <w:tr w:rsidR="005128A5" w:rsidRPr="005128A5" w14:paraId="316642C4" w14:textId="77777777" w:rsidTr="005128A5">
        <w:trPr>
          <w:trHeight w:val="48"/>
        </w:trPr>
        <w:tc>
          <w:tcPr>
            <w:tcW w:w="4820" w:type="dxa"/>
            <w:tcBorders>
              <w:top w:val="single" w:sz="8" w:space="0" w:color="auto"/>
              <w:left w:val="nil"/>
              <w:bottom w:val="single" w:sz="4" w:space="0" w:color="auto"/>
              <w:right w:val="nil"/>
            </w:tcBorders>
            <w:shd w:val="clear" w:color="auto" w:fill="auto"/>
            <w:noWrap/>
            <w:vAlign w:val="bottom"/>
            <w:hideMark/>
          </w:tcPr>
          <w:p w14:paraId="7E6E27E5" w14:textId="77777777" w:rsidR="005128A5" w:rsidRPr="005128A5" w:rsidRDefault="005128A5" w:rsidP="005128A5">
            <w:pPr>
              <w:spacing w:after="0"/>
              <w:jc w:val="left"/>
              <w:rPr>
                <w:rFonts w:ascii="Calibri" w:eastAsia="Times New Roman" w:hAnsi="Calibri" w:cs="Calibri"/>
                <w:b/>
                <w:bCs/>
                <w:color w:val="000000"/>
                <w:sz w:val="20"/>
                <w:szCs w:val="20"/>
                <w:lang w:eastAsia="cs-CZ"/>
              </w:rPr>
            </w:pPr>
            <w:r w:rsidRPr="005128A5">
              <w:rPr>
                <w:rFonts w:ascii="Calibri" w:eastAsia="Times New Roman" w:hAnsi="Calibri" w:cs="Calibri"/>
                <w:b/>
                <w:bCs/>
                <w:color w:val="000000"/>
                <w:sz w:val="20"/>
                <w:szCs w:val="20"/>
                <w:lang w:eastAsia="cs-CZ"/>
              </w:rPr>
              <w:t>1. Lidský kapitál, produktivita a přidaná hodnota</w:t>
            </w:r>
          </w:p>
        </w:tc>
        <w:tc>
          <w:tcPr>
            <w:tcW w:w="5102" w:type="dxa"/>
            <w:tcBorders>
              <w:top w:val="single" w:sz="8" w:space="0" w:color="auto"/>
              <w:left w:val="nil"/>
              <w:bottom w:val="single" w:sz="4" w:space="0" w:color="auto"/>
              <w:right w:val="nil"/>
            </w:tcBorders>
            <w:shd w:val="clear" w:color="auto" w:fill="auto"/>
            <w:noWrap/>
            <w:vAlign w:val="bottom"/>
            <w:hideMark/>
          </w:tcPr>
          <w:p w14:paraId="62FD7B0B" w14:textId="77777777" w:rsidR="005128A5" w:rsidRPr="005128A5" w:rsidRDefault="005128A5" w:rsidP="005128A5">
            <w:pPr>
              <w:spacing w:after="0"/>
              <w:jc w:val="left"/>
              <w:rPr>
                <w:rFonts w:ascii="Calibri" w:eastAsia="Times New Roman" w:hAnsi="Calibri" w:cs="Calibri"/>
                <w:b/>
                <w:bCs/>
                <w:color w:val="000000"/>
                <w:sz w:val="20"/>
                <w:szCs w:val="20"/>
                <w:lang w:eastAsia="cs-CZ"/>
              </w:rPr>
            </w:pPr>
            <w:r w:rsidRPr="005128A5">
              <w:rPr>
                <w:rFonts w:ascii="Calibri" w:eastAsia="Times New Roman" w:hAnsi="Calibri" w:cs="Calibri"/>
                <w:b/>
                <w:bCs/>
                <w:color w:val="000000"/>
                <w:sz w:val="20"/>
                <w:szCs w:val="20"/>
                <w:lang w:eastAsia="cs-CZ"/>
              </w:rPr>
              <w:t>2. Strategická infrastruktura</w:t>
            </w:r>
          </w:p>
        </w:tc>
      </w:tr>
      <w:tr w:rsidR="005128A5" w:rsidRPr="005128A5" w14:paraId="3170ABB8" w14:textId="77777777" w:rsidTr="005128A5">
        <w:trPr>
          <w:trHeight w:val="288"/>
        </w:trPr>
        <w:tc>
          <w:tcPr>
            <w:tcW w:w="4820" w:type="dxa"/>
            <w:tcBorders>
              <w:top w:val="single" w:sz="4" w:space="0" w:color="auto"/>
              <w:left w:val="nil"/>
              <w:bottom w:val="nil"/>
              <w:right w:val="nil"/>
            </w:tcBorders>
            <w:shd w:val="clear" w:color="auto" w:fill="auto"/>
            <w:noWrap/>
            <w:vAlign w:val="bottom"/>
            <w:hideMark/>
          </w:tcPr>
          <w:p w14:paraId="3B1C3704" w14:textId="77777777" w:rsidR="005128A5" w:rsidRPr="005128A5" w:rsidRDefault="005128A5" w:rsidP="005128A5">
            <w:pPr>
              <w:spacing w:after="0"/>
              <w:jc w:val="left"/>
              <w:rPr>
                <w:rFonts w:ascii="Calibri" w:eastAsia="Times New Roman" w:hAnsi="Calibri" w:cs="Calibri"/>
                <w:color w:val="000000"/>
                <w:sz w:val="20"/>
                <w:szCs w:val="20"/>
                <w:lang w:eastAsia="cs-CZ"/>
              </w:rPr>
            </w:pPr>
            <w:r w:rsidRPr="005128A5">
              <w:rPr>
                <w:rFonts w:ascii="Calibri" w:eastAsia="Times New Roman" w:hAnsi="Calibri" w:cs="Calibri"/>
                <w:color w:val="000000"/>
                <w:sz w:val="20"/>
                <w:szCs w:val="20"/>
                <w:lang w:eastAsia="cs-CZ"/>
              </w:rPr>
              <w:t>1.1 Lidský kapitál (vzdělávání, trh práce, zdraví)</w:t>
            </w:r>
          </w:p>
        </w:tc>
        <w:tc>
          <w:tcPr>
            <w:tcW w:w="5102" w:type="dxa"/>
            <w:tcBorders>
              <w:top w:val="single" w:sz="4" w:space="0" w:color="auto"/>
              <w:left w:val="nil"/>
              <w:bottom w:val="nil"/>
              <w:right w:val="nil"/>
            </w:tcBorders>
            <w:shd w:val="clear" w:color="auto" w:fill="auto"/>
            <w:noWrap/>
            <w:vAlign w:val="bottom"/>
            <w:hideMark/>
          </w:tcPr>
          <w:p w14:paraId="447757D0" w14:textId="77777777" w:rsidR="005128A5" w:rsidRPr="005128A5" w:rsidRDefault="005128A5" w:rsidP="005128A5">
            <w:pPr>
              <w:spacing w:after="0"/>
              <w:jc w:val="left"/>
              <w:rPr>
                <w:rFonts w:ascii="Calibri" w:eastAsia="Times New Roman" w:hAnsi="Calibri" w:cs="Calibri"/>
                <w:color w:val="000000"/>
                <w:sz w:val="20"/>
                <w:szCs w:val="20"/>
                <w:lang w:eastAsia="cs-CZ"/>
              </w:rPr>
            </w:pPr>
            <w:r w:rsidRPr="005128A5">
              <w:rPr>
                <w:rFonts w:ascii="Calibri" w:eastAsia="Times New Roman" w:hAnsi="Calibri" w:cs="Calibri"/>
                <w:color w:val="000000"/>
                <w:sz w:val="20"/>
                <w:szCs w:val="20"/>
                <w:lang w:eastAsia="cs-CZ"/>
              </w:rPr>
              <w:t>2.1. Energetická infrastruktura a dekarbonizace</w:t>
            </w:r>
          </w:p>
        </w:tc>
      </w:tr>
      <w:tr w:rsidR="005128A5" w:rsidRPr="005128A5" w14:paraId="4599243B" w14:textId="77777777" w:rsidTr="005128A5">
        <w:trPr>
          <w:trHeight w:val="288"/>
        </w:trPr>
        <w:tc>
          <w:tcPr>
            <w:tcW w:w="4820" w:type="dxa"/>
            <w:tcBorders>
              <w:top w:val="nil"/>
              <w:left w:val="nil"/>
              <w:bottom w:val="nil"/>
              <w:right w:val="nil"/>
            </w:tcBorders>
            <w:shd w:val="clear" w:color="auto" w:fill="auto"/>
            <w:noWrap/>
            <w:vAlign w:val="bottom"/>
            <w:hideMark/>
          </w:tcPr>
          <w:p w14:paraId="4A786D90" w14:textId="77777777" w:rsidR="005128A5" w:rsidRPr="005128A5" w:rsidRDefault="005128A5" w:rsidP="005128A5">
            <w:pPr>
              <w:spacing w:after="0"/>
              <w:jc w:val="left"/>
              <w:rPr>
                <w:rFonts w:ascii="Calibri" w:eastAsia="Times New Roman" w:hAnsi="Calibri" w:cs="Calibri"/>
                <w:color w:val="000000"/>
                <w:sz w:val="20"/>
                <w:szCs w:val="20"/>
                <w:lang w:eastAsia="cs-CZ"/>
              </w:rPr>
            </w:pPr>
            <w:r w:rsidRPr="005128A5">
              <w:rPr>
                <w:rFonts w:ascii="Calibri" w:eastAsia="Times New Roman" w:hAnsi="Calibri" w:cs="Calibri"/>
                <w:color w:val="000000"/>
                <w:sz w:val="20"/>
                <w:szCs w:val="20"/>
                <w:lang w:eastAsia="cs-CZ"/>
              </w:rPr>
              <w:t>1.2 Výzkum, vývoj a inovace</w:t>
            </w:r>
          </w:p>
        </w:tc>
        <w:tc>
          <w:tcPr>
            <w:tcW w:w="5102" w:type="dxa"/>
            <w:tcBorders>
              <w:top w:val="nil"/>
              <w:left w:val="nil"/>
              <w:bottom w:val="nil"/>
              <w:right w:val="nil"/>
            </w:tcBorders>
            <w:shd w:val="clear" w:color="auto" w:fill="auto"/>
            <w:noWrap/>
            <w:vAlign w:val="bottom"/>
            <w:hideMark/>
          </w:tcPr>
          <w:p w14:paraId="090FFE3D" w14:textId="77777777" w:rsidR="005128A5" w:rsidRPr="005128A5" w:rsidRDefault="005128A5" w:rsidP="005128A5">
            <w:pPr>
              <w:spacing w:after="0"/>
              <w:jc w:val="left"/>
              <w:rPr>
                <w:rFonts w:ascii="Calibri" w:eastAsia="Times New Roman" w:hAnsi="Calibri" w:cs="Calibri"/>
                <w:color w:val="000000"/>
                <w:sz w:val="20"/>
                <w:szCs w:val="20"/>
                <w:lang w:eastAsia="cs-CZ"/>
              </w:rPr>
            </w:pPr>
            <w:r w:rsidRPr="005128A5">
              <w:rPr>
                <w:rFonts w:ascii="Calibri" w:eastAsia="Times New Roman" w:hAnsi="Calibri" w:cs="Calibri"/>
                <w:color w:val="000000"/>
                <w:sz w:val="20"/>
                <w:szCs w:val="20"/>
                <w:lang w:eastAsia="cs-CZ"/>
              </w:rPr>
              <w:t>2.2. Dopravní infrastruktura</w:t>
            </w:r>
          </w:p>
        </w:tc>
      </w:tr>
      <w:tr w:rsidR="005128A5" w:rsidRPr="005128A5" w14:paraId="04E6B9A2" w14:textId="77777777" w:rsidTr="005128A5">
        <w:trPr>
          <w:trHeight w:val="288"/>
        </w:trPr>
        <w:tc>
          <w:tcPr>
            <w:tcW w:w="4820" w:type="dxa"/>
            <w:tcBorders>
              <w:top w:val="nil"/>
              <w:left w:val="nil"/>
              <w:bottom w:val="nil"/>
              <w:right w:val="nil"/>
            </w:tcBorders>
            <w:shd w:val="clear" w:color="auto" w:fill="auto"/>
            <w:noWrap/>
            <w:vAlign w:val="bottom"/>
            <w:hideMark/>
          </w:tcPr>
          <w:p w14:paraId="1F0FBC82" w14:textId="77777777" w:rsidR="005128A5" w:rsidRPr="005128A5" w:rsidRDefault="005128A5" w:rsidP="005128A5">
            <w:pPr>
              <w:spacing w:after="0"/>
              <w:jc w:val="left"/>
              <w:rPr>
                <w:rFonts w:ascii="Calibri" w:eastAsia="Times New Roman" w:hAnsi="Calibri" w:cs="Calibri"/>
                <w:color w:val="000000"/>
                <w:sz w:val="20"/>
                <w:szCs w:val="20"/>
                <w:lang w:eastAsia="cs-CZ"/>
              </w:rPr>
            </w:pPr>
            <w:r w:rsidRPr="005128A5">
              <w:rPr>
                <w:rFonts w:ascii="Calibri" w:eastAsia="Times New Roman" w:hAnsi="Calibri" w:cs="Calibri"/>
                <w:color w:val="000000"/>
                <w:sz w:val="20"/>
                <w:szCs w:val="20"/>
                <w:lang w:eastAsia="cs-CZ"/>
              </w:rPr>
              <w:t>1.3 Digitalizace a informační koncepce (</w:t>
            </w:r>
            <w:proofErr w:type="spellStart"/>
            <w:r w:rsidRPr="005128A5">
              <w:rPr>
                <w:rFonts w:ascii="Calibri" w:eastAsia="Times New Roman" w:hAnsi="Calibri" w:cs="Calibri"/>
                <w:color w:val="000000"/>
                <w:sz w:val="20"/>
                <w:szCs w:val="20"/>
                <w:lang w:eastAsia="cs-CZ"/>
              </w:rPr>
              <w:t>e-Government</w:t>
            </w:r>
            <w:proofErr w:type="spellEnd"/>
            <w:r w:rsidRPr="005128A5">
              <w:rPr>
                <w:rFonts w:ascii="Calibri" w:eastAsia="Times New Roman" w:hAnsi="Calibri" w:cs="Calibri"/>
                <w:color w:val="000000"/>
                <w:sz w:val="20"/>
                <w:szCs w:val="20"/>
                <w:lang w:eastAsia="cs-CZ"/>
              </w:rPr>
              <w:t>)</w:t>
            </w:r>
          </w:p>
        </w:tc>
        <w:tc>
          <w:tcPr>
            <w:tcW w:w="5102" w:type="dxa"/>
            <w:tcBorders>
              <w:top w:val="nil"/>
              <w:left w:val="nil"/>
              <w:bottom w:val="nil"/>
              <w:right w:val="nil"/>
            </w:tcBorders>
            <w:shd w:val="clear" w:color="auto" w:fill="auto"/>
            <w:noWrap/>
            <w:vAlign w:val="bottom"/>
            <w:hideMark/>
          </w:tcPr>
          <w:p w14:paraId="39BF8F3C" w14:textId="77777777" w:rsidR="005128A5" w:rsidRPr="005128A5" w:rsidRDefault="005128A5" w:rsidP="005128A5">
            <w:pPr>
              <w:spacing w:after="0"/>
              <w:jc w:val="left"/>
              <w:rPr>
                <w:rFonts w:ascii="Calibri" w:eastAsia="Times New Roman" w:hAnsi="Calibri" w:cs="Calibri"/>
                <w:color w:val="000000"/>
                <w:sz w:val="20"/>
                <w:szCs w:val="20"/>
                <w:lang w:eastAsia="cs-CZ"/>
              </w:rPr>
            </w:pPr>
            <w:r w:rsidRPr="005128A5">
              <w:rPr>
                <w:rFonts w:ascii="Calibri" w:eastAsia="Times New Roman" w:hAnsi="Calibri" w:cs="Calibri"/>
                <w:color w:val="000000"/>
                <w:sz w:val="20"/>
                <w:szCs w:val="20"/>
                <w:lang w:eastAsia="cs-CZ"/>
              </w:rPr>
              <w:t>2.3. Digitální infrastruktura, ekonomika a společnost</w:t>
            </w:r>
          </w:p>
        </w:tc>
      </w:tr>
      <w:tr w:rsidR="005128A5" w:rsidRPr="005128A5" w14:paraId="78AC6AC1" w14:textId="77777777" w:rsidTr="005128A5">
        <w:trPr>
          <w:trHeight w:val="288"/>
        </w:trPr>
        <w:tc>
          <w:tcPr>
            <w:tcW w:w="4820" w:type="dxa"/>
            <w:tcBorders>
              <w:top w:val="nil"/>
              <w:left w:val="nil"/>
              <w:bottom w:val="nil"/>
              <w:right w:val="nil"/>
            </w:tcBorders>
            <w:shd w:val="clear" w:color="auto" w:fill="auto"/>
            <w:noWrap/>
            <w:vAlign w:val="bottom"/>
            <w:hideMark/>
          </w:tcPr>
          <w:p w14:paraId="226C1E3F" w14:textId="77777777" w:rsidR="005128A5" w:rsidRPr="005128A5" w:rsidRDefault="005128A5" w:rsidP="005128A5">
            <w:pPr>
              <w:spacing w:after="0"/>
              <w:jc w:val="left"/>
              <w:rPr>
                <w:rFonts w:ascii="Calibri" w:eastAsia="Times New Roman" w:hAnsi="Calibri" w:cs="Calibri"/>
                <w:color w:val="000000"/>
                <w:sz w:val="20"/>
                <w:szCs w:val="20"/>
                <w:lang w:eastAsia="cs-CZ"/>
              </w:rPr>
            </w:pPr>
            <w:r w:rsidRPr="005128A5">
              <w:rPr>
                <w:rFonts w:ascii="Calibri" w:eastAsia="Times New Roman" w:hAnsi="Calibri" w:cs="Calibri"/>
                <w:color w:val="000000"/>
                <w:sz w:val="20"/>
                <w:szCs w:val="20"/>
                <w:lang w:eastAsia="cs-CZ"/>
              </w:rPr>
              <w:t>1.4 Fungující a efektivní regulace, podnikatelské prostředí</w:t>
            </w:r>
          </w:p>
        </w:tc>
        <w:tc>
          <w:tcPr>
            <w:tcW w:w="5102" w:type="dxa"/>
            <w:tcBorders>
              <w:top w:val="nil"/>
              <w:left w:val="nil"/>
              <w:bottom w:val="nil"/>
              <w:right w:val="nil"/>
            </w:tcBorders>
            <w:shd w:val="clear" w:color="auto" w:fill="auto"/>
            <w:noWrap/>
            <w:vAlign w:val="bottom"/>
            <w:hideMark/>
          </w:tcPr>
          <w:p w14:paraId="28D118AD" w14:textId="77777777" w:rsidR="005128A5" w:rsidRPr="005128A5" w:rsidRDefault="005128A5" w:rsidP="005128A5">
            <w:pPr>
              <w:spacing w:after="0"/>
              <w:jc w:val="left"/>
              <w:rPr>
                <w:rFonts w:ascii="Calibri" w:eastAsia="Times New Roman" w:hAnsi="Calibri" w:cs="Calibri"/>
                <w:color w:val="000000"/>
                <w:sz w:val="20"/>
                <w:szCs w:val="20"/>
                <w:lang w:eastAsia="cs-CZ"/>
              </w:rPr>
            </w:pPr>
            <w:r w:rsidRPr="005128A5">
              <w:rPr>
                <w:rFonts w:ascii="Calibri" w:eastAsia="Times New Roman" w:hAnsi="Calibri" w:cs="Calibri"/>
                <w:color w:val="000000"/>
                <w:sz w:val="20"/>
                <w:szCs w:val="20"/>
                <w:lang w:eastAsia="cs-CZ"/>
              </w:rPr>
              <w:t>2.4. Ekonomická bezpečnost a obchodní strategie</w:t>
            </w:r>
          </w:p>
        </w:tc>
      </w:tr>
      <w:tr w:rsidR="005128A5" w:rsidRPr="005128A5" w14:paraId="3249DF1A" w14:textId="77777777" w:rsidTr="005128A5">
        <w:trPr>
          <w:trHeight w:val="288"/>
        </w:trPr>
        <w:tc>
          <w:tcPr>
            <w:tcW w:w="4820" w:type="dxa"/>
            <w:tcBorders>
              <w:top w:val="nil"/>
              <w:left w:val="nil"/>
              <w:bottom w:val="single" w:sz="4" w:space="0" w:color="auto"/>
              <w:right w:val="nil"/>
            </w:tcBorders>
            <w:shd w:val="clear" w:color="auto" w:fill="auto"/>
            <w:noWrap/>
            <w:vAlign w:val="bottom"/>
            <w:hideMark/>
          </w:tcPr>
          <w:p w14:paraId="09885A03" w14:textId="77777777" w:rsidR="005128A5" w:rsidRPr="005128A5" w:rsidRDefault="005128A5" w:rsidP="005128A5">
            <w:pPr>
              <w:spacing w:after="0"/>
              <w:jc w:val="left"/>
              <w:rPr>
                <w:rFonts w:ascii="Calibri" w:eastAsia="Times New Roman" w:hAnsi="Calibri" w:cs="Calibri"/>
                <w:color w:val="000000"/>
                <w:sz w:val="20"/>
                <w:szCs w:val="20"/>
                <w:lang w:eastAsia="cs-CZ"/>
              </w:rPr>
            </w:pPr>
            <w:r w:rsidRPr="005128A5">
              <w:rPr>
                <w:rFonts w:ascii="Calibri" w:eastAsia="Times New Roman" w:hAnsi="Calibri" w:cs="Calibri"/>
                <w:color w:val="000000"/>
                <w:sz w:val="20"/>
                <w:szCs w:val="20"/>
                <w:lang w:eastAsia="cs-CZ"/>
              </w:rPr>
              <w:t>1.5 Kvalita veřejných institucí</w:t>
            </w:r>
          </w:p>
        </w:tc>
        <w:tc>
          <w:tcPr>
            <w:tcW w:w="5102" w:type="dxa"/>
            <w:tcBorders>
              <w:top w:val="nil"/>
              <w:left w:val="nil"/>
              <w:bottom w:val="single" w:sz="4" w:space="0" w:color="auto"/>
              <w:right w:val="nil"/>
            </w:tcBorders>
            <w:shd w:val="clear" w:color="auto" w:fill="auto"/>
            <w:noWrap/>
            <w:vAlign w:val="bottom"/>
            <w:hideMark/>
          </w:tcPr>
          <w:p w14:paraId="4EF1EE25" w14:textId="77777777" w:rsidR="005128A5" w:rsidRPr="005128A5" w:rsidRDefault="005128A5" w:rsidP="005128A5">
            <w:pPr>
              <w:spacing w:after="0"/>
              <w:jc w:val="left"/>
              <w:rPr>
                <w:rFonts w:ascii="Calibri" w:eastAsia="Times New Roman" w:hAnsi="Calibri" w:cs="Calibri"/>
                <w:color w:val="000000"/>
                <w:sz w:val="20"/>
                <w:szCs w:val="20"/>
                <w:lang w:eastAsia="cs-CZ"/>
              </w:rPr>
            </w:pPr>
            <w:r w:rsidRPr="005128A5">
              <w:rPr>
                <w:rFonts w:ascii="Calibri" w:eastAsia="Times New Roman" w:hAnsi="Calibri" w:cs="Calibri"/>
                <w:color w:val="000000"/>
                <w:sz w:val="20"/>
                <w:szCs w:val="20"/>
                <w:lang w:eastAsia="cs-CZ"/>
              </w:rPr>
              <w:t>2.5. Surovinová bezpečnost</w:t>
            </w:r>
          </w:p>
        </w:tc>
      </w:tr>
      <w:tr w:rsidR="005128A5" w:rsidRPr="005128A5" w14:paraId="497ABE59" w14:textId="77777777" w:rsidTr="005128A5">
        <w:trPr>
          <w:trHeight w:val="58"/>
        </w:trPr>
        <w:tc>
          <w:tcPr>
            <w:tcW w:w="4820" w:type="dxa"/>
            <w:tcBorders>
              <w:top w:val="single" w:sz="4" w:space="0" w:color="auto"/>
              <w:left w:val="nil"/>
              <w:bottom w:val="single" w:sz="4" w:space="0" w:color="auto"/>
              <w:right w:val="nil"/>
            </w:tcBorders>
            <w:shd w:val="clear" w:color="auto" w:fill="auto"/>
            <w:noWrap/>
            <w:vAlign w:val="bottom"/>
            <w:hideMark/>
          </w:tcPr>
          <w:p w14:paraId="5700C43B" w14:textId="77777777" w:rsidR="005128A5" w:rsidRPr="005128A5" w:rsidRDefault="005128A5" w:rsidP="005128A5">
            <w:pPr>
              <w:spacing w:after="0"/>
              <w:jc w:val="left"/>
              <w:rPr>
                <w:rFonts w:ascii="Calibri" w:eastAsia="Times New Roman" w:hAnsi="Calibri" w:cs="Calibri"/>
                <w:b/>
                <w:bCs/>
                <w:color w:val="000000"/>
                <w:sz w:val="20"/>
                <w:szCs w:val="20"/>
                <w:lang w:eastAsia="cs-CZ"/>
              </w:rPr>
            </w:pPr>
            <w:r w:rsidRPr="005128A5">
              <w:rPr>
                <w:rFonts w:ascii="Calibri" w:eastAsia="Times New Roman" w:hAnsi="Calibri" w:cs="Calibri"/>
                <w:b/>
                <w:bCs/>
                <w:color w:val="000000"/>
                <w:sz w:val="20"/>
                <w:szCs w:val="20"/>
                <w:lang w:eastAsia="cs-CZ"/>
              </w:rPr>
              <w:t>3. Industrializace s přidanou hodnotou</w:t>
            </w:r>
          </w:p>
        </w:tc>
        <w:tc>
          <w:tcPr>
            <w:tcW w:w="5102" w:type="dxa"/>
            <w:tcBorders>
              <w:top w:val="single" w:sz="4" w:space="0" w:color="auto"/>
              <w:left w:val="nil"/>
              <w:bottom w:val="single" w:sz="4" w:space="0" w:color="auto"/>
              <w:right w:val="nil"/>
            </w:tcBorders>
            <w:shd w:val="clear" w:color="auto" w:fill="auto"/>
            <w:noWrap/>
            <w:vAlign w:val="bottom"/>
            <w:hideMark/>
          </w:tcPr>
          <w:p w14:paraId="5374F8D4" w14:textId="77777777" w:rsidR="005128A5" w:rsidRPr="005128A5" w:rsidRDefault="005128A5" w:rsidP="005128A5">
            <w:pPr>
              <w:spacing w:after="0"/>
              <w:jc w:val="left"/>
              <w:rPr>
                <w:rFonts w:ascii="Calibri" w:eastAsia="Times New Roman" w:hAnsi="Calibri" w:cs="Calibri"/>
                <w:b/>
                <w:bCs/>
                <w:color w:val="000000"/>
                <w:sz w:val="20"/>
                <w:szCs w:val="20"/>
                <w:lang w:eastAsia="cs-CZ"/>
              </w:rPr>
            </w:pPr>
            <w:r w:rsidRPr="005128A5">
              <w:rPr>
                <w:rFonts w:ascii="Calibri" w:eastAsia="Times New Roman" w:hAnsi="Calibri" w:cs="Calibri"/>
                <w:b/>
                <w:bCs/>
                <w:color w:val="000000"/>
                <w:sz w:val="20"/>
                <w:szCs w:val="20"/>
                <w:lang w:eastAsia="cs-CZ"/>
              </w:rPr>
              <w:t>4. Financování</w:t>
            </w:r>
          </w:p>
        </w:tc>
      </w:tr>
      <w:tr w:rsidR="005128A5" w:rsidRPr="005128A5" w14:paraId="68BE3A27" w14:textId="77777777" w:rsidTr="005128A5">
        <w:trPr>
          <w:trHeight w:val="288"/>
        </w:trPr>
        <w:tc>
          <w:tcPr>
            <w:tcW w:w="4820" w:type="dxa"/>
            <w:tcBorders>
              <w:top w:val="single" w:sz="4" w:space="0" w:color="auto"/>
              <w:left w:val="nil"/>
              <w:bottom w:val="nil"/>
              <w:right w:val="nil"/>
            </w:tcBorders>
            <w:shd w:val="clear" w:color="auto" w:fill="auto"/>
            <w:noWrap/>
            <w:vAlign w:val="bottom"/>
            <w:hideMark/>
          </w:tcPr>
          <w:p w14:paraId="04E5344D" w14:textId="77777777" w:rsidR="005128A5" w:rsidRPr="005128A5" w:rsidRDefault="005128A5" w:rsidP="005128A5">
            <w:pPr>
              <w:spacing w:after="0"/>
              <w:jc w:val="left"/>
              <w:rPr>
                <w:rFonts w:ascii="Calibri" w:eastAsia="Times New Roman" w:hAnsi="Calibri" w:cs="Calibri"/>
                <w:color w:val="000000"/>
                <w:sz w:val="20"/>
                <w:szCs w:val="20"/>
                <w:lang w:eastAsia="cs-CZ"/>
              </w:rPr>
            </w:pPr>
            <w:r w:rsidRPr="005128A5">
              <w:rPr>
                <w:rFonts w:ascii="Calibri" w:eastAsia="Times New Roman" w:hAnsi="Calibri" w:cs="Calibri"/>
                <w:color w:val="000000"/>
                <w:sz w:val="20"/>
                <w:szCs w:val="20"/>
                <w:lang w:eastAsia="cs-CZ"/>
              </w:rPr>
              <w:t>3.1. Kultura úspěchu a podnikavost</w:t>
            </w:r>
          </w:p>
        </w:tc>
        <w:tc>
          <w:tcPr>
            <w:tcW w:w="5102" w:type="dxa"/>
            <w:tcBorders>
              <w:top w:val="single" w:sz="4" w:space="0" w:color="auto"/>
              <w:left w:val="nil"/>
              <w:bottom w:val="nil"/>
              <w:right w:val="nil"/>
            </w:tcBorders>
            <w:shd w:val="clear" w:color="auto" w:fill="auto"/>
            <w:noWrap/>
            <w:vAlign w:val="bottom"/>
            <w:hideMark/>
          </w:tcPr>
          <w:p w14:paraId="68142AE3" w14:textId="77777777" w:rsidR="005128A5" w:rsidRPr="005128A5" w:rsidRDefault="005128A5" w:rsidP="005128A5">
            <w:pPr>
              <w:spacing w:after="0"/>
              <w:jc w:val="left"/>
              <w:rPr>
                <w:rFonts w:ascii="Calibri" w:eastAsia="Times New Roman" w:hAnsi="Calibri" w:cs="Calibri"/>
                <w:color w:val="000000"/>
                <w:sz w:val="20"/>
                <w:szCs w:val="20"/>
                <w:lang w:eastAsia="cs-CZ"/>
              </w:rPr>
            </w:pPr>
            <w:r w:rsidRPr="005128A5">
              <w:rPr>
                <w:rFonts w:ascii="Calibri" w:eastAsia="Times New Roman" w:hAnsi="Calibri" w:cs="Calibri"/>
                <w:color w:val="000000"/>
                <w:sz w:val="20"/>
                <w:szCs w:val="20"/>
                <w:lang w:eastAsia="cs-CZ"/>
              </w:rPr>
              <w:t>4.1. Vybudování finanční infrastruktury dostupného kapitálu</w:t>
            </w:r>
          </w:p>
        </w:tc>
      </w:tr>
      <w:tr w:rsidR="005128A5" w:rsidRPr="005128A5" w14:paraId="2542E314" w14:textId="77777777" w:rsidTr="005128A5">
        <w:trPr>
          <w:trHeight w:val="288"/>
        </w:trPr>
        <w:tc>
          <w:tcPr>
            <w:tcW w:w="4820" w:type="dxa"/>
            <w:tcBorders>
              <w:top w:val="nil"/>
              <w:left w:val="nil"/>
              <w:bottom w:val="nil"/>
              <w:right w:val="nil"/>
            </w:tcBorders>
            <w:shd w:val="clear" w:color="auto" w:fill="auto"/>
            <w:noWrap/>
            <w:vAlign w:val="bottom"/>
            <w:hideMark/>
          </w:tcPr>
          <w:p w14:paraId="64C9D563" w14:textId="457CC1C6" w:rsidR="005128A5" w:rsidRPr="005128A5" w:rsidRDefault="005128A5" w:rsidP="005128A5">
            <w:pPr>
              <w:spacing w:after="0"/>
              <w:jc w:val="left"/>
              <w:rPr>
                <w:rFonts w:ascii="Calibri" w:eastAsia="Times New Roman" w:hAnsi="Calibri" w:cs="Calibri"/>
                <w:color w:val="000000"/>
                <w:sz w:val="20"/>
                <w:szCs w:val="20"/>
                <w:lang w:eastAsia="cs-CZ"/>
              </w:rPr>
            </w:pPr>
            <w:r w:rsidRPr="005128A5">
              <w:rPr>
                <w:rFonts w:ascii="Calibri" w:eastAsia="Times New Roman" w:hAnsi="Calibri" w:cs="Calibri"/>
                <w:color w:val="000000"/>
                <w:sz w:val="20"/>
                <w:szCs w:val="20"/>
                <w:lang w:eastAsia="cs-CZ"/>
              </w:rPr>
              <w:t xml:space="preserve">3.2. </w:t>
            </w:r>
            <w:r>
              <w:rPr>
                <w:rFonts w:ascii="Calibri" w:eastAsia="Times New Roman" w:hAnsi="Calibri" w:cs="Calibri"/>
                <w:color w:val="000000"/>
                <w:sz w:val="20"/>
                <w:szCs w:val="20"/>
                <w:lang w:eastAsia="cs-CZ"/>
              </w:rPr>
              <w:t>Pokročilé t</w:t>
            </w:r>
            <w:r w:rsidRPr="005128A5">
              <w:rPr>
                <w:rFonts w:ascii="Calibri" w:eastAsia="Times New Roman" w:hAnsi="Calibri" w:cs="Calibri"/>
                <w:color w:val="000000"/>
                <w:sz w:val="20"/>
                <w:szCs w:val="20"/>
                <w:lang w:eastAsia="cs-CZ"/>
              </w:rPr>
              <w:t>echnologie</w:t>
            </w:r>
          </w:p>
        </w:tc>
        <w:tc>
          <w:tcPr>
            <w:tcW w:w="5102" w:type="dxa"/>
            <w:tcBorders>
              <w:top w:val="nil"/>
              <w:left w:val="nil"/>
              <w:bottom w:val="nil"/>
              <w:right w:val="nil"/>
            </w:tcBorders>
            <w:shd w:val="clear" w:color="auto" w:fill="auto"/>
            <w:noWrap/>
            <w:vAlign w:val="bottom"/>
            <w:hideMark/>
          </w:tcPr>
          <w:p w14:paraId="2E0C3465" w14:textId="77777777" w:rsidR="005128A5" w:rsidRPr="005128A5" w:rsidRDefault="005128A5" w:rsidP="005128A5">
            <w:pPr>
              <w:spacing w:after="0"/>
              <w:jc w:val="left"/>
              <w:rPr>
                <w:rFonts w:ascii="Calibri" w:eastAsia="Times New Roman" w:hAnsi="Calibri" w:cs="Calibri"/>
                <w:color w:val="000000"/>
                <w:sz w:val="20"/>
                <w:szCs w:val="20"/>
                <w:lang w:eastAsia="cs-CZ"/>
              </w:rPr>
            </w:pPr>
            <w:r w:rsidRPr="005128A5">
              <w:rPr>
                <w:rFonts w:ascii="Calibri" w:eastAsia="Times New Roman" w:hAnsi="Calibri" w:cs="Calibri"/>
                <w:color w:val="000000"/>
                <w:sz w:val="20"/>
                <w:szCs w:val="20"/>
                <w:lang w:eastAsia="cs-CZ"/>
              </w:rPr>
              <w:t>4.2. Nástroje pro financování strategických investic</w:t>
            </w:r>
          </w:p>
        </w:tc>
      </w:tr>
      <w:tr w:rsidR="005128A5" w:rsidRPr="005128A5" w14:paraId="30208527" w14:textId="77777777" w:rsidTr="005128A5">
        <w:trPr>
          <w:trHeight w:val="288"/>
        </w:trPr>
        <w:tc>
          <w:tcPr>
            <w:tcW w:w="4820" w:type="dxa"/>
            <w:tcBorders>
              <w:top w:val="nil"/>
              <w:left w:val="nil"/>
              <w:bottom w:val="nil"/>
              <w:right w:val="nil"/>
            </w:tcBorders>
            <w:shd w:val="clear" w:color="auto" w:fill="auto"/>
            <w:noWrap/>
            <w:vAlign w:val="bottom"/>
            <w:hideMark/>
          </w:tcPr>
          <w:p w14:paraId="120E4EAF" w14:textId="7CFE0267" w:rsidR="00414503" w:rsidRPr="005128A5" w:rsidRDefault="005128A5" w:rsidP="005128A5">
            <w:pPr>
              <w:spacing w:after="0"/>
              <w:jc w:val="left"/>
              <w:rPr>
                <w:rFonts w:ascii="Calibri" w:eastAsia="Times New Roman" w:hAnsi="Calibri" w:cs="Calibri"/>
                <w:color w:val="000000"/>
                <w:sz w:val="20"/>
                <w:szCs w:val="20"/>
                <w:lang w:eastAsia="cs-CZ"/>
              </w:rPr>
            </w:pPr>
            <w:r w:rsidRPr="005128A5">
              <w:rPr>
                <w:rFonts w:ascii="Calibri" w:eastAsia="Times New Roman" w:hAnsi="Calibri" w:cs="Calibri"/>
                <w:color w:val="000000"/>
                <w:sz w:val="20"/>
                <w:szCs w:val="20"/>
                <w:lang w:eastAsia="cs-CZ"/>
              </w:rPr>
              <w:t>3.3. Strategická odvětví</w:t>
            </w:r>
          </w:p>
        </w:tc>
        <w:tc>
          <w:tcPr>
            <w:tcW w:w="5102" w:type="dxa"/>
            <w:tcBorders>
              <w:top w:val="nil"/>
              <w:left w:val="nil"/>
              <w:bottom w:val="nil"/>
              <w:right w:val="nil"/>
            </w:tcBorders>
            <w:shd w:val="clear" w:color="auto" w:fill="auto"/>
            <w:noWrap/>
            <w:vAlign w:val="bottom"/>
            <w:hideMark/>
          </w:tcPr>
          <w:p w14:paraId="49ED4FF0" w14:textId="77777777" w:rsidR="005128A5" w:rsidRPr="005128A5" w:rsidRDefault="005128A5" w:rsidP="005128A5">
            <w:pPr>
              <w:spacing w:after="0"/>
              <w:jc w:val="left"/>
              <w:rPr>
                <w:rFonts w:ascii="Calibri" w:eastAsia="Times New Roman" w:hAnsi="Calibri" w:cs="Calibri"/>
                <w:color w:val="000000"/>
                <w:sz w:val="20"/>
                <w:szCs w:val="20"/>
                <w:lang w:eastAsia="cs-CZ"/>
              </w:rPr>
            </w:pPr>
            <w:r w:rsidRPr="005128A5">
              <w:rPr>
                <w:rFonts w:ascii="Calibri" w:eastAsia="Times New Roman" w:hAnsi="Calibri" w:cs="Calibri"/>
                <w:color w:val="000000"/>
                <w:sz w:val="20"/>
                <w:szCs w:val="20"/>
                <w:lang w:eastAsia="cs-CZ"/>
              </w:rPr>
              <w:t>4.3. Udržitelné financování</w:t>
            </w:r>
          </w:p>
        </w:tc>
      </w:tr>
      <w:tr w:rsidR="005128A5" w:rsidRPr="005128A5" w14:paraId="0532FAC8" w14:textId="77777777" w:rsidTr="005128A5">
        <w:trPr>
          <w:trHeight w:val="288"/>
        </w:trPr>
        <w:tc>
          <w:tcPr>
            <w:tcW w:w="4820" w:type="dxa"/>
            <w:tcBorders>
              <w:top w:val="nil"/>
              <w:left w:val="nil"/>
              <w:bottom w:val="single" w:sz="8" w:space="0" w:color="auto"/>
              <w:right w:val="nil"/>
            </w:tcBorders>
            <w:shd w:val="clear" w:color="auto" w:fill="auto"/>
            <w:noWrap/>
            <w:vAlign w:val="bottom"/>
            <w:hideMark/>
          </w:tcPr>
          <w:p w14:paraId="6AA0F046" w14:textId="4CA9E3FF" w:rsidR="005128A5" w:rsidRPr="005128A5" w:rsidRDefault="00414503" w:rsidP="005128A5">
            <w:pPr>
              <w:spacing w:after="0"/>
              <w:jc w:val="left"/>
              <w:rPr>
                <w:rFonts w:ascii="Calibri" w:eastAsia="Times New Roman" w:hAnsi="Calibri" w:cs="Calibri"/>
                <w:color w:val="000000"/>
                <w:sz w:val="20"/>
                <w:szCs w:val="20"/>
                <w:lang w:eastAsia="cs-CZ"/>
              </w:rPr>
            </w:pPr>
            <w:r w:rsidRPr="00414503">
              <w:rPr>
                <w:rFonts w:ascii="Calibri" w:eastAsia="Times New Roman" w:hAnsi="Calibri" w:cs="Calibri"/>
                <w:color w:val="000000"/>
                <w:sz w:val="20"/>
                <w:szCs w:val="20"/>
                <w:lang w:eastAsia="cs-CZ"/>
              </w:rPr>
              <w:t>3.4.</w:t>
            </w:r>
            <w:r>
              <w:rPr>
                <w:rFonts w:ascii="Calibri" w:eastAsia="Times New Roman" w:hAnsi="Calibri" w:cs="Calibri"/>
                <w:color w:val="000000"/>
                <w:sz w:val="20"/>
                <w:szCs w:val="20"/>
                <w:lang w:eastAsia="cs-CZ"/>
              </w:rPr>
              <w:t xml:space="preserve"> </w:t>
            </w:r>
            <w:r w:rsidRPr="00414503">
              <w:rPr>
                <w:rFonts w:ascii="Calibri" w:eastAsia="Times New Roman" w:hAnsi="Calibri" w:cs="Calibri"/>
                <w:color w:val="000000"/>
                <w:sz w:val="20"/>
                <w:szCs w:val="20"/>
                <w:lang w:eastAsia="cs-CZ"/>
              </w:rPr>
              <w:t>Industrializace v kontextu politik Evropské unie</w:t>
            </w:r>
          </w:p>
        </w:tc>
        <w:tc>
          <w:tcPr>
            <w:tcW w:w="5102" w:type="dxa"/>
            <w:tcBorders>
              <w:top w:val="nil"/>
              <w:left w:val="nil"/>
              <w:bottom w:val="single" w:sz="8" w:space="0" w:color="auto"/>
              <w:right w:val="nil"/>
            </w:tcBorders>
            <w:shd w:val="clear" w:color="auto" w:fill="auto"/>
            <w:noWrap/>
            <w:vAlign w:val="bottom"/>
            <w:hideMark/>
          </w:tcPr>
          <w:p w14:paraId="3B2E95BB" w14:textId="77777777" w:rsidR="005128A5" w:rsidRPr="005128A5" w:rsidRDefault="005128A5" w:rsidP="005128A5">
            <w:pPr>
              <w:spacing w:after="0"/>
              <w:jc w:val="left"/>
              <w:rPr>
                <w:rFonts w:ascii="Calibri" w:eastAsia="Times New Roman" w:hAnsi="Calibri" w:cs="Calibri"/>
                <w:color w:val="000000"/>
                <w:sz w:val="20"/>
                <w:szCs w:val="20"/>
                <w:lang w:eastAsia="cs-CZ"/>
              </w:rPr>
            </w:pPr>
            <w:r w:rsidRPr="005128A5">
              <w:rPr>
                <w:rFonts w:ascii="Calibri" w:eastAsia="Times New Roman" w:hAnsi="Calibri" w:cs="Calibri"/>
                <w:color w:val="000000"/>
                <w:sz w:val="20"/>
                <w:szCs w:val="20"/>
                <w:lang w:eastAsia="cs-CZ"/>
              </w:rPr>
              <w:t>4.4. Dlouhodobá udržitelnost veřejných financí</w:t>
            </w:r>
          </w:p>
        </w:tc>
      </w:tr>
    </w:tbl>
    <w:p w14:paraId="713DCC02" w14:textId="548DE0C9" w:rsidR="0011176B" w:rsidRPr="0032292E" w:rsidRDefault="005363B4" w:rsidP="005128A5">
      <w:pPr>
        <w:spacing w:before="120"/>
        <w:rPr>
          <w:color w:val="auto"/>
        </w:rPr>
      </w:pPr>
      <w:r w:rsidRPr="0032292E">
        <w:rPr>
          <w:color w:val="auto"/>
        </w:rPr>
        <w:t xml:space="preserve">Ke sledování dosažení vrcholového cíle </w:t>
      </w:r>
      <w:r w:rsidR="004D2DD2" w:rsidRPr="0032292E">
        <w:rPr>
          <w:color w:val="auto"/>
        </w:rPr>
        <w:t xml:space="preserve">v podobě růstu konkurenceschopnosti bude </w:t>
      </w:r>
      <w:r w:rsidR="00833A4C">
        <w:rPr>
          <w:color w:val="auto"/>
        </w:rPr>
        <w:t>sloužit</w:t>
      </w:r>
      <w:r w:rsidR="004D2DD2" w:rsidRPr="0032292E">
        <w:rPr>
          <w:color w:val="auto"/>
        </w:rPr>
        <w:t xml:space="preserve"> ukazatel hrubého domácího produktu na osobu v paritě kupního standardu</w:t>
      </w:r>
      <w:r w:rsidR="00833A4C">
        <w:rPr>
          <w:rStyle w:val="Odkaznavysvtlivky"/>
          <w:color w:val="auto"/>
        </w:rPr>
        <w:endnoteReference w:id="26"/>
      </w:r>
      <w:r w:rsidR="004D2DD2" w:rsidRPr="0032292E">
        <w:rPr>
          <w:color w:val="auto"/>
        </w:rPr>
        <w:t xml:space="preserve">, kde </w:t>
      </w:r>
      <w:r w:rsidR="00833A4C">
        <w:rPr>
          <w:color w:val="auto"/>
        </w:rPr>
        <w:t>se Česká republika nacházela v roce 2023 s hodnotou 91</w:t>
      </w:r>
      <w:r w:rsidR="002461F3">
        <w:rPr>
          <w:color w:val="auto"/>
        </w:rPr>
        <w:t> </w:t>
      </w:r>
      <w:r w:rsidR="00833A4C">
        <w:rPr>
          <w:color w:val="auto"/>
        </w:rPr>
        <w:t xml:space="preserve">% průměru Evropské unie na 14. pozici mezi Kyprem a Slovinskem. </w:t>
      </w:r>
      <w:r w:rsidR="00294E04">
        <w:rPr>
          <w:b/>
          <w:bCs/>
          <w:color w:val="auto"/>
        </w:rPr>
        <w:t>Hlavním c</w:t>
      </w:r>
      <w:r w:rsidR="004D2DD2" w:rsidRPr="002517AB">
        <w:rPr>
          <w:b/>
          <w:bCs/>
          <w:color w:val="auto"/>
        </w:rPr>
        <w:t xml:space="preserve">ílem </w:t>
      </w:r>
      <w:r w:rsidR="00294E04" w:rsidRPr="00E34941">
        <w:rPr>
          <w:b/>
          <w:bCs/>
          <w:color w:val="auto"/>
        </w:rPr>
        <w:t xml:space="preserve">Hospodářské strategie </w:t>
      </w:r>
      <w:r w:rsidR="00833A4C" w:rsidRPr="002517AB">
        <w:rPr>
          <w:b/>
          <w:bCs/>
          <w:color w:val="auto"/>
        </w:rPr>
        <w:t xml:space="preserve">bude </w:t>
      </w:r>
      <w:r w:rsidR="004D2DD2" w:rsidRPr="002517AB">
        <w:rPr>
          <w:b/>
          <w:bCs/>
          <w:color w:val="auto"/>
        </w:rPr>
        <w:t>umístit se v elitní desítce mezi zeměmi Evropské unie.</w:t>
      </w:r>
      <w:r w:rsidR="004D2DD2" w:rsidRPr="0032292E">
        <w:rPr>
          <w:color w:val="auto"/>
        </w:rPr>
        <w:t xml:space="preserve"> Tento ukazatel </w:t>
      </w:r>
      <w:r w:rsidR="00833A4C">
        <w:rPr>
          <w:color w:val="auto"/>
        </w:rPr>
        <w:t>v sobě zahrnuje změnu přidané hodnoty</w:t>
      </w:r>
      <w:r w:rsidR="002517AB">
        <w:rPr>
          <w:color w:val="auto"/>
        </w:rPr>
        <w:t>,</w:t>
      </w:r>
      <w:r w:rsidR="00833A4C">
        <w:rPr>
          <w:color w:val="auto"/>
        </w:rPr>
        <w:t xml:space="preserve"> a i přes</w:t>
      </w:r>
      <w:r w:rsidR="004D2DD2" w:rsidRPr="0032292E">
        <w:rPr>
          <w:color w:val="auto"/>
        </w:rPr>
        <w:t xml:space="preserve"> své nevýhody </w:t>
      </w:r>
      <w:r w:rsidR="00833A4C">
        <w:rPr>
          <w:color w:val="auto"/>
        </w:rPr>
        <w:t xml:space="preserve">se </w:t>
      </w:r>
      <w:r w:rsidR="004D2DD2" w:rsidRPr="0032292E">
        <w:rPr>
          <w:color w:val="auto"/>
        </w:rPr>
        <w:t>používá pro aproximaci výš</w:t>
      </w:r>
      <w:r w:rsidR="00154BE9">
        <w:rPr>
          <w:color w:val="auto"/>
        </w:rPr>
        <w:t>e</w:t>
      </w:r>
      <w:r w:rsidR="00677D23">
        <w:rPr>
          <w:color w:val="auto"/>
        </w:rPr>
        <w:t xml:space="preserve"> vyspělosti ekonomiky</w:t>
      </w:r>
      <w:r w:rsidR="004D2DD2" w:rsidRPr="0032292E">
        <w:rPr>
          <w:color w:val="auto"/>
        </w:rPr>
        <w:t xml:space="preserve"> a pro srovnání životní úrovně mezi zeměmi.</w:t>
      </w:r>
    </w:p>
    <w:p w14:paraId="5A7079FD" w14:textId="5CEF857E" w:rsidR="005C65DB" w:rsidRPr="0032292E" w:rsidRDefault="004D2DD2" w:rsidP="006E7F34">
      <w:pPr>
        <w:rPr>
          <w:color w:val="auto"/>
        </w:rPr>
      </w:pPr>
      <w:r w:rsidRPr="0032292E">
        <w:rPr>
          <w:color w:val="auto"/>
        </w:rPr>
        <w:t>Pro poskytnutí komple</w:t>
      </w:r>
      <w:r w:rsidR="00F7123F" w:rsidRPr="0032292E">
        <w:rPr>
          <w:color w:val="auto"/>
        </w:rPr>
        <w:t>t</w:t>
      </w:r>
      <w:r w:rsidRPr="0032292E">
        <w:rPr>
          <w:color w:val="auto"/>
        </w:rPr>
        <w:t>nějšího obrázku o vývoji různých část</w:t>
      </w:r>
      <w:r w:rsidR="00A30EB1">
        <w:rPr>
          <w:color w:val="auto"/>
        </w:rPr>
        <w:t>í</w:t>
      </w:r>
      <w:r w:rsidRPr="0032292E">
        <w:rPr>
          <w:color w:val="auto"/>
        </w:rPr>
        <w:t xml:space="preserve"> ekonomiky České republiky a z důvodu podrobnějšího sledování směrování </w:t>
      </w:r>
      <w:r w:rsidR="00F7123F" w:rsidRPr="0032292E">
        <w:rPr>
          <w:color w:val="auto"/>
        </w:rPr>
        <w:t>pokroku</w:t>
      </w:r>
      <w:r w:rsidRPr="0032292E">
        <w:rPr>
          <w:color w:val="auto"/>
        </w:rPr>
        <w:t xml:space="preserve"> budou využity rovněž další komplexnější ukazatele, které </w:t>
      </w:r>
      <w:r w:rsidR="00833A4C">
        <w:rPr>
          <w:color w:val="auto"/>
        </w:rPr>
        <w:t xml:space="preserve">se </w:t>
      </w:r>
      <w:r w:rsidR="00F7123F" w:rsidRPr="0032292E">
        <w:rPr>
          <w:color w:val="auto"/>
        </w:rPr>
        <w:t>věnují celé ekonomice</w:t>
      </w:r>
      <w:r w:rsidR="00833A4C">
        <w:rPr>
          <w:color w:val="auto"/>
        </w:rPr>
        <w:t xml:space="preserve"> nebo naopak </w:t>
      </w:r>
      <w:r w:rsidR="00833A4C" w:rsidRPr="0032292E">
        <w:rPr>
          <w:color w:val="auto"/>
        </w:rPr>
        <w:t xml:space="preserve">obsáhle pokrývají nějakou </w:t>
      </w:r>
      <w:r w:rsidR="00336F48">
        <w:rPr>
          <w:color w:val="auto"/>
        </w:rPr>
        <w:t xml:space="preserve">její </w:t>
      </w:r>
      <w:r w:rsidR="00833A4C" w:rsidRPr="0032292E">
        <w:rPr>
          <w:color w:val="auto"/>
        </w:rPr>
        <w:t>konkrétní oblast</w:t>
      </w:r>
      <w:r w:rsidR="00336F48">
        <w:rPr>
          <w:color w:val="auto"/>
        </w:rPr>
        <w:t>.</w:t>
      </w:r>
      <w:r w:rsidR="00833A4C" w:rsidRPr="0032292E">
        <w:rPr>
          <w:color w:val="auto"/>
        </w:rPr>
        <w:t xml:space="preserve"> </w:t>
      </w:r>
      <w:r w:rsidR="00F7123F" w:rsidRPr="0032292E">
        <w:rPr>
          <w:color w:val="auto"/>
        </w:rPr>
        <w:t xml:space="preserve">Jedná se </w:t>
      </w:r>
      <w:r w:rsidR="00FA4009" w:rsidRPr="0032292E">
        <w:rPr>
          <w:color w:val="auto"/>
        </w:rPr>
        <w:t>např</w:t>
      </w:r>
      <w:r w:rsidR="00FA4009" w:rsidRPr="00923A2A">
        <w:rPr>
          <w:color w:val="auto"/>
        </w:rPr>
        <w:t xml:space="preserve">. </w:t>
      </w:r>
      <w:r w:rsidR="00A30EB1">
        <w:rPr>
          <w:color w:val="auto"/>
        </w:rPr>
        <w:t xml:space="preserve">o </w:t>
      </w:r>
      <w:r w:rsidR="00A30EB1" w:rsidRPr="0032292E">
        <w:rPr>
          <w:color w:val="auto"/>
        </w:rPr>
        <w:t xml:space="preserve">ukazatele </w:t>
      </w:r>
      <w:r w:rsidR="000510EE" w:rsidRPr="00D70563">
        <w:rPr>
          <w:color w:val="auto"/>
          <w:lang w:val="en-GB"/>
        </w:rPr>
        <w:t>World Competitiveness Ranking (International Institute for Management Development</w:t>
      </w:r>
      <w:r w:rsidR="000510EE" w:rsidRPr="00923A2A">
        <w:rPr>
          <w:color w:val="auto"/>
        </w:rPr>
        <w:t>)</w:t>
      </w:r>
      <w:r w:rsidR="000510EE" w:rsidRPr="00923A2A">
        <w:rPr>
          <w:rStyle w:val="Odkaznavysvtlivky"/>
          <w:color w:val="auto"/>
        </w:rPr>
        <w:endnoteReference w:id="27"/>
      </w:r>
      <w:r w:rsidR="000510EE" w:rsidRPr="00923A2A">
        <w:rPr>
          <w:color w:val="auto"/>
        </w:rPr>
        <w:t xml:space="preserve">, </w:t>
      </w:r>
      <w:r w:rsidR="00FA4009" w:rsidRPr="00D70563">
        <w:rPr>
          <w:color w:val="auto"/>
          <w:lang w:val="en-GB"/>
        </w:rPr>
        <w:t>Digital Economy and Society Index</w:t>
      </w:r>
      <w:r w:rsidR="00FA4009" w:rsidRPr="00923A2A">
        <w:rPr>
          <w:color w:val="auto"/>
        </w:rPr>
        <w:t xml:space="preserve"> (</w:t>
      </w:r>
      <w:r w:rsidR="000510EE" w:rsidRPr="00923A2A">
        <w:rPr>
          <w:color w:val="auto"/>
        </w:rPr>
        <w:t>Evropská komise</w:t>
      </w:r>
      <w:r w:rsidR="00FA4009" w:rsidRPr="00923A2A">
        <w:rPr>
          <w:color w:val="auto"/>
        </w:rPr>
        <w:t>)</w:t>
      </w:r>
      <w:r w:rsidR="00FA4009" w:rsidRPr="00923A2A">
        <w:rPr>
          <w:rStyle w:val="Odkaznavysvtlivky"/>
          <w:color w:val="auto"/>
        </w:rPr>
        <w:endnoteReference w:id="28"/>
      </w:r>
      <w:r w:rsidR="000510EE" w:rsidRPr="00923A2A">
        <w:rPr>
          <w:color w:val="auto"/>
        </w:rPr>
        <w:t xml:space="preserve">, </w:t>
      </w:r>
      <w:r w:rsidR="000510EE" w:rsidRPr="00D70563">
        <w:rPr>
          <w:color w:val="auto"/>
          <w:lang w:val="en-GB"/>
        </w:rPr>
        <w:t>European Innovation Scoreboard</w:t>
      </w:r>
      <w:r w:rsidR="000510EE" w:rsidRPr="00923A2A">
        <w:rPr>
          <w:color w:val="auto"/>
        </w:rPr>
        <w:t xml:space="preserve"> (Evropská komise)</w:t>
      </w:r>
      <w:r w:rsidR="000510EE" w:rsidRPr="00923A2A">
        <w:rPr>
          <w:rStyle w:val="Odkaznavysvtlivky"/>
          <w:color w:val="auto"/>
        </w:rPr>
        <w:endnoteReference w:id="29"/>
      </w:r>
      <w:r w:rsidR="00FA4009" w:rsidRPr="00923A2A">
        <w:rPr>
          <w:color w:val="auto"/>
        </w:rPr>
        <w:t xml:space="preserve">, </w:t>
      </w:r>
      <w:r w:rsidR="00FA4009" w:rsidRPr="00D70563">
        <w:rPr>
          <w:color w:val="auto"/>
          <w:lang w:val="en-GB"/>
        </w:rPr>
        <w:t>Single Market Scoreboard</w:t>
      </w:r>
      <w:r w:rsidR="000510EE" w:rsidRPr="00923A2A">
        <w:rPr>
          <w:color w:val="auto"/>
        </w:rPr>
        <w:t xml:space="preserve"> (Evropská komise)</w:t>
      </w:r>
      <w:r w:rsidR="00FA4009" w:rsidRPr="00923A2A">
        <w:rPr>
          <w:rStyle w:val="Odkaznavysvtlivky"/>
          <w:color w:val="auto"/>
        </w:rPr>
        <w:endnoteReference w:id="30"/>
      </w:r>
      <w:r w:rsidR="000510EE" w:rsidRPr="00923A2A">
        <w:rPr>
          <w:color w:val="auto"/>
        </w:rPr>
        <w:t>,</w:t>
      </w:r>
      <w:r w:rsidR="00FA4009" w:rsidRPr="00923A2A">
        <w:rPr>
          <w:color w:val="auto"/>
        </w:rPr>
        <w:t xml:space="preserve"> </w:t>
      </w:r>
      <w:r w:rsidR="00FA4009" w:rsidRPr="00D70563">
        <w:rPr>
          <w:color w:val="auto"/>
          <w:lang w:val="en-GB"/>
        </w:rPr>
        <w:t>B</w:t>
      </w:r>
      <w:r w:rsidR="000510EE" w:rsidRPr="00D70563">
        <w:rPr>
          <w:color w:val="auto"/>
          <w:lang w:val="en-GB"/>
        </w:rPr>
        <w:noBreakHyphen/>
      </w:r>
      <w:r w:rsidR="00FA4009" w:rsidRPr="00D70563">
        <w:rPr>
          <w:color w:val="auto"/>
          <w:lang w:val="en-GB"/>
        </w:rPr>
        <w:t>Ready</w:t>
      </w:r>
      <w:r w:rsidR="000510EE" w:rsidRPr="00923A2A">
        <w:rPr>
          <w:color w:val="auto"/>
        </w:rPr>
        <w:t xml:space="preserve"> (Světová banka)</w:t>
      </w:r>
      <w:r w:rsidR="00FA4009" w:rsidRPr="00923A2A">
        <w:rPr>
          <w:rStyle w:val="Odkaznavysvtlivky"/>
          <w:color w:val="auto"/>
        </w:rPr>
        <w:endnoteReference w:id="31"/>
      </w:r>
      <w:r w:rsidR="00336F48" w:rsidRPr="00923A2A">
        <w:rPr>
          <w:color w:val="auto"/>
        </w:rPr>
        <w:t xml:space="preserve">, </w:t>
      </w:r>
      <w:r w:rsidR="00336F48" w:rsidRPr="00D70563">
        <w:rPr>
          <w:color w:val="auto"/>
          <w:lang w:val="en-GB"/>
        </w:rPr>
        <w:t>Better Life Index</w:t>
      </w:r>
      <w:r w:rsidR="00336F48" w:rsidRPr="00923A2A">
        <w:rPr>
          <w:color w:val="auto"/>
        </w:rPr>
        <w:t xml:space="preserve"> (OECD)</w:t>
      </w:r>
      <w:r w:rsidR="00336F48" w:rsidRPr="00923A2A">
        <w:rPr>
          <w:rStyle w:val="Odkaznavysvtlivky"/>
          <w:color w:val="auto"/>
        </w:rPr>
        <w:endnoteReference w:id="32"/>
      </w:r>
      <w:r w:rsidR="00AB05C2" w:rsidRPr="002517AB">
        <w:rPr>
          <w:color w:val="auto"/>
        </w:rPr>
        <w:t>,</w:t>
      </w:r>
      <w:r w:rsidR="000510EE" w:rsidRPr="00923A2A">
        <w:rPr>
          <w:color w:val="auto"/>
        </w:rPr>
        <w:t xml:space="preserve"> </w:t>
      </w:r>
      <w:r w:rsidR="000510EE" w:rsidRPr="00D70563">
        <w:rPr>
          <w:color w:val="auto"/>
          <w:lang w:val="en-GB"/>
        </w:rPr>
        <w:t>Nation Brands Index</w:t>
      </w:r>
      <w:r w:rsidR="000510EE" w:rsidRPr="00923A2A">
        <w:rPr>
          <w:color w:val="auto"/>
        </w:rPr>
        <w:t xml:space="preserve"> (</w:t>
      </w:r>
      <w:proofErr w:type="spellStart"/>
      <w:r w:rsidR="000510EE" w:rsidRPr="00923A2A">
        <w:rPr>
          <w:color w:val="auto"/>
        </w:rPr>
        <w:t>Anholt</w:t>
      </w:r>
      <w:proofErr w:type="spellEnd"/>
      <w:r w:rsidR="000510EE" w:rsidRPr="00923A2A">
        <w:rPr>
          <w:color w:val="auto"/>
        </w:rPr>
        <w:t xml:space="preserve"> Ipsos)</w:t>
      </w:r>
      <w:r w:rsidR="000510EE" w:rsidRPr="00923A2A">
        <w:rPr>
          <w:rStyle w:val="Odkaznavysvtlivky"/>
          <w:color w:val="auto"/>
        </w:rPr>
        <w:endnoteReference w:id="33"/>
      </w:r>
      <w:r w:rsidR="00AB05C2">
        <w:rPr>
          <w:color w:val="auto"/>
        </w:rPr>
        <w:t xml:space="preserve"> nebo plnění m</w:t>
      </w:r>
      <w:r w:rsidR="00AB05C2" w:rsidRPr="00AB05C2">
        <w:rPr>
          <w:color w:val="auto"/>
        </w:rPr>
        <w:t>aastrichtsk</w:t>
      </w:r>
      <w:r w:rsidR="00AB05C2">
        <w:rPr>
          <w:color w:val="auto"/>
        </w:rPr>
        <w:t>ých</w:t>
      </w:r>
      <w:r w:rsidR="00AB05C2" w:rsidRPr="00AB05C2">
        <w:rPr>
          <w:color w:val="auto"/>
        </w:rPr>
        <w:t xml:space="preserve"> kritéri</w:t>
      </w:r>
      <w:r w:rsidR="00AB05C2">
        <w:rPr>
          <w:color w:val="auto"/>
        </w:rPr>
        <w:t>í</w:t>
      </w:r>
      <w:r w:rsidR="000510EE" w:rsidRPr="0032292E">
        <w:rPr>
          <w:color w:val="auto"/>
        </w:rPr>
        <w:t xml:space="preserve">. </w:t>
      </w:r>
      <w:r w:rsidR="00F7123F" w:rsidRPr="0032292E">
        <w:rPr>
          <w:color w:val="auto"/>
        </w:rPr>
        <w:t>Tyto indikátory, které vydávají světově uznávané instituce, umožňují mezinárodní porovnání a sledování pokroku v podobě změny v pořadí i v absolutní hodnotě.</w:t>
      </w:r>
      <w:r w:rsidR="00336F48">
        <w:rPr>
          <w:color w:val="auto"/>
        </w:rPr>
        <w:t xml:space="preserve"> Nevýhodou z hlediska Hospodářské strategie je, že některé z těchto indikátorů nebo jejich </w:t>
      </w:r>
      <w:proofErr w:type="spellStart"/>
      <w:r w:rsidR="00336F48">
        <w:rPr>
          <w:color w:val="auto"/>
        </w:rPr>
        <w:t>subindikátorů</w:t>
      </w:r>
      <w:proofErr w:type="spellEnd"/>
      <w:r w:rsidR="00336F48">
        <w:rPr>
          <w:color w:val="auto"/>
        </w:rPr>
        <w:t xml:space="preserve"> se z pozice veřejného sektoru těžko ovlivňují, nicméně jejich směrování může dávat jasný signál ohledně nedostatků a vznikajících potřeb v ekonomice. </w:t>
      </w:r>
      <w:r w:rsidR="00A30EB1">
        <w:rPr>
          <w:color w:val="auto"/>
        </w:rPr>
        <w:t>Dalším omezením je skutečnost, že struktura a metodika těchto ukazatelů se v čase vyvíjí a měn</w:t>
      </w:r>
      <w:r w:rsidR="003663EF">
        <w:rPr>
          <w:color w:val="auto"/>
        </w:rPr>
        <w:t>í</w:t>
      </w:r>
      <w:r w:rsidR="00A30EB1">
        <w:rPr>
          <w:color w:val="auto"/>
        </w:rPr>
        <w:t>.</w:t>
      </w:r>
    </w:p>
    <w:p w14:paraId="5921E48F" w14:textId="44B641D7" w:rsidR="005C65DB" w:rsidRPr="0032292E" w:rsidRDefault="000D5236">
      <w:pPr>
        <w:rPr>
          <w:color w:val="auto"/>
        </w:rPr>
      </w:pPr>
      <w:r>
        <w:rPr>
          <w:color w:val="auto"/>
        </w:rPr>
        <w:t>Jednotlivé oblasti strategie obsahují strategické cíle přispívající k hospodářskému růstu a splnění vrcholového cíle. Jejich plnění bude sledováno pomocí strategických ukazatelů. Další podpůrné specifické cíle jsou bez předem stanoveného ukazatele</w:t>
      </w:r>
      <w:r w:rsidR="008071A1">
        <w:rPr>
          <w:color w:val="auto"/>
        </w:rPr>
        <w:t xml:space="preserve">, ovšem pro </w:t>
      </w:r>
      <w:r w:rsidR="008071A1" w:rsidRPr="000D5236">
        <w:rPr>
          <w:color w:val="auto"/>
        </w:rPr>
        <w:t>detailnější vhled do specifických oblastí</w:t>
      </w:r>
      <w:r w:rsidR="008071A1">
        <w:rPr>
          <w:color w:val="auto"/>
        </w:rPr>
        <w:t xml:space="preserve"> jsou</w:t>
      </w:r>
      <w:r>
        <w:rPr>
          <w:color w:val="auto"/>
        </w:rPr>
        <w:t xml:space="preserve"> sledován</w:t>
      </w:r>
      <w:r w:rsidR="008071A1">
        <w:rPr>
          <w:color w:val="auto"/>
        </w:rPr>
        <w:t>y</w:t>
      </w:r>
      <w:r>
        <w:rPr>
          <w:color w:val="auto"/>
        </w:rPr>
        <w:t xml:space="preserve"> </w:t>
      </w:r>
      <w:r w:rsidR="008071A1">
        <w:rPr>
          <w:color w:val="auto"/>
        </w:rPr>
        <w:t>navíc d</w:t>
      </w:r>
      <w:r w:rsidRPr="000D5236">
        <w:rPr>
          <w:color w:val="auto"/>
        </w:rPr>
        <w:t>oplňující indikátory</w:t>
      </w:r>
      <w:r w:rsidR="008071A1">
        <w:rPr>
          <w:color w:val="auto"/>
        </w:rPr>
        <w:t>, které</w:t>
      </w:r>
      <w:r w:rsidRPr="000D5236">
        <w:rPr>
          <w:color w:val="auto"/>
        </w:rPr>
        <w:t xml:space="preserve"> mají podpůrný charakter hlavních indikátorů a pomáhají při komplexnější analýze</w:t>
      </w:r>
      <w:r w:rsidR="008071A1">
        <w:rPr>
          <w:color w:val="auto"/>
        </w:rPr>
        <w:t xml:space="preserve">. </w:t>
      </w:r>
      <w:r>
        <w:rPr>
          <w:color w:val="auto"/>
        </w:rPr>
        <w:t>Kompletní seznam ukazatelů je součástí kapitoly III. Provádění strategie.</w:t>
      </w:r>
      <w:r w:rsidR="005C65DB" w:rsidRPr="0032292E">
        <w:rPr>
          <w:color w:val="auto"/>
        </w:rPr>
        <w:br w:type="page"/>
      </w:r>
    </w:p>
    <w:p w14:paraId="46E772F6" w14:textId="2E9FF96C" w:rsidR="006E2ADA" w:rsidRPr="00F92632" w:rsidRDefault="006E2ADA" w:rsidP="00904748">
      <w:pPr>
        <w:pStyle w:val="HSNadpisIII"/>
      </w:pPr>
      <w:bookmarkStart w:id="36" w:name="_Toc174703071"/>
      <w:bookmarkStart w:id="37" w:name="_Toc164771567"/>
      <w:r w:rsidRPr="00F92632">
        <w:lastRenderedPageBreak/>
        <w:t>Lidský kapitál, produktivita a přidaná hodnota</w:t>
      </w:r>
      <w:bookmarkEnd w:id="36"/>
    </w:p>
    <w:bookmarkEnd w:id="37"/>
    <w:p w14:paraId="3832348A" w14:textId="12BAF793" w:rsidR="006E2ADA" w:rsidRPr="002D5462" w:rsidRDefault="007A37B0" w:rsidP="006E2ADA">
      <w:r>
        <w:t>Vývoj ekonomiky</w:t>
      </w:r>
      <w:r w:rsidR="006E2ADA" w:rsidRPr="002D5462">
        <w:t xml:space="preserve"> závisí na komplexním přístupu, který zahrnuje investice do lidského kapitálu, podporu inovací, digitalizaci</w:t>
      </w:r>
      <w:r w:rsidR="001C453C">
        <w:t>,</w:t>
      </w:r>
      <w:r w:rsidR="006E2ADA" w:rsidRPr="002D5462">
        <w:t xml:space="preserve"> </w:t>
      </w:r>
      <w:r w:rsidR="001C453C">
        <w:t>fungující regulace</w:t>
      </w:r>
      <w:r w:rsidR="004E529F">
        <w:t xml:space="preserve"> podnikatelského prostředí</w:t>
      </w:r>
      <w:r w:rsidR="001C453C">
        <w:t xml:space="preserve"> a </w:t>
      </w:r>
      <w:r w:rsidR="006E2ADA" w:rsidRPr="002D5462">
        <w:t xml:space="preserve">efektivní fungování státních institucí. Aby Česká republika mohla v budoucnosti prosperovat a obstát v konkurenčním globálním prostředí, je nutné </w:t>
      </w:r>
      <w:r w:rsidR="000B5314">
        <w:t xml:space="preserve">tato klíčová témata </w:t>
      </w:r>
      <w:r w:rsidR="006E2ADA" w:rsidRPr="002D5462">
        <w:t>řešit.</w:t>
      </w:r>
    </w:p>
    <w:p w14:paraId="6A367847" w14:textId="068F7232" w:rsidR="006E2ADA" w:rsidRPr="002D5462" w:rsidRDefault="006E2ADA" w:rsidP="006E2ADA">
      <w:r w:rsidRPr="002D5462">
        <w:t>Investice do lidského kapitálu j</w:t>
      </w:r>
      <w:r w:rsidR="000B5314">
        <w:t>sou</w:t>
      </w:r>
      <w:r w:rsidRPr="002D5462">
        <w:t xml:space="preserve"> základem pro rozvoj a prosperitu jak v současnosti, tak v budoucnosti. Vzdělávání musí být adaptabilní, praktické a odpovídat potřebám moderního trhu práce, a to jak při současných podmínkách, tak i především myslet na budoucnost</w:t>
      </w:r>
      <w:r w:rsidR="001C453C">
        <w:t xml:space="preserve">. </w:t>
      </w:r>
      <w:r w:rsidR="002517AB">
        <w:t>Systém v</w:t>
      </w:r>
      <w:r w:rsidR="002517AB" w:rsidRPr="002D5462">
        <w:t>zdělávání</w:t>
      </w:r>
      <w:r w:rsidR="002517AB">
        <w:t xml:space="preserve"> je potřeba</w:t>
      </w:r>
      <w:r w:rsidR="001C453C">
        <w:t xml:space="preserve"> </w:t>
      </w:r>
      <w:r w:rsidRPr="002D5462">
        <w:t xml:space="preserve">přizpůsobit evidentním trendům a tímto směrem </w:t>
      </w:r>
      <w:r w:rsidR="002517AB">
        <w:t xml:space="preserve">ho dál </w:t>
      </w:r>
      <w:r w:rsidRPr="002D5462">
        <w:t>směrovat.</w:t>
      </w:r>
    </w:p>
    <w:p w14:paraId="6E724E79" w14:textId="4A0FD545" w:rsidR="006E2ADA" w:rsidRPr="002D5462" w:rsidRDefault="006E2ADA" w:rsidP="006E2ADA">
      <w:r w:rsidRPr="002D5462">
        <w:t>Klíčovým pilířem pro konkurenceschopnost a udržitelný rozvoj je inovační systém. Česká republika se musí zaměřit na podporu výzkumu, vývoje a inovací, a to jak v oblasti základního, tak i aplikovaného výzkumu. Důležité je posilovat spolupráci mezi výzkumnými institucemi, univerzitami a průmyslem</w:t>
      </w:r>
      <w:r w:rsidR="00444E15">
        <w:t xml:space="preserve"> a </w:t>
      </w:r>
      <w:r w:rsidRPr="002D5462">
        <w:t xml:space="preserve">také podporovat vzdělávání, aby byli budoucí pracovníci dobře připraveni na výkon ve svém oboru a mohli se stát </w:t>
      </w:r>
      <w:r w:rsidR="00383759">
        <w:t>vysoce</w:t>
      </w:r>
      <w:r w:rsidR="00383759" w:rsidRPr="002D5462">
        <w:t xml:space="preserve"> </w:t>
      </w:r>
      <w:r w:rsidRPr="002D5462">
        <w:t>kvalifikovaným pracovníkem.</w:t>
      </w:r>
    </w:p>
    <w:p w14:paraId="5E093993" w14:textId="1AB78D22" w:rsidR="006E2ADA" w:rsidRPr="002D5462" w:rsidRDefault="006E2ADA" w:rsidP="006E2ADA">
      <w:r w:rsidRPr="002D5462">
        <w:t xml:space="preserve">Digitalizace je </w:t>
      </w:r>
      <w:r w:rsidR="001C453C">
        <w:t>důležitým</w:t>
      </w:r>
      <w:r w:rsidRPr="002D5462">
        <w:t xml:space="preserve"> faktorem pro modernizaci a zefektivnění ekonomiky a </w:t>
      </w:r>
      <w:r w:rsidR="001C453C">
        <w:t xml:space="preserve">celé </w:t>
      </w:r>
      <w:r w:rsidRPr="002D5462">
        <w:t>společnosti. Rozvoj digitální infrastruktury, zavádění inovativních technologií a posilování digitálních dovedností v populaci je nezbytné pro konkurenceschopnost České republiky v globalizovaném světě. Digitální technologie mohou také přispět k zefektivnění a zkvalitnění veřejných služeb a k posilování transparentnosti a zodpovědnosti státních institucí</w:t>
      </w:r>
      <w:r w:rsidR="001C453C">
        <w:t xml:space="preserve"> a</w:t>
      </w:r>
      <w:r w:rsidR="002517AB">
        <w:t> </w:t>
      </w:r>
      <w:r w:rsidR="001C453C">
        <w:t>v</w:t>
      </w:r>
      <w:r w:rsidRPr="002D5462">
        <w:t>yuž</w:t>
      </w:r>
      <w:r w:rsidR="001C453C">
        <w:t>ívání</w:t>
      </w:r>
      <w:r w:rsidRPr="002D5462">
        <w:t xml:space="preserve"> veřejných dat je nezbytné pro efektivnější tvorbu politik v oblastech jako je sociální péče, doprava, vzdělávání a zdravotnictví.</w:t>
      </w:r>
    </w:p>
    <w:p w14:paraId="544602F9" w14:textId="7CBCC38E" w:rsidR="006E2ADA" w:rsidRPr="002D5462" w:rsidRDefault="006E2ADA" w:rsidP="006E2ADA">
      <w:r w:rsidRPr="002D5462">
        <w:t>Česká republika se musí zaměřit na zlepšení podnikatelského prostředí, zjednodušení administrativních procesů, snižování byrokracie, vytvoření příznivého regulatorního prostředí s nízkou administrativní zátěží</w:t>
      </w:r>
      <w:r w:rsidR="001C453C">
        <w:t>.</w:t>
      </w:r>
      <w:r w:rsidRPr="002D5462">
        <w:t xml:space="preserve"> Důležitá je také podpora ma</w:t>
      </w:r>
      <w:r w:rsidR="000B5314">
        <w:t>l</w:t>
      </w:r>
      <w:r w:rsidRPr="002D5462">
        <w:t>ých a středních podniků a jejich zapojení do inovativních projektů. Česká republika má jeden z</w:t>
      </w:r>
      <w:r w:rsidR="00C86025">
        <w:t> </w:t>
      </w:r>
      <w:r w:rsidRPr="002D5462">
        <w:t>nejvyšších podílů živnostníků na počet obyvatel v</w:t>
      </w:r>
      <w:r w:rsidR="000B5314">
        <w:t> </w:t>
      </w:r>
      <w:r w:rsidRPr="002D5462">
        <w:t>EU</w:t>
      </w:r>
      <w:r w:rsidR="000B5314">
        <w:t>, které charakterizuje nedostatečně akumulovaný kapitál.</w:t>
      </w:r>
      <w:r w:rsidRPr="002D5462">
        <w:t xml:space="preserve"> </w:t>
      </w:r>
      <w:r w:rsidR="000B5314">
        <w:t>N</w:t>
      </w:r>
      <w:r w:rsidRPr="002D5462">
        <w:t xml:space="preserve">ízká je </w:t>
      </w:r>
      <w:r w:rsidR="000B5314">
        <w:t xml:space="preserve">rovněž </w:t>
      </w:r>
      <w:r w:rsidRPr="002D5462">
        <w:t>domácí přidaná hodnota.</w:t>
      </w:r>
    </w:p>
    <w:p w14:paraId="47AE6164" w14:textId="2033212A" w:rsidR="006E2ADA" w:rsidRPr="002D5462" w:rsidRDefault="001C453C" w:rsidP="006E2ADA">
      <w:r>
        <w:t xml:space="preserve">V </w:t>
      </w:r>
      <w:r w:rsidR="006E2ADA" w:rsidRPr="002D5462">
        <w:t xml:space="preserve">porovnání s vyspělými zeměmi </w:t>
      </w:r>
      <w:r>
        <w:t xml:space="preserve">má Česká republika </w:t>
      </w:r>
      <w:r w:rsidR="006E2ADA" w:rsidRPr="002D5462">
        <w:t>spíše průměrnou kvalitu veřejných institucí a existují značné rozdíly v kvalitě mezi jednotlivými úřady a regiony. Kvalitní fungování veřejných institucí je klíčové pro důvěryhodnost a stabilitu země. Cílem je vytvořit efektivní, transparentní a</w:t>
      </w:r>
      <w:r w:rsidR="00C86025">
        <w:t> </w:t>
      </w:r>
      <w:r w:rsidR="006E2ADA" w:rsidRPr="002D5462">
        <w:t>zodpovědnou veřejnou správu, která bude podporovat hospodářský růst a prosperitu.</w:t>
      </w:r>
    </w:p>
    <w:p w14:paraId="1B0591C6" w14:textId="4D6EBAFD" w:rsidR="005C65DB" w:rsidRDefault="006E2ADA" w:rsidP="00643039">
      <w:r w:rsidRPr="002D5462">
        <w:t xml:space="preserve">Těchto pět </w:t>
      </w:r>
      <w:r w:rsidR="008F6482">
        <w:t>oblastí</w:t>
      </w:r>
      <w:r w:rsidRPr="002D5462">
        <w:t xml:space="preserve"> tvoří základy prosperit</w:t>
      </w:r>
      <w:r w:rsidR="000B5314">
        <w:t>y.</w:t>
      </w:r>
      <w:r w:rsidRPr="002D5462">
        <w:t xml:space="preserve"> </w:t>
      </w:r>
      <w:r w:rsidR="000B5314">
        <w:t>J</w:t>
      </w:r>
      <w:r w:rsidRPr="002D5462">
        <w:t>ejich implementace vyžaduje komplexní přístup a strategickou spolupráci všech klíčových aktérů</w:t>
      </w:r>
      <w:r w:rsidR="001C453C">
        <w:t>.</w:t>
      </w:r>
      <w:r w:rsidRPr="002D5462">
        <w:t xml:space="preserve"> Změny se musí uskutečňovat v souladu s principy udržitelného rozvoje, a to jak z ekonomického, sociálního, tak i enviro</w:t>
      </w:r>
      <w:r w:rsidR="00966BFC">
        <w:t>n</w:t>
      </w:r>
      <w:r w:rsidRPr="002D5462">
        <w:t>mentálního hlediska. Dosažení prosperující společnosti je komplexní úkol, kter</w:t>
      </w:r>
      <w:r w:rsidR="004E529F">
        <w:t>ý</w:t>
      </w:r>
      <w:r w:rsidRPr="002D5462">
        <w:t xml:space="preserve"> vyžaduje aktivní a koordinovanou práci všech zúčastněných stran a Hospodářská strategie České republiky je </w:t>
      </w:r>
      <w:r w:rsidR="004E529F">
        <w:t>hlavním</w:t>
      </w:r>
      <w:r w:rsidR="004E529F" w:rsidRPr="002D5462">
        <w:t xml:space="preserve"> </w:t>
      </w:r>
      <w:r w:rsidRPr="002D5462">
        <w:t>nástrojem, jak toho dosáhnout. Důležitá je také dlouhodobá vize, která umožní České republice obstát v konkurenčním globálním prostředí a zaručí kvalitní život pro současné i</w:t>
      </w:r>
      <w:r w:rsidR="00B10B47">
        <w:t> </w:t>
      </w:r>
      <w:r w:rsidRPr="002D5462">
        <w:t>budoucí generace</w:t>
      </w:r>
      <w:r>
        <w:t>.</w:t>
      </w:r>
    </w:p>
    <w:p w14:paraId="49B08B61" w14:textId="6E4F6FA6" w:rsidR="00B0240A" w:rsidRDefault="00B0240A" w:rsidP="00643039">
      <w:pPr>
        <w:rPr>
          <w:color w:val="auto"/>
        </w:rPr>
      </w:pPr>
      <w:r>
        <w:rPr>
          <w:color w:val="auto"/>
        </w:rPr>
        <w:br w:type="page"/>
      </w:r>
    </w:p>
    <w:p w14:paraId="6365E488" w14:textId="37E7BC15" w:rsidR="006E2ADA" w:rsidRPr="00F5548D" w:rsidRDefault="006E2ADA" w:rsidP="006E2ADA">
      <w:pPr>
        <w:pStyle w:val="HSNadpisIII1"/>
      </w:pPr>
      <w:bookmarkStart w:id="38" w:name="_Toc174703072"/>
      <w:r w:rsidRPr="00F5548D">
        <w:lastRenderedPageBreak/>
        <w:t>Lidský kapitál (vzdělávání, trh práce, zdraví)</w:t>
      </w:r>
      <w:bookmarkEnd w:id="38"/>
    </w:p>
    <w:p w14:paraId="56FD24F9" w14:textId="70CE1B49" w:rsidR="006E2ADA" w:rsidRPr="00186899" w:rsidRDefault="006E2ADA" w:rsidP="00643039">
      <w:r w:rsidRPr="00714380">
        <w:t>Systém vzdělávání musí reflektovat požadavky mo</w:t>
      </w:r>
      <w:r w:rsidRPr="00186899">
        <w:t xml:space="preserve">derní ekonomiky, která čelí výzvám digitalizace, automatizace, robotizace a socioekonomických a demografických změn. Technologický vývoj povede k automatizaci, ale zároveň vytvoří nové pracovní příležitosti, vyžadující vyšší kvalifikaci a digitální dovednosti. Klíčové je podporovat </w:t>
      </w:r>
      <w:r w:rsidR="00E62A8B" w:rsidRPr="00186899">
        <w:t>tvořivost</w:t>
      </w:r>
      <w:r w:rsidR="00E62A8B">
        <w:t>,</w:t>
      </w:r>
      <w:r w:rsidR="00E62A8B" w:rsidRPr="00186899">
        <w:t xml:space="preserve"> podnikavost</w:t>
      </w:r>
      <w:r w:rsidR="00E62A8B">
        <w:t>,</w:t>
      </w:r>
      <w:r w:rsidR="00E62A8B" w:rsidRPr="00186899">
        <w:t xml:space="preserve"> </w:t>
      </w:r>
      <w:r w:rsidRPr="00186899">
        <w:t>technické myšlení a propoj</w:t>
      </w:r>
      <w:r w:rsidR="00E62A8B">
        <w:t>ovat</w:t>
      </w:r>
      <w:r w:rsidRPr="00186899">
        <w:t xml:space="preserve"> studijní obor</w:t>
      </w:r>
      <w:r w:rsidR="00E62A8B">
        <w:t>y</w:t>
      </w:r>
      <w:r w:rsidRPr="00186899">
        <w:t xml:space="preserve"> s potřebami společnosti i ekonomiky, stejně jako kvalitní práci pedagogů. </w:t>
      </w:r>
      <w:r w:rsidR="00E62A8B">
        <w:t>V ekonomice</w:t>
      </w:r>
      <w:r w:rsidRPr="00186899">
        <w:t xml:space="preserve"> chybí technicky zdatní zaměstnanci. Proto je nutné posílit jak všeobecné složky vzdělávání, tak i</w:t>
      </w:r>
      <w:r w:rsidR="00C86025">
        <w:t> </w:t>
      </w:r>
      <w:proofErr w:type="spellStart"/>
      <w:r w:rsidRPr="00186899">
        <w:t>transdisciplinaritu</w:t>
      </w:r>
      <w:proofErr w:type="spellEnd"/>
      <w:r w:rsidRPr="00186899">
        <w:t xml:space="preserve"> a přenositelné dovednosti, aby vzdělávání lépe odpovídalo dynamickým změnám ekonomiky a potřebám trhu práce. Ambicí strategie je výrazněji provázat cíle hospodářských sektorů s požadavky na vzdělávání.</w:t>
      </w:r>
    </w:p>
    <w:p w14:paraId="4880500E" w14:textId="12BAE02F" w:rsidR="006E2ADA" w:rsidRPr="00186899" w:rsidRDefault="006E2ADA" w:rsidP="00643039">
      <w:r w:rsidRPr="00186899">
        <w:t>V oblasti odborného vzdělávání je potřeba zachytit globální trendy. Česká republika se nenachází v etapě přechodu od jednoduché modernizace k pokrokovějším technologiím, ale v období přechodu na zcela nové technologie, a to zavádění přelomových informačních technologií, kyberneticko-fyzických systémů a směřování k systémům umělé inteligence ve výrobě, službách a všech odvětví</w:t>
      </w:r>
      <w:r w:rsidR="004E529F">
        <w:t>ch</w:t>
      </w:r>
      <w:r w:rsidRPr="00186899">
        <w:t xml:space="preserve"> hospodářství.</w:t>
      </w:r>
    </w:p>
    <w:p w14:paraId="7D8BFCA1" w14:textId="1E56D4E6" w:rsidR="006E2ADA" w:rsidRPr="00BB5751" w:rsidRDefault="006E2ADA" w:rsidP="00643039">
      <w:r w:rsidRPr="00BB5751">
        <w:t xml:space="preserve">V </w:t>
      </w:r>
      <w:r w:rsidR="00B10552">
        <w:t>České republice</w:t>
      </w:r>
      <w:r w:rsidR="00B10552" w:rsidRPr="00BB5751">
        <w:t xml:space="preserve"> </w:t>
      </w:r>
      <w:r w:rsidRPr="00BB5751">
        <w:t>bohužel stále přetrvává výrazný vliv socioekonomického zázemí na výsledky žáků. Příčiny slabších výsledků žáků jsou identifikovány ve slabé podpoře těchto žáků v rodině, v materiální deprivaci, v nekvalitě a nestabilitě bydlení. Pro dobré výsledky vzdělávání dětí ze sociálně vyloučeného prostředí jsou doporučována opatření realizovaná již v předškolním věku v rámci neformálního vzdělávání a v zařízeních pro předškolní vzdělávání.</w:t>
      </w:r>
    </w:p>
    <w:p w14:paraId="7E679AA1" w14:textId="5169E40D" w:rsidR="006E2ADA" w:rsidRPr="00714380" w:rsidRDefault="006E2ADA" w:rsidP="00643039">
      <w:r w:rsidRPr="00714380">
        <w:t>S ohledem na turbulentní vývoj technologických změn významně narůstá potřebnost dalšího vzdělávání</w:t>
      </w:r>
      <w:r w:rsidR="00C455CC">
        <w:t>, vč. učitelů</w:t>
      </w:r>
      <w:r w:rsidRPr="00714380">
        <w:t xml:space="preserve">. Česká společnost však vykazuje velmi nízkou participaci dospělé populace na dalším vzdělávání, přičemž významným faktorem je slabá motivace a ochota dospělé populace se dalšího vzdělávání účastnit. </w:t>
      </w:r>
      <w:r w:rsidRPr="00BB5751">
        <w:t>Míra účasti osob ve věku 18 až 64 let na vzdělávání nebo odborné přípravě</w:t>
      </w:r>
      <w:r w:rsidR="00985A28" w:rsidRPr="00714380">
        <w:rPr>
          <w:rStyle w:val="Odkaznavysvtlivky"/>
          <w:rFonts w:ascii="Calibri" w:hAnsi="Calibri" w:cs="Calibri"/>
          <w:color w:val="000000"/>
          <w:szCs w:val="20"/>
        </w:rPr>
        <w:endnoteReference w:id="34"/>
      </w:r>
      <w:r w:rsidR="00985A28" w:rsidRPr="00BB5751">
        <w:t xml:space="preserve"> </w:t>
      </w:r>
      <w:r w:rsidRPr="00BB5751">
        <w:t xml:space="preserve">je dlouhodobě pod průměrem EU. </w:t>
      </w:r>
      <w:r w:rsidRPr="008124B3">
        <w:t>Vzhledem k</w:t>
      </w:r>
      <w:r w:rsidR="00B10B47">
        <w:t> </w:t>
      </w:r>
      <w:r w:rsidRPr="008124B3">
        <w:t>rychle se měnícím požadavkům nejen na trhu práce je důležité v </w:t>
      </w:r>
      <w:r w:rsidR="00B10552">
        <w:t>České republice</w:t>
      </w:r>
      <w:r w:rsidRPr="008124B3">
        <w:t xml:space="preserve"> zejména zvyšovat motivaci a</w:t>
      </w:r>
      <w:r w:rsidR="00B10B47">
        <w:t> </w:t>
      </w:r>
      <w:r w:rsidRPr="008124B3">
        <w:t>zájem o další vzdělávání. V</w:t>
      </w:r>
      <w:r w:rsidR="00C86025" w:rsidRPr="008124B3">
        <w:t> </w:t>
      </w:r>
      <w:r w:rsidRPr="008124B3">
        <w:t>rámci úspěšné implementace vzdělávací politiky je třeba dbát i na podporu inovací ve vzdělávání především z</w:t>
      </w:r>
      <w:r w:rsidR="00C86025" w:rsidRPr="008124B3">
        <w:t> </w:t>
      </w:r>
      <w:r w:rsidRPr="008124B3">
        <w:t>důvodu podpory nabývání kompetencí. Je třeba také podporovat mobilitu žáků a studentů i pedagogů.</w:t>
      </w:r>
    </w:p>
    <w:p w14:paraId="67A4134A" w14:textId="02D1174A" w:rsidR="006E2ADA" w:rsidRDefault="006E2ADA" w:rsidP="00643039">
      <w:r w:rsidRPr="00714380">
        <w:t>V následujícím období bude český trh práce</w:t>
      </w:r>
      <w:r w:rsidR="005D23FD">
        <w:t xml:space="preserve"> nadále</w:t>
      </w:r>
      <w:r w:rsidRPr="00714380">
        <w:t xml:space="preserve"> čelit</w:t>
      </w:r>
      <w:r w:rsidR="005D23FD" w:rsidRPr="005D23FD">
        <w:t xml:space="preserve"> </w:t>
      </w:r>
      <w:r w:rsidR="005D23FD" w:rsidRPr="00714380">
        <w:t>nedostatk</w:t>
      </w:r>
      <w:r w:rsidR="005D23FD">
        <w:t>u</w:t>
      </w:r>
      <w:r w:rsidR="005D23FD" w:rsidRPr="00714380">
        <w:t xml:space="preserve"> vhodné pracovní síly</w:t>
      </w:r>
      <w:r w:rsidR="005D23FD">
        <w:t>.</w:t>
      </w:r>
      <w:r w:rsidRPr="00714380">
        <w:t xml:space="preserve"> </w:t>
      </w:r>
      <w:r w:rsidR="005D23FD">
        <w:t xml:space="preserve">Zásadní budou také </w:t>
      </w:r>
      <w:r w:rsidRPr="00714380">
        <w:t>dopad</w:t>
      </w:r>
      <w:r w:rsidR="005D23FD">
        <w:t>y</w:t>
      </w:r>
      <w:r w:rsidRPr="00714380">
        <w:t xml:space="preserve"> technologických změn na trh práce, včetně změn souvisejících se zelenou tranzicí. Od roku 2019, kdy dosáhl počet zaměstnaných v národním hospodářství vrcholu, počet zaměstnaných klesá. Mezi lety 2019 a</w:t>
      </w:r>
      <w:r w:rsidR="00B10B47">
        <w:t> </w:t>
      </w:r>
      <w:r w:rsidRPr="00714380">
        <w:t>2023 vzrostla míra zaměstnanosti věkové skupiny 20–64letých o 1,4 p. b., z 80,3 % na 81,7 %. Pokud jde o disponibilní domácí zdroje, je však český trh práce významně vyčerpán. V některých věkových kohortách se však míra zaměstnanosti blíží 95 % v případě mužů, v případě žen přesahuje 90</w:t>
      </w:r>
      <w:r w:rsidR="007C1811">
        <w:t> </w:t>
      </w:r>
      <w:r w:rsidRPr="00714380">
        <w:t>%. Potenciálním zdrojem zůstávají ekonomicky neaktivní</w:t>
      </w:r>
      <w:r w:rsidR="007C08FA">
        <w:t>,</w:t>
      </w:r>
      <w:r w:rsidRPr="00714380">
        <w:t xml:space="preserve"> </w:t>
      </w:r>
      <w:r w:rsidR="007C08FA">
        <w:t>a to</w:t>
      </w:r>
      <w:r w:rsidR="007C08FA" w:rsidRPr="00714380">
        <w:t xml:space="preserve"> </w:t>
      </w:r>
      <w:r w:rsidRPr="00714380">
        <w:t>mladší senioři, mladí</w:t>
      </w:r>
      <w:r w:rsidR="005D23FD">
        <w:t>,</w:t>
      </w:r>
      <w:r w:rsidRPr="00714380">
        <w:t xml:space="preserve"> osoby pečující o dítě, zejména ženy ve věkové skupině 25 až 35letých</w:t>
      </w:r>
      <w:r w:rsidR="007C08FA">
        <w:t xml:space="preserve">, </w:t>
      </w:r>
      <w:r w:rsidR="007C08FA">
        <w:rPr>
          <w:szCs w:val="20"/>
        </w:rPr>
        <w:t>a kvalifikovaní pracovníci z třetích zemí</w:t>
      </w:r>
      <w:r w:rsidRPr="00714380">
        <w:t>.</w:t>
      </w:r>
    </w:p>
    <w:p w14:paraId="1B37B016" w14:textId="0812BF0F" w:rsidR="00054ABE" w:rsidRDefault="00054ABE" w:rsidP="00643039">
      <w:r>
        <w:t>Základem dobrého rozvoje hospodářství by měla být dlouhodobě orientovaná a široce pojatá péče o zdraví, se</w:t>
      </w:r>
      <w:r w:rsidR="00B06A3D">
        <w:t> </w:t>
      </w:r>
      <w:r>
        <w:t>kterou úzce souvisí kvalita života, která předpokládá investice do lidského potenciálu.</w:t>
      </w:r>
      <w:r w:rsidR="00AF5312">
        <w:t xml:space="preserve"> </w:t>
      </w:r>
      <w:r w:rsidR="00AF5312" w:rsidRPr="00AF5312">
        <w:t xml:space="preserve">Vzhledem k očekávanému demografickému vývoji, který bude v České republice silně poznamenán úbytkem ekonomicky aktivních ročníků ze 70. let 20. století, je nezbytné z pohledu zaměstnavatelů participovat na </w:t>
      </w:r>
      <w:r w:rsidR="000A66F4">
        <w:t>péči o</w:t>
      </w:r>
      <w:r w:rsidR="00AF5312" w:rsidRPr="00AF5312">
        <w:t xml:space="preserve"> zdraví zaměstnanců a ochranou zdraví na pracovištích s cílem podpory zdravého životního stylu a snižování </w:t>
      </w:r>
      <w:proofErr w:type="spellStart"/>
      <w:r w:rsidR="00AF5312" w:rsidRPr="00AF5312">
        <w:t>preventabilních</w:t>
      </w:r>
      <w:proofErr w:type="spellEnd"/>
      <w:r w:rsidR="00AF5312" w:rsidRPr="00AF5312">
        <w:t xml:space="preserve"> zdravotních rizik. Souhrnem organizačních, vzdělávacích, motivačních a technických aktivit a programů zaměřených </w:t>
      </w:r>
      <w:r w:rsidR="000A66F4">
        <w:t>na</w:t>
      </w:r>
      <w:r w:rsidR="00AF5312" w:rsidRPr="00AF5312">
        <w:t xml:space="preserve"> zdravý životní styl lze nejenom snížit náklady spojené s absencí či sníženou produktivitou práce, ale rovněž prodloužit ekonomicky aktivní věk zaměstnanců.</w:t>
      </w:r>
    </w:p>
    <w:p w14:paraId="1C84E104" w14:textId="77777777" w:rsidR="006E2ADA" w:rsidRDefault="006E2ADA" w:rsidP="00643039">
      <w:pPr>
        <w:pStyle w:val="HSNadpis4bezslovn"/>
      </w:pPr>
      <w:r w:rsidRPr="006C2504">
        <w:t>Souhrnná analýza potenciálu ekonomiky České republiky v dané oblasti (SWOT analýza):</w:t>
      </w:r>
    </w:p>
    <w:p w14:paraId="30B915D8" w14:textId="77777777" w:rsidR="006E2ADA" w:rsidRPr="00643039" w:rsidRDefault="006E2ADA" w:rsidP="00643039">
      <w:pPr>
        <w:pStyle w:val="HSNadpis5bezslovn"/>
      </w:pPr>
      <w:r w:rsidRPr="00643039">
        <w:t>Silné stránky:</w:t>
      </w:r>
    </w:p>
    <w:p w14:paraId="4787CC92" w14:textId="26371782" w:rsidR="006E2ADA" w:rsidRPr="008124B3" w:rsidRDefault="006E2ADA" w:rsidP="00643039">
      <w:pPr>
        <w:pStyle w:val="HSpodbod"/>
      </w:pPr>
      <w:r w:rsidRPr="0043787D">
        <w:t>Dobré výsledky v základních metrikách vzdělání (čtenářská, matematická a přírodovědná gramotnost</w:t>
      </w:r>
      <w:r w:rsidR="00985A28">
        <w:rPr>
          <w:rStyle w:val="Odkaznavysvtlivky"/>
        </w:rPr>
        <w:endnoteReference w:id="35"/>
      </w:r>
      <w:r w:rsidR="00985A28" w:rsidRPr="0043787D">
        <w:t>)</w:t>
      </w:r>
      <w:r w:rsidR="004E529F">
        <w:t>.</w:t>
      </w:r>
    </w:p>
    <w:p w14:paraId="3FBFD35B" w14:textId="77777777" w:rsidR="006E2ADA" w:rsidRPr="008124B3" w:rsidRDefault="006E2ADA" w:rsidP="00643039">
      <w:pPr>
        <w:pStyle w:val="HSpodbod"/>
      </w:pPr>
      <w:r w:rsidRPr="0043787D">
        <w:t>Obecně vysoká míra vzdělanosti a dobré kompetence v přírodních a technických vědách</w:t>
      </w:r>
      <w:r w:rsidRPr="008124B3">
        <w:t>.</w:t>
      </w:r>
    </w:p>
    <w:p w14:paraId="3D1C2D7D" w14:textId="77777777" w:rsidR="006E2ADA" w:rsidRPr="008124B3" w:rsidRDefault="006E2ADA" w:rsidP="00643039">
      <w:pPr>
        <w:pStyle w:val="HSpodbod"/>
      </w:pPr>
      <w:r>
        <w:t>Dlouhodobě nízká míra nezaměstnanosti</w:t>
      </w:r>
      <w:r w:rsidRPr="008124B3">
        <w:t>.</w:t>
      </w:r>
    </w:p>
    <w:p w14:paraId="7D09EFAB" w14:textId="7792ED60" w:rsidR="006E2ADA" w:rsidRPr="008124B3" w:rsidRDefault="006E2ADA" w:rsidP="00643039">
      <w:pPr>
        <w:pStyle w:val="HSpodbod"/>
      </w:pPr>
      <w:r w:rsidRPr="0043787D">
        <w:t xml:space="preserve">Nízká nezaměstnanost </w:t>
      </w:r>
      <w:r w:rsidRPr="00A31173">
        <w:rPr>
          <w:bCs/>
        </w:rPr>
        <w:t xml:space="preserve">mladých a </w:t>
      </w:r>
      <w:r w:rsidR="000A66F4">
        <w:rPr>
          <w:bCs/>
        </w:rPr>
        <w:t xml:space="preserve">nízká míra </w:t>
      </w:r>
      <w:r w:rsidRPr="007805AE">
        <w:rPr>
          <w:bCs/>
        </w:rPr>
        <w:t>dlouhodob</w:t>
      </w:r>
      <w:r w:rsidR="000A66F4">
        <w:rPr>
          <w:bCs/>
        </w:rPr>
        <w:t>é</w:t>
      </w:r>
      <w:r w:rsidRPr="007805AE">
        <w:rPr>
          <w:bCs/>
        </w:rPr>
        <w:t xml:space="preserve"> nezaměstna</w:t>
      </w:r>
      <w:r w:rsidR="000A66F4">
        <w:rPr>
          <w:bCs/>
        </w:rPr>
        <w:t>nosti</w:t>
      </w:r>
      <w:r w:rsidRPr="00F43354">
        <w:t>.</w:t>
      </w:r>
    </w:p>
    <w:p w14:paraId="087FB920" w14:textId="77777777" w:rsidR="006E2ADA" w:rsidRPr="008124B3" w:rsidRDefault="006E2ADA" w:rsidP="00643039">
      <w:pPr>
        <w:pStyle w:val="HSpodbod"/>
      </w:pPr>
      <w:r>
        <w:t>Vysoce kvalifikovaný personál ve zdravotnictví je schopen pacientům poskytovat špičkovou péči.</w:t>
      </w:r>
    </w:p>
    <w:p w14:paraId="26EDB694" w14:textId="77777777" w:rsidR="006E2ADA" w:rsidRPr="008124B3" w:rsidRDefault="006E2ADA" w:rsidP="00643039">
      <w:pPr>
        <w:pStyle w:val="HSpodbod"/>
      </w:pPr>
      <w:r>
        <w:lastRenderedPageBreak/>
        <w:t>Zdravotnictví nabízí širokou škálu specializací, které se zaměřují na konkrétní oblasti zdraví a nemocí, což umožňuje pacientům získat nejlepší možnou péči pro jejich konkrétní potřeby.</w:t>
      </w:r>
    </w:p>
    <w:p w14:paraId="0882025B" w14:textId="77777777" w:rsidR="006E2ADA" w:rsidRPr="00643039" w:rsidRDefault="006E2ADA" w:rsidP="00643039">
      <w:pPr>
        <w:pStyle w:val="HSNadpis5bezslovn"/>
      </w:pPr>
      <w:r w:rsidRPr="00643039">
        <w:t>Slabé stránky:</w:t>
      </w:r>
    </w:p>
    <w:p w14:paraId="7EA109D3" w14:textId="77777777" w:rsidR="006E2ADA" w:rsidRPr="008124B3" w:rsidRDefault="006E2ADA" w:rsidP="00643039">
      <w:pPr>
        <w:pStyle w:val="HSpodbod"/>
      </w:pPr>
      <w:r>
        <w:t>N</w:t>
      </w:r>
      <w:r w:rsidRPr="0043787D">
        <w:t xml:space="preserve">edostatečná kapacita </w:t>
      </w:r>
      <w:r>
        <w:t xml:space="preserve">v některých regionech zejména </w:t>
      </w:r>
      <w:r w:rsidRPr="0043787D">
        <w:t xml:space="preserve">ve vzdělávání předškolního věku </w:t>
      </w:r>
      <w:r>
        <w:t xml:space="preserve">a středních škol </w:t>
      </w:r>
      <w:r w:rsidRPr="0043787D">
        <w:t>a</w:t>
      </w:r>
      <w:r>
        <w:t> </w:t>
      </w:r>
      <w:r w:rsidRPr="0043787D">
        <w:t xml:space="preserve">nedostatečné </w:t>
      </w:r>
      <w:r>
        <w:t xml:space="preserve">zázemí pro </w:t>
      </w:r>
      <w:r w:rsidRPr="0043787D">
        <w:t xml:space="preserve">celoživotní </w:t>
      </w:r>
      <w:r>
        <w:t>učení</w:t>
      </w:r>
      <w:r w:rsidRPr="008124B3">
        <w:t>.</w:t>
      </w:r>
    </w:p>
    <w:p w14:paraId="0302E505" w14:textId="6E3340BA" w:rsidR="006E2ADA" w:rsidRPr="008124B3" w:rsidRDefault="006E2ADA" w:rsidP="00643039">
      <w:pPr>
        <w:pStyle w:val="HSpodbod"/>
      </w:pPr>
      <w:r w:rsidRPr="0043787D">
        <w:t>Výsledky vzdělávání silně závislé na soci</w:t>
      </w:r>
      <w:r w:rsidRPr="00186899">
        <w:t>oe</w:t>
      </w:r>
      <w:r w:rsidRPr="0043787D">
        <w:t xml:space="preserve">konomickém </w:t>
      </w:r>
      <w:r>
        <w:t>statusu</w:t>
      </w:r>
      <w:r w:rsidRPr="008124B3">
        <w:t>.</w:t>
      </w:r>
    </w:p>
    <w:p w14:paraId="2118A857" w14:textId="144D4357" w:rsidR="006E2ADA" w:rsidRPr="008124B3" w:rsidRDefault="006E2ADA" w:rsidP="00643039">
      <w:pPr>
        <w:pStyle w:val="HSpodbod"/>
      </w:pPr>
      <w:r w:rsidRPr="0043787D">
        <w:t xml:space="preserve">Variabilita kvality škol, </w:t>
      </w:r>
      <w:r w:rsidR="00B977D3">
        <w:t>r</w:t>
      </w:r>
      <w:r w:rsidRPr="0043787D">
        <w:t>egionální nerovnosti ve vzdělávání a nevyvážené rozložení pracovních sil</w:t>
      </w:r>
      <w:r w:rsidRPr="008124B3">
        <w:t>.</w:t>
      </w:r>
    </w:p>
    <w:p w14:paraId="49FEDBF0" w14:textId="77777777" w:rsidR="006E2ADA" w:rsidRPr="008124B3" w:rsidRDefault="006E2ADA" w:rsidP="00643039">
      <w:pPr>
        <w:pStyle w:val="HSpodbod"/>
      </w:pPr>
      <w:r w:rsidRPr="0043787D">
        <w:t>Nedostatek pracovníků v</w:t>
      </w:r>
      <w:r>
        <w:t> </w:t>
      </w:r>
      <w:r w:rsidRPr="0043787D">
        <w:t>některých odvětvích, neodpovídající kvalifikace pracovní síly</w:t>
      </w:r>
      <w:r w:rsidRPr="008124B3">
        <w:t>.</w:t>
      </w:r>
    </w:p>
    <w:p w14:paraId="514857DC" w14:textId="77777777" w:rsidR="006E2ADA" w:rsidRPr="008124B3" w:rsidRDefault="006E2ADA" w:rsidP="00643039">
      <w:pPr>
        <w:pStyle w:val="HSpodbod"/>
      </w:pPr>
      <w:r>
        <w:t>Nízká participace dospělé populace na dalším vzdělávání.</w:t>
      </w:r>
    </w:p>
    <w:p w14:paraId="5F5F6C4F" w14:textId="05E3D031" w:rsidR="006E2ADA" w:rsidRPr="008124B3" w:rsidRDefault="006E2ADA" w:rsidP="00643039">
      <w:pPr>
        <w:pStyle w:val="HSpodbod"/>
      </w:pPr>
      <w:r w:rsidRPr="007805AE">
        <w:t>Genderová nevyváženost, resp. nevyvážené rozložení pracovních sil v odvětví, které má vliv i na rozdílnost v</w:t>
      </w:r>
      <w:r>
        <w:t> </w:t>
      </w:r>
      <w:r w:rsidRPr="007805AE">
        <w:t>odměňování nebo na míru ohrožení digitalizací a automatizací, kdy ženy jsou jimi ohroženy více než muži</w:t>
      </w:r>
      <w:r>
        <w:t>.</w:t>
      </w:r>
      <w:r>
        <w:rPr>
          <w:color w:val="000000"/>
        </w:rPr>
        <w:t xml:space="preserve"> </w:t>
      </w:r>
      <w:r w:rsidRPr="0043787D">
        <w:t xml:space="preserve">Stárnutí populace </w:t>
      </w:r>
      <w:r>
        <w:t xml:space="preserve">včetně </w:t>
      </w:r>
      <w:r w:rsidRPr="0043787D">
        <w:t xml:space="preserve">stárnutí učitelů a </w:t>
      </w:r>
      <w:r w:rsidR="005D23FD">
        <w:t xml:space="preserve">příliš </w:t>
      </w:r>
      <w:r w:rsidR="007C08FA">
        <w:t>restriktivní</w:t>
      </w:r>
      <w:r w:rsidR="007C08FA" w:rsidRPr="0043787D">
        <w:t xml:space="preserve"> </w:t>
      </w:r>
      <w:r w:rsidRPr="0043787D">
        <w:t>imigrační politika</w:t>
      </w:r>
      <w:r>
        <w:t>.</w:t>
      </w:r>
    </w:p>
    <w:p w14:paraId="0E60A02B" w14:textId="4A49AD31" w:rsidR="007C08FA" w:rsidRDefault="007C08FA" w:rsidP="00643039">
      <w:pPr>
        <w:pStyle w:val="HSpodbod"/>
      </w:pPr>
      <w:r>
        <w:rPr>
          <w:color w:val="auto"/>
        </w:rPr>
        <w:t>Nízká schopnost udržet domácí a zejména zahraniční absolventy vysokých škol</w:t>
      </w:r>
      <w:r>
        <w:t>.</w:t>
      </w:r>
    </w:p>
    <w:p w14:paraId="6ACB0749" w14:textId="393DAE9D" w:rsidR="006E2ADA" w:rsidRDefault="006E2ADA" w:rsidP="00643039">
      <w:pPr>
        <w:pStyle w:val="HSpodbod"/>
      </w:pPr>
      <w:r w:rsidRPr="0043787D">
        <w:t>Rozšíření civilizačních onemocnění, variabilita kvality ve zdravotnictví a nerozvinuté sociálně-zdravotní pomezí.</w:t>
      </w:r>
    </w:p>
    <w:p w14:paraId="2A932F78" w14:textId="72446C97" w:rsidR="001E4E1D" w:rsidRDefault="001E4E1D" w:rsidP="00643039">
      <w:pPr>
        <w:pStyle w:val="HSpodbod"/>
      </w:pPr>
      <w:r>
        <w:t>Mezi podniky je stále podceňovaná péče o zdraví zaměstnanců.</w:t>
      </w:r>
    </w:p>
    <w:p w14:paraId="09E36DA4" w14:textId="385B8893" w:rsidR="006E2ADA" w:rsidRDefault="006E2ADA" w:rsidP="00643039">
      <w:pPr>
        <w:pStyle w:val="HSpodbod"/>
      </w:pPr>
      <w:r>
        <w:t>Přístup ke zdravotní a sociální péči může být omezený pro některé skupiny obyvatel, včetně těch, které žijí v odlehlých oblastech, mají nízký příjem nebo patří k </w:t>
      </w:r>
      <w:proofErr w:type="spellStart"/>
      <w:r>
        <w:t>marginalizovaným</w:t>
      </w:r>
      <w:proofErr w:type="spellEnd"/>
      <w:r>
        <w:t xml:space="preserve"> skupinám.</w:t>
      </w:r>
    </w:p>
    <w:p w14:paraId="74F1D244" w14:textId="77777777" w:rsidR="006E2ADA" w:rsidRDefault="006E2ADA" w:rsidP="00643039">
      <w:pPr>
        <w:pStyle w:val="HSpodbod"/>
      </w:pPr>
      <w:r>
        <w:t>V některých oblastech může být nedostatek kvalifikovaných zdravotnických pracovníků, což může vést k delším čekacím dobám. Některá zdravotnická zařízení mohou být zastaralá.</w:t>
      </w:r>
    </w:p>
    <w:p w14:paraId="7C1C628D" w14:textId="77777777" w:rsidR="006E2ADA" w:rsidRDefault="006E2ADA" w:rsidP="00643039">
      <w:pPr>
        <w:pStyle w:val="HSpodbod"/>
      </w:pPr>
      <w:r>
        <w:t>Může existovat nedostatek efektivní komunikace a koordinace mezi různými poskytovateli zdravotní péče, což může vést k neefektivní péči a zvýšeným nákladům.</w:t>
      </w:r>
    </w:p>
    <w:p w14:paraId="67FDB222" w14:textId="3F47119D" w:rsidR="006E2ADA" w:rsidRPr="008124B3" w:rsidRDefault="006E2ADA" w:rsidP="00643039">
      <w:pPr>
        <w:pStyle w:val="HSpodbod"/>
      </w:pPr>
      <w:r>
        <w:t xml:space="preserve">Důraz na prevenci a ochranu zdraví je stále nedostatečný, tudíž lze pozorovat vyšší prevalenci chronických </w:t>
      </w:r>
      <w:proofErr w:type="spellStart"/>
      <w:r w:rsidR="001E4E1D">
        <w:t>preventabilních</w:t>
      </w:r>
      <w:proofErr w:type="spellEnd"/>
      <w:r w:rsidR="001E4E1D">
        <w:t xml:space="preserve"> </w:t>
      </w:r>
      <w:r>
        <w:t>nemocí a s tím spojené vyšší náklady.</w:t>
      </w:r>
    </w:p>
    <w:p w14:paraId="0AA7A662" w14:textId="77777777" w:rsidR="006E2ADA" w:rsidRPr="00643039" w:rsidRDefault="006E2ADA" w:rsidP="00643039">
      <w:pPr>
        <w:pStyle w:val="HSNadpis5bezslovn"/>
      </w:pPr>
      <w:r w:rsidRPr="00643039">
        <w:t>Příležitosti:</w:t>
      </w:r>
    </w:p>
    <w:p w14:paraId="5CA6C3E2" w14:textId="4690B889" w:rsidR="006E2ADA" w:rsidRPr="008124B3" w:rsidRDefault="00B977D3" w:rsidP="00643039">
      <w:pPr>
        <w:pStyle w:val="HSpodbod"/>
      </w:pPr>
      <w:r>
        <w:t>Podpora flexibilních cest pro získávání kvalifikací, opatření pro prevenci předčasných odchodů ze vzdělávání a redukce počtu nedostudovaných vysokoškoláků</w:t>
      </w:r>
      <w:r w:rsidR="006E2ADA" w:rsidRPr="008124B3">
        <w:t>.</w:t>
      </w:r>
    </w:p>
    <w:p w14:paraId="04B59D7B" w14:textId="77777777" w:rsidR="006E2ADA" w:rsidRPr="008124B3" w:rsidRDefault="006E2ADA" w:rsidP="00643039">
      <w:pPr>
        <w:pStyle w:val="HSpodbod"/>
      </w:pPr>
      <w:r>
        <w:t>Zvyšování mezinárodní spolupráce, mobility studentů i pedagogů a inovace ve vzdělávání</w:t>
      </w:r>
      <w:r w:rsidRPr="008124B3">
        <w:t>.</w:t>
      </w:r>
    </w:p>
    <w:p w14:paraId="46672C22" w14:textId="7969D622" w:rsidR="006E2ADA" w:rsidRPr="008124B3" w:rsidRDefault="006E2ADA" w:rsidP="00643039">
      <w:pPr>
        <w:pStyle w:val="HSpodbod"/>
      </w:pPr>
      <w:r>
        <w:t>Podpora podnikavost</w:t>
      </w:r>
      <w:r w:rsidR="00B977D3">
        <w:t>i</w:t>
      </w:r>
      <w:r>
        <w:t xml:space="preserve"> a kreativity v rámci formálního i neformálního vzdělávání a celoživotního učení</w:t>
      </w:r>
      <w:r w:rsidRPr="008124B3">
        <w:t>.</w:t>
      </w:r>
    </w:p>
    <w:p w14:paraId="7F14F3E2" w14:textId="77777777" w:rsidR="006E2ADA" w:rsidRPr="008124B3" w:rsidRDefault="006E2ADA" w:rsidP="00643039">
      <w:pPr>
        <w:pStyle w:val="HSpodbod"/>
      </w:pPr>
      <w:r w:rsidRPr="0043787D">
        <w:t>Investice do</w:t>
      </w:r>
      <w:r>
        <w:t xml:space="preserve"> dalšího vzdělávání</w:t>
      </w:r>
      <w:r w:rsidRPr="0043787D">
        <w:t xml:space="preserve"> souvisejících s</w:t>
      </w:r>
      <w:r>
        <w:t> </w:t>
      </w:r>
      <w:r w:rsidRPr="0043787D">
        <w:t>digitalizací a umělou inteligencí</w:t>
      </w:r>
      <w:r>
        <w:t>, podpora rozvoje digitálních dovedností v počátečním vzdělávání.</w:t>
      </w:r>
    </w:p>
    <w:p w14:paraId="61DD15A4" w14:textId="77777777" w:rsidR="006E2ADA" w:rsidRPr="0043787D" w:rsidRDefault="006E2ADA" w:rsidP="00643039">
      <w:pPr>
        <w:pStyle w:val="HSpodbod"/>
      </w:pPr>
      <w:r w:rsidRPr="0043787D">
        <w:t>Podpora celoživotního učení a zlepšení podmínek vzdělávání.</w:t>
      </w:r>
    </w:p>
    <w:p w14:paraId="79942E2F" w14:textId="77777777" w:rsidR="006E2ADA" w:rsidRPr="0043787D" w:rsidRDefault="006E2ADA" w:rsidP="00643039">
      <w:pPr>
        <w:pStyle w:val="HSpodbod"/>
      </w:pPr>
      <w:r w:rsidRPr="0043787D">
        <w:t>Posílení partnerství s prestižními zahraničními univerzitami.</w:t>
      </w:r>
    </w:p>
    <w:p w14:paraId="161D8721" w14:textId="58F0314F" w:rsidR="00D757EC" w:rsidRDefault="00D757EC" w:rsidP="00643039">
      <w:pPr>
        <w:pStyle w:val="HSpodbod"/>
      </w:pPr>
      <w:r>
        <w:t xml:space="preserve">Rozvíjení alternativních forem pracovních poměrů, jako jsou flexibilní pracovní doba, zkrácené úvazky, práce z domova </w:t>
      </w:r>
      <w:r w:rsidR="00A60B11">
        <w:t>atp.</w:t>
      </w:r>
      <w:r w:rsidR="00BA4D5C">
        <w:t xml:space="preserve"> pro příznivější</w:t>
      </w:r>
      <w:r w:rsidR="00BA4D5C" w:rsidRPr="0043787D">
        <w:t xml:space="preserve"> slaďování rodinné</w:t>
      </w:r>
      <w:r w:rsidR="00BA4D5C">
        <w:t>ho</w:t>
      </w:r>
      <w:r w:rsidR="00BA4D5C" w:rsidRPr="0043787D">
        <w:t xml:space="preserve"> a pracovní</w:t>
      </w:r>
      <w:r w:rsidR="00BA4D5C">
        <w:t>ho života.</w:t>
      </w:r>
    </w:p>
    <w:p w14:paraId="44BCB9B5" w14:textId="09CE045E" w:rsidR="006E2ADA" w:rsidRPr="008124B3" w:rsidRDefault="007C08FA" w:rsidP="00643039">
      <w:pPr>
        <w:pStyle w:val="HSpodbod"/>
      </w:pPr>
      <w:r>
        <w:t>Zefektivnění a zjednodušení</w:t>
      </w:r>
      <w:r w:rsidRPr="0043787D">
        <w:t xml:space="preserve"> </w:t>
      </w:r>
      <w:r w:rsidR="006E2ADA" w:rsidRPr="0043787D">
        <w:t xml:space="preserve">imigračních pravidel a využití pravidel pro dočasný pobyt </w:t>
      </w:r>
      <w:r>
        <w:t>pro</w:t>
      </w:r>
      <w:r w:rsidRPr="0043787D">
        <w:t xml:space="preserve"> přilák</w:t>
      </w:r>
      <w:r>
        <w:t>ání</w:t>
      </w:r>
      <w:r w:rsidRPr="0043787D">
        <w:t xml:space="preserve"> </w:t>
      </w:r>
      <w:r w:rsidR="006E2ADA" w:rsidRPr="0043787D">
        <w:t>vysoce kvalifikovan</w:t>
      </w:r>
      <w:r>
        <w:t>ých</w:t>
      </w:r>
      <w:r w:rsidR="006E2ADA" w:rsidRPr="0043787D">
        <w:t xml:space="preserve"> pracovník</w:t>
      </w:r>
      <w:r>
        <w:t>ů</w:t>
      </w:r>
      <w:r w:rsidR="006E2ADA" w:rsidRPr="0043787D">
        <w:t xml:space="preserve"> a student</w:t>
      </w:r>
      <w:r>
        <w:t>ů</w:t>
      </w:r>
      <w:r w:rsidR="006E2ADA">
        <w:t>.</w:t>
      </w:r>
    </w:p>
    <w:p w14:paraId="172D3FAE" w14:textId="18F7FF36" w:rsidR="006E2ADA" w:rsidRPr="008124B3" w:rsidRDefault="00EF69B8" w:rsidP="00643039">
      <w:pPr>
        <w:pStyle w:val="HSpodbod"/>
      </w:pPr>
      <w:r>
        <w:t>Formování</w:t>
      </w:r>
      <w:r w:rsidR="001E4E1D">
        <w:t xml:space="preserve"> </w:t>
      </w:r>
      <w:proofErr w:type="spellStart"/>
      <w:r w:rsidR="001E4E1D">
        <w:t>mindset</w:t>
      </w:r>
      <w:r>
        <w:t>u</w:t>
      </w:r>
      <w:proofErr w:type="spellEnd"/>
      <w:r w:rsidR="001E4E1D">
        <w:t xml:space="preserve"> lidí, aby ke svému zdraví přistupovali jako k aktivu. Zapojení zaměstnavatelů do podpory </w:t>
      </w:r>
      <w:r w:rsidR="006E2ADA">
        <w:t>primární prevence nemocí</w:t>
      </w:r>
      <w:r w:rsidR="001E4E1D">
        <w:t>.</w:t>
      </w:r>
      <w:r w:rsidR="006E2ADA">
        <w:t xml:space="preserve"> </w:t>
      </w:r>
      <w:r w:rsidR="001E4E1D">
        <w:t>P</w:t>
      </w:r>
      <w:r w:rsidR="006E2ADA">
        <w:t xml:space="preserve">odpora zdraví pro snížení nákladů dopadu nemocí </w:t>
      </w:r>
      <w:r w:rsidR="001E4E1D">
        <w:t xml:space="preserve">a delší dobu </w:t>
      </w:r>
      <w:r w:rsidR="006E2ADA">
        <w:t>života ve zdraví.</w:t>
      </w:r>
    </w:p>
    <w:p w14:paraId="4F4B4492" w14:textId="32EA977B" w:rsidR="00B10B47" w:rsidRPr="008124B3" w:rsidRDefault="006E2ADA" w:rsidP="00B10B47">
      <w:pPr>
        <w:pStyle w:val="HSpodbod"/>
      </w:pPr>
      <w:r>
        <w:t xml:space="preserve">Rozvoj infrastruktury </w:t>
      </w:r>
      <w:proofErr w:type="spellStart"/>
      <w:r>
        <w:t>eHealth</w:t>
      </w:r>
      <w:proofErr w:type="spellEnd"/>
      <w:r>
        <w:t xml:space="preserve"> a zvyšování kybernetické bezpečnosti ve zdravotnictví, implementace systému hodnocení kvality péče a bezpečí pacientů.</w:t>
      </w:r>
    </w:p>
    <w:p w14:paraId="55D2A94A" w14:textId="77777777" w:rsidR="006E2ADA" w:rsidRPr="00DE56AF" w:rsidRDefault="006E2ADA" w:rsidP="00643039">
      <w:pPr>
        <w:pStyle w:val="HSNadpis5bezslovn"/>
      </w:pPr>
      <w:r w:rsidRPr="00DE56AF">
        <w:t>Hrozby:</w:t>
      </w:r>
    </w:p>
    <w:p w14:paraId="0DB552CE" w14:textId="77777777" w:rsidR="006E2ADA" w:rsidRPr="00C86025" w:rsidRDefault="006E2ADA" w:rsidP="00C86025">
      <w:pPr>
        <w:pStyle w:val="HSpodbod"/>
      </w:pPr>
      <w:r w:rsidRPr="007805AE">
        <w:t>Předčasn</w:t>
      </w:r>
      <w:r w:rsidRPr="00C86025">
        <w:t>é odchody mladistvých ze vzdělávání bez dosažení dostatečné kvalifikace.</w:t>
      </w:r>
    </w:p>
    <w:p w14:paraId="003650ED" w14:textId="7D0668EB" w:rsidR="006E2ADA" w:rsidRPr="00C86025" w:rsidRDefault="006E2ADA" w:rsidP="00C86025">
      <w:pPr>
        <w:pStyle w:val="HSpodbod"/>
      </w:pPr>
      <w:r w:rsidRPr="00C86025">
        <w:t xml:space="preserve">Vysoké počty nedokončených studií na </w:t>
      </w:r>
      <w:r w:rsidR="00EF69B8">
        <w:t>vysokých školách</w:t>
      </w:r>
      <w:r w:rsidRPr="00C86025">
        <w:t>.</w:t>
      </w:r>
    </w:p>
    <w:p w14:paraId="3ECB4E64" w14:textId="77777777" w:rsidR="006E2ADA" w:rsidRPr="00C86025" w:rsidRDefault="006E2ADA" w:rsidP="00C86025">
      <w:pPr>
        <w:pStyle w:val="HSpodbod"/>
      </w:pPr>
      <w:r w:rsidRPr="00C86025">
        <w:lastRenderedPageBreak/>
        <w:t>Pomalé přizpůsobování českých vysokých škol novým potřebám trhu práce může vést k nedostatečnému vybavení absolventů potřebnými dovednostmi pro moderní pracovní trh.</w:t>
      </w:r>
    </w:p>
    <w:p w14:paraId="188B384F" w14:textId="08E66C53" w:rsidR="006E2ADA" w:rsidRPr="00C86025" w:rsidRDefault="006E2ADA" w:rsidP="00C86025">
      <w:pPr>
        <w:pStyle w:val="HSpodbod"/>
      </w:pPr>
      <w:r w:rsidRPr="00C86025">
        <w:t>Odliv vysoce kvalifikovaných pracovních sil do zahraničí</w:t>
      </w:r>
      <w:r w:rsidR="005D23FD">
        <w:t xml:space="preserve"> a</w:t>
      </w:r>
      <w:r w:rsidR="007758E6" w:rsidRPr="007758E6">
        <w:t xml:space="preserve"> neschopnost přitáhnout zahraniční experty</w:t>
      </w:r>
      <w:r w:rsidRPr="00C86025">
        <w:t>.</w:t>
      </w:r>
    </w:p>
    <w:p w14:paraId="2FFBF8BB" w14:textId="77777777" w:rsidR="006E2ADA" w:rsidRPr="00C86025" w:rsidRDefault="006E2ADA" w:rsidP="00C86025">
      <w:pPr>
        <w:pStyle w:val="HSpodbod"/>
      </w:pPr>
      <w:r w:rsidRPr="00C86025">
        <w:t>Úbytek pracovní síly v důsledku stárnutí populace a zvýšení tlaku na zdravotní a sociální systémy.</w:t>
      </w:r>
    </w:p>
    <w:p w14:paraId="389D184D" w14:textId="77777777" w:rsidR="00D757EC" w:rsidRDefault="00D757EC" w:rsidP="00D757EC">
      <w:pPr>
        <w:pStyle w:val="HSpodbod"/>
      </w:pPr>
      <w:r>
        <w:t>Nedostatek kvalifikovaných pracovníků na realizaci strategických projektů.</w:t>
      </w:r>
    </w:p>
    <w:p w14:paraId="7081E317" w14:textId="4AB4A594" w:rsidR="006E2ADA" w:rsidRPr="00C86025" w:rsidRDefault="006E2ADA" w:rsidP="00C86025">
      <w:pPr>
        <w:pStyle w:val="HSpodbod"/>
      </w:pPr>
      <w:r w:rsidRPr="00C86025">
        <w:t xml:space="preserve">Vyčerpání zdrojů domácí pracovní síly </w:t>
      </w:r>
      <w:r w:rsidR="00EF69B8">
        <w:t>v</w:t>
      </w:r>
      <w:r w:rsidRPr="00C86025">
        <w:t xml:space="preserve"> produktivní </w:t>
      </w:r>
      <w:r w:rsidR="00EF69B8">
        <w:t>skupině</w:t>
      </w:r>
      <w:r w:rsidRPr="00C86025">
        <w:t xml:space="preserve"> obyvatelstva.</w:t>
      </w:r>
    </w:p>
    <w:p w14:paraId="41F1DC4C" w14:textId="0F40FBD4" w:rsidR="006E2ADA" w:rsidRPr="00C86025" w:rsidRDefault="001E578C" w:rsidP="00C86025">
      <w:pPr>
        <w:pStyle w:val="HSpodbod"/>
      </w:pPr>
      <w:r>
        <w:t>E</w:t>
      </w:r>
      <w:r w:rsidR="006E2ADA" w:rsidRPr="00C86025">
        <w:t>nvironmentální rizika a znečištění mohou mít dopad na zdraví pracovní síly, což může vést k vyšší míře nemocnosti a nižší produktivitě.</w:t>
      </w:r>
    </w:p>
    <w:p w14:paraId="769D1BA9" w14:textId="12170E43" w:rsidR="006E2ADA" w:rsidRPr="008124B3" w:rsidRDefault="006E2ADA" w:rsidP="00C86025">
      <w:pPr>
        <w:pStyle w:val="HSpodbod"/>
      </w:pPr>
      <w:r w:rsidRPr="00C86025">
        <w:t>Systém zd</w:t>
      </w:r>
      <w:r>
        <w:t>ravotní péče v </w:t>
      </w:r>
      <w:r w:rsidR="00B10552">
        <w:t>České republice</w:t>
      </w:r>
      <w:r>
        <w:t xml:space="preserve"> není za současných podmínek udržitelný. Jedná se o systémová rizika, která prorůstají napříč mnoha oblastmi, a tudíž jsou neřešitelná pouze v rámci zdravotnictví, ale vyžadují širokou odbornou a politickou shodu pro jejich odstranění.</w:t>
      </w:r>
    </w:p>
    <w:p w14:paraId="043B0A40" w14:textId="77777777" w:rsidR="006E2ADA" w:rsidRPr="006C2504" w:rsidRDefault="006E2ADA" w:rsidP="00643039">
      <w:pPr>
        <w:pStyle w:val="HSNadpis4bezslovn"/>
      </w:pPr>
      <w:bookmarkStart w:id="39" w:name="_Hlk170976130"/>
      <w:r w:rsidRPr="006C2504">
        <w:t>Strategické cíle:</w:t>
      </w:r>
    </w:p>
    <w:p w14:paraId="6804E36F" w14:textId="4B09BE6B" w:rsidR="006E2ADA" w:rsidRPr="001216DC" w:rsidRDefault="006E2ADA" w:rsidP="001216DC">
      <w:pPr>
        <w:pStyle w:val="HSpodbod"/>
      </w:pPr>
      <w:r w:rsidRPr="001216DC">
        <w:t>Vzdělávací systém dosahující nadprůměrných výsledků v hodnocení kvality ve srovnání s vyspělými státy.</w:t>
      </w:r>
    </w:p>
    <w:p w14:paraId="33DEBE85" w14:textId="5931A2DE" w:rsidR="00592842" w:rsidRPr="001216DC" w:rsidRDefault="00592842" w:rsidP="001216DC">
      <w:pPr>
        <w:pStyle w:val="HSpodbod"/>
        <w:numPr>
          <w:ilvl w:val="0"/>
          <w:numId w:val="0"/>
        </w:numPr>
        <w:ind w:left="360"/>
      </w:pPr>
      <w:r w:rsidRPr="001216DC">
        <w:t>Ukazatel: Testy PISA – Matemati</w:t>
      </w:r>
      <w:r w:rsidR="00BC2C52" w:rsidRPr="001216DC">
        <w:t>c</w:t>
      </w:r>
      <w:r w:rsidRPr="001216DC">
        <w:t>k</w:t>
      </w:r>
      <w:r w:rsidR="00BC2C52" w:rsidRPr="001216DC">
        <w:t>á gramotnost</w:t>
      </w:r>
      <w:r w:rsidRPr="001216DC">
        <w:t xml:space="preserve"> a </w:t>
      </w:r>
      <w:r w:rsidR="00BC2C52" w:rsidRPr="001216DC">
        <w:t>čtenářská gramotnost</w:t>
      </w:r>
    </w:p>
    <w:p w14:paraId="2F29BCA7" w14:textId="13ADE727" w:rsidR="00592842" w:rsidRPr="00F436BF" w:rsidRDefault="00924BEB" w:rsidP="00F436BF">
      <w:pPr>
        <w:pStyle w:val="HSpodbod"/>
      </w:pPr>
      <w:r>
        <w:t>Zvýšit p</w:t>
      </w:r>
      <w:r w:rsidR="00592842" w:rsidRPr="00F436BF">
        <w:t xml:space="preserve">odíl absolventů </w:t>
      </w:r>
      <w:r w:rsidR="00EF69B8">
        <w:t>vysokých škol</w:t>
      </w:r>
      <w:r w:rsidR="00592842" w:rsidRPr="00F436BF">
        <w:t xml:space="preserve"> ve STEM oborech</w:t>
      </w:r>
      <w:r>
        <w:t>.</w:t>
      </w:r>
    </w:p>
    <w:p w14:paraId="6F371487" w14:textId="1E3DA759" w:rsidR="00592842" w:rsidRPr="00F436BF" w:rsidRDefault="00592842" w:rsidP="00F436BF">
      <w:pPr>
        <w:pStyle w:val="HSpodbod"/>
        <w:numPr>
          <w:ilvl w:val="0"/>
          <w:numId w:val="0"/>
        </w:numPr>
        <w:ind w:left="360"/>
      </w:pPr>
      <w:r w:rsidRPr="00F436BF">
        <w:t xml:space="preserve">Ukazatel: </w:t>
      </w:r>
      <w:r w:rsidR="00F436BF" w:rsidRPr="00F436BF">
        <w:t xml:space="preserve">Podíl absolventů </w:t>
      </w:r>
      <w:r w:rsidR="00EF69B8">
        <w:t>vysokých škol</w:t>
      </w:r>
      <w:r w:rsidR="00EF69B8" w:rsidRPr="00F436BF">
        <w:t xml:space="preserve"> </w:t>
      </w:r>
      <w:r w:rsidR="00F436BF" w:rsidRPr="00F436BF">
        <w:t>ve STEM oborech</w:t>
      </w:r>
    </w:p>
    <w:p w14:paraId="232184FB" w14:textId="13A51AC0" w:rsidR="00592842" w:rsidRPr="00F436BF" w:rsidRDefault="00592842" w:rsidP="00F436BF">
      <w:pPr>
        <w:pStyle w:val="HSpodbod"/>
      </w:pPr>
      <w:r w:rsidRPr="00F436BF">
        <w:t>Vynikat v oblasti přilákání a udržení talent</w:t>
      </w:r>
      <w:r w:rsidR="00B977D3">
        <w:t>ů</w:t>
      </w:r>
      <w:r w:rsidR="007C08FA">
        <w:t>.</w:t>
      </w:r>
    </w:p>
    <w:p w14:paraId="1DBE68B7" w14:textId="28FA2912" w:rsidR="00592842" w:rsidRPr="00F436BF" w:rsidRDefault="00592842" w:rsidP="00F436BF">
      <w:pPr>
        <w:pStyle w:val="HSpodbod"/>
        <w:numPr>
          <w:ilvl w:val="0"/>
          <w:numId w:val="0"/>
        </w:numPr>
        <w:ind w:left="360"/>
      </w:pPr>
      <w:r w:rsidRPr="00F436BF">
        <w:t>Ukazatel: Podíl cizinců mezi studenty doktorských programů vzdělávání</w:t>
      </w:r>
    </w:p>
    <w:p w14:paraId="51C6E277" w14:textId="07B951CE" w:rsidR="00592842" w:rsidRPr="00F436BF" w:rsidRDefault="00592842" w:rsidP="00F436BF">
      <w:pPr>
        <w:pStyle w:val="HSpodbod"/>
      </w:pPr>
      <w:r w:rsidRPr="00F436BF">
        <w:t>Sladění nabídky a poptávky na trhu práce</w:t>
      </w:r>
      <w:r w:rsidR="003873A1" w:rsidRPr="00F436BF">
        <w:t>.</w:t>
      </w:r>
    </w:p>
    <w:p w14:paraId="55EABD9B" w14:textId="11D217A1" w:rsidR="00592842" w:rsidRPr="00F436BF" w:rsidRDefault="00592842" w:rsidP="00F436BF">
      <w:pPr>
        <w:pStyle w:val="HSpodbod"/>
        <w:numPr>
          <w:ilvl w:val="0"/>
          <w:numId w:val="0"/>
        </w:numPr>
        <w:ind w:left="360"/>
      </w:pPr>
      <w:r w:rsidRPr="00F436BF">
        <w:t>Ukazatel: Podíl uchazečů a pracovníků s tzv. „</w:t>
      </w:r>
      <w:proofErr w:type="spellStart"/>
      <w:r w:rsidR="000A66F4">
        <w:t>s</w:t>
      </w:r>
      <w:r w:rsidRPr="00F436BF">
        <w:t>kills</w:t>
      </w:r>
      <w:proofErr w:type="spellEnd"/>
      <w:r w:rsidRPr="00F436BF">
        <w:t xml:space="preserve"> </w:t>
      </w:r>
      <w:proofErr w:type="spellStart"/>
      <w:r w:rsidRPr="00F436BF">
        <w:t>mismatch</w:t>
      </w:r>
      <w:proofErr w:type="spellEnd"/>
      <w:r w:rsidRPr="00F436BF">
        <w:t>“</w:t>
      </w:r>
    </w:p>
    <w:p w14:paraId="4A9D1F6E" w14:textId="3FFFF292" w:rsidR="003873A1" w:rsidRPr="00F436BF" w:rsidRDefault="003873A1" w:rsidP="00F436BF">
      <w:pPr>
        <w:pStyle w:val="HSpodbod"/>
      </w:pPr>
      <w:r w:rsidRPr="00F436BF">
        <w:t>Rozvoj digitálních dovedností, bezpečného a zdravého využívání digitálních technologií je v souladu se strategickým rámcem pro digitální vzdělávání v programu Digitální Česko.</w:t>
      </w:r>
    </w:p>
    <w:p w14:paraId="519794D3" w14:textId="0886DCAC" w:rsidR="003873A1" w:rsidRPr="00F436BF" w:rsidRDefault="003873A1" w:rsidP="00F436BF">
      <w:pPr>
        <w:pStyle w:val="HSpodbod"/>
        <w:numPr>
          <w:ilvl w:val="0"/>
          <w:numId w:val="0"/>
        </w:numPr>
        <w:ind w:left="360"/>
      </w:pPr>
      <w:r w:rsidRPr="00F436BF">
        <w:t xml:space="preserve">Ukazatel: DESI </w:t>
      </w:r>
      <w:r w:rsidR="000E7A7B" w:rsidRPr="00F436BF">
        <w:t>kompozitní</w:t>
      </w:r>
      <w:r w:rsidRPr="00F436BF">
        <w:t xml:space="preserve"> index – část Lidské zdroje</w:t>
      </w:r>
    </w:p>
    <w:p w14:paraId="1D6E3358" w14:textId="2DD41248" w:rsidR="003873A1" w:rsidRPr="00F436BF" w:rsidRDefault="003873A1" w:rsidP="00F436BF">
      <w:pPr>
        <w:pStyle w:val="HSpodbod"/>
      </w:pPr>
      <w:r w:rsidRPr="00F436BF">
        <w:t xml:space="preserve">Podpora </w:t>
      </w:r>
      <w:proofErr w:type="spellStart"/>
      <w:r w:rsidRPr="00F436BF">
        <w:t>well-beingu</w:t>
      </w:r>
      <w:proofErr w:type="spellEnd"/>
      <w:r w:rsidRPr="00F436BF">
        <w:t xml:space="preserve"> a fyzické i duševní vytrvalosti včetně samotné odolnosti populace. </w:t>
      </w:r>
    </w:p>
    <w:p w14:paraId="58A79F9D" w14:textId="59846817" w:rsidR="003873A1" w:rsidRPr="00F436BF" w:rsidRDefault="003873A1" w:rsidP="00F436BF">
      <w:pPr>
        <w:pStyle w:val="HSpodbod"/>
        <w:numPr>
          <w:ilvl w:val="0"/>
          <w:numId w:val="0"/>
        </w:numPr>
        <w:ind w:left="360"/>
      </w:pPr>
      <w:r w:rsidRPr="00F436BF">
        <w:t>Ukazatel: Roky zdravého života</w:t>
      </w:r>
    </w:p>
    <w:p w14:paraId="1B87941D" w14:textId="7BF68B2E" w:rsidR="003873A1" w:rsidRPr="00F436BF" w:rsidRDefault="003873A1" w:rsidP="00F436BF">
      <w:pPr>
        <w:pStyle w:val="HSpodbod"/>
      </w:pPr>
      <w:r w:rsidRPr="00F436BF">
        <w:t>Inkluzivní trh práce (dokáže podpořit participaci osob na trhu práce znevýhodněných a osob, které souběžně s výkon</w:t>
      </w:r>
      <w:r w:rsidR="000A66F4">
        <w:t>em</w:t>
      </w:r>
      <w:r w:rsidRPr="00F436BF">
        <w:t xml:space="preserve"> práce realizují jinou společensky přínosnou činnost, např. péče o dítě a osoby blízké, studium a který umožňuje prodloužit aktivní profesní život</w:t>
      </w:r>
      <w:r w:rsidR="00810EB0">
        <w:t>)</w:t>
      </w:r>
      <w:r w:rsidRPr="00F436BF">
        <w:t>.</w:t>
      </w:r>
    </w:p>
    <w:p w14:paraId="3B49D9E7" w14:textId="6F06B517" w:rsidR="003873A1" w:rsidRPr="00F436BF" w:rsidRDefault="003873A1" w:rsidP="00F436BF">
      <w:pPr>
        <w:pStyle w:val="HSpodbod"/>
        <w:numPr>
          <w:ilvl w:val="0"/>
          <w:numId w:val="0"/>
        </w:numPr>
        <w:ind w:left="360"/>
      </w:pPr>
      <w:r w:rsidRPr="00F436BF">
        <w:t>Ukazatel: Míra participace na trhu práce pro věkovou skupinu 15-29</w:t>
      </w:r>
    </w:p>
    <w:p w14:paraId="3BA9FB06" w14:textId="34F285DF" w:rsidR="00546CA0" w:rsidRDefault="00546CA0" w:rsidP="00546CA0">
      <w:pPr>
        <w:pStyle w:val="HSNadpis4bezslovn"/>
      </w:pPr>
      <w:r w:rsidRPr="006C2504">
        <w:t>S</w:t>
      </w:r>
      <w:r>
        <w:t xml:space="preserve">pecifické </w:t>
      </w:r>
      <w:r w:rsidRPr="006C2504">
        <w:t>cíle:</w:t>
      </w:r>
    </w:p>
    <w:p w14:paraId="1E95FD48" w14:textId="77777777" w:rsidR="006E2ADA" w:rsidRPr="00186899" w:rsidRDefault="006E2ADA" w:rsidP="00643039">
      <w:pPr>
        <w:pStyle w:val="HSpodbod"/>
      </w:pPr>
      <w:r w:rsidRPr="00186899">
        <w:t>Dostupné všeobecné vzdělávání podporující postupnou odbornou specializaci v různých fázích života, prostupné obory a možnost změny v průběhu studia i v rámci celoživotního učení.</w:t>
      </w:r>
    </w:p>
    <w:p w14:paraId="7B227278" w14:textId="59099511" w:rsidR="006E2ADA" w:rsidRPr="00186899" w:rsidRDefault="006E2ADA" w:rsidP="00643039">
      <w:pPr>
        <w:pStyle w:val="HSpodbod"/>
      </w:pPr>
      <w:r w:rsidRPr="00186899">
        <w:t>Trh práce je flexibilní; existuje dostupný a funkční systém podpory dalšího vzdělávání, rekvalifikací, up-</w:t>
      </w:r>
      <w:proofErr w:type="spellStart"/>
      <w:r w:rsidRPr="00186899">
        <w:t>skillingu</w:t>
      </w:r>
      <w:proofErr w:type="spellEnd"/>
      <w:r w:rsidRPr="00186899">
        <w:t xml:space="preserve"> a</w:t>
      </w:r>
      <w:r>
        <w:t> </w:t>
      </w:r>
      <w:r w:rsidRPr="00186899">
        <w:t>re-</w:t>
      </w:r>
      <w:proofErr w:type="spellStart"/>
      <w:r w:rsidRPr="00186899">
        <w:t>skillingu</w:t>
      </w:r>
      <w:proofErr w:type="spellEnd"/>
      <w:r w:rsidRPr="00186899">
        <w:t>.</w:t>
      </w:r>
    </w:p>
    <w:p w14:paraId="6B3D1320" w14:textId="61F6D79A" w:rsidR="006E2ADA" w:rsidRPr="00186899" w:rsidRDefault="006E2ADA" w:rsidP="00643039">
      <w:pPr>
        <w:pStyle w:val="HSpodbod"/>
      </w:pPr>
      <w:r w:rsidRPr="00186899">
        <w:t xml:space="preserve">Rozvoj digitálních dovedností, bezpečného a zdravého využívání digitálních technologií </w:t>
      </w:r>
      <w:r w:rsidRPr="00B0470A">
        <w:t>je v souladu se strategickým rámcem</w:t>
      </w:r>
      <w:r w:rsidRPr="00186899">
        <w:t xml:space="preserve"> pro digitální vzdělávání v programu Digitální Česko.</w:t>
      </w:r>
    </w:p>
    <w:p w14:paraId="2EBF07C9" w14:textId="77777777" w:rsidR="006E2ADA" w:rsidRPr="00261527" w:rsidRDefault="006E2ADA" w:rsidP="00643039">
      <w:pPr>
        <w:pStyle w:val="HSNadpis4bezslovn"/>
      </w:pPr>
      <w:r w:rsidRPr="006C2504">
        <w:t>Hlavní opatření:</w:t>
      </w:r>
    </w:p>
    <w:p w14:paraId="3219496E" w14:textId="77777777" w:rsidR="00DB7877" w:rsidRPr="00DD2C2D" w:rsidRDefault="00DB7877" w:rsidP="00DB7877">
      <w:pPr>
        <w:pStyle w:val="HSpodbod"/>
      </w:pPr>
      <w:r>
        <w:t>Učinit k</w:t>
      </w:r>
      <w:r w:rsidRPr="00DD2C2D">
        <w:t>omplexní reformní kroky ke zkv</w:t>
      </w:r>
      <w:r w:rsidRPr="002E3E0B">
        <w:rPr>
          <w:rFonts w:cstheme="minorHAnsi"/>
        </w:rPr>
        <w:t>alitnění regionálního školství</w:t>
      </w:r>
      <w:r>
        <w:rPr>
          <w:rFonts w:cstheme="minorHAnsi"/>
        </w:rPr>
        <w:t>, které jsou</w:t>
      </w:r>
      <w:r w:rsidRPr="002E3E0B">
        <w:rPr>
          <w:rFonts w:cstheme="minorHAnsi"/>
        </w:rPr>
        <w:t xml:space="preserve"> </w:t>
      </w:r>
      <w:r w:rsidRPr="002E3E0B">
        <w:t xml:space="preserve">součástí </w:t>
      </w:r>
      <w:r w:rsidRPr="00D54BA3">
        <w:t>Strategie vzdělávací politiky ČR do roku 2030+</w:t>
      </w:r>
      <w:r w:rsidRPr="009F38ED">
        <w:t>.</w:t>
      </w:r>
      <w:r>
        <w:t xml:space="preserve"> </w:t>
      </w:r>
      <w:r w:rsidRPr="00DB656A">
        <w:rPr>
          <w:b/>
          <w:bCs/>
        </w:rPr>
        <w:t>#NERV</w:t>
      </w:r>
    </w:p>
    <w:p w14:paraId="719A8129" w14:textId="65A166ED" w:rsidR="006E2ADA" w:rsidRPr="00DD2C2D" w:rsidRDefault="006E2ADA" w:rsidP="00643039">
      <w:pPr>
        <w:pStyle w:val="HSpodbod"/>
      </w:pPr>
      <w:r>
        <w:rPr>
          <w:rFonts w:cstheme="minorHAnsi"/>
        </w:rPr>
        <w:t>Vytvořit d</w:t>
      </w:r>
      <w:r w:rsidRPr="002E3E0B">
        <w:rPr>
          <w:rFonts w:cstheme="minorHAnsi"/>
        </w:rPr>
        <w:t>ávk</w:t>
      </w:r>
      <w:r w:rsidRPr="002E3E0B">
        <w:t>ový a sociální systém motivující k práci a využití lidského kapitálu</w:t>
      </w:r>
      <w:r>
        <w:t xml:space="preserve">, a to v podobě </w:t>
      </w:r>
      <w:r w:rsidRPr="00DD2C2D">
        <w:t xml:space="preserve">zvýšení přirozené ekonomicko-finanční motivace pracovat; odstranění </w:t>
      </w:r>
      <w:r w:rsidR="00810EB0">
        <w:t xml:space="preserve">podstatných </w:t>
      </w:r>
      <w:r w:rsidRPr="00DD2C2D">
        <w:t>bodů zlomu, tj. bodů, kdy dodatečná vydělaná koruna vede k poklesu čistých příjmů</w:t>
      </w:r>
      <w:r>
        <w:t xml:space="preserve">; </w:t>
      </w:r>
      <w:r w:rsidRPr="00D54BA3">
        <w:t>úpravy normativů na bydlení;</w:t>
      </w:r>
      <w:r w:rsidRPr="00CF7CC9">
        <w:t xml:space="preserve"> </w:t>
      </w:r>
      <w:r w:rsidRPr="009F38ED">
        <w:t>snížení administrativy;</w:t>
      </w:r>
      <w:r>
        <w:t xml:space="preserve"> </w:t>
      </w:r>
      <w:r w:rsidRPr="00CF7CC9">
        <w:t>výpoč</w:t>
      </w:r>
      <w:r w:rsidRPr="00DD2C2D">
        <w:t>tu nároku na dávky v</w:t>
      </w:r>
      <w:r>
        <w:t> </w:t>
      </w:r>
      <w:r w:rsidRPr="00CF7CC9">
        <w:t xml:space="preserve">oddlužení </w:t>
      </w:r>
      <w:r w:rsidRPr="00DD2C2D">
        <w:t>z příjmu po exekučních srážkách</w:t>
      </w:r>
      <w:r>
        <w:t xml:space="preserve"> nebo p</w:t>
      </w:r>
      <w:r w:rsidRPr="00CF7CC9">
        <w:t xml:space="preserve">osílení </w:t>
      </w:r>
      <w:r w:rsidRPr="00DD2C2D">
        <w:t>tlaku</w:t>
      </w:r>
      <w:r w:rsidRPr="00CF7CC9">
        <w:t xml:space="preserve"> na rekvalifikaci</w:t>
      </w:r>
      <w:r w:rsidRPr="009F38ED">
        <w:t>.</w:t>
      </w:r>
      <w:r>
        <w:t xml:space="preserve"> </w:t>
      </w:r>
      <w:bookmarkStart w:id="40" w:name="_Hlk171596921"/>
      <w:r w:rsidRPr="00DB656A">
        <w:rPr>
          <w:b/>
          <w:bCs/>
        </w:rPr>
        <w:t>#NERV</w:t>
      </w:r>
      <w:bookmarkEnd w:id="40"/>
    </w:p>
    <w:p w14:paraId="4F59E540" w14:textId="77777777" w:rsidR="006E2ADA" w:rsidRPr="002E3E0B" w:rsidRDefault="006E2ADA" w:rsidP="00643039">
      <w:pPr>
        <w:pStyle w:val="HSpodbod"/>
      </w:pPr>
      <w:r w:rsidRPr="00DD2C2D">
        <w:lastRenderedPageBreak/>
        <w:t>Moderniz</w:t>
      </w:r>
      <w:r>
        <w:t>ovat</w:t>
      </w:r>
      <w:r w:rsidRPr="00DD2C2D">
        <w:t xml:space="preserve"> </w:t>
      </w:r>
      <w:r>
        <w:t>z</w:t>
      </w:r>
      <w:r w:rsidRPr="00DD2C2D">
        <w:t xml:space="preserve">ákoník práce, a to v podobě zvýšení </w:t>
      </w:r>
      <w:r w:rsidRPr="002E3E0B">
        <w:t>pružnost</w:t>
      </w:r>
      <w:r>
        <w:t>i</w:t>
      </w:r>
      <w:r w:rsidRPr="002E3E0B">
        <w:t xml:space="preserve"> v oblasti náboru nových zaměstnanců, regulace pracovní doby, propouštění zaměstnanců, vyváženost</w:t>
      </w:r>
      <w:r>
        <w:t>i</w:t>
      </w:r>
      <w:r w:rsidRPr="002E3E0B">
        <w:t xml:space="preserve"> v daňové oblasti, aktivace pracovní rezervy, včetně zvýšení zaměstnanosti žen.</w:t>
      </w:r>
      <w:r>
        <w:t xml:space="preserve"> </w:t>
      </w:r>
      <w:r w:rsidRPr="00DB656A">
        <w:rPr>
          <w:b/>
          <w:bCs/>
        </w:rPr>
        <w:t>#NERV</w:t>
      </w:r>
    </w:p>
    <w:p w14:paraId="4CD42757" w14:textId="77777777" w:rsidR="006E2ADA" w:rsidRPr="00186899" w:rsidRDefault="006E2ADA" w:rsidP="00643039">
      <w:pPr>
        <w:pStyle w:val="HSpodbod"/>
      </w:pPr>
      <w:r w:rsidRPr="00186899">
        <w:t>Rozvoj pedagogů a leaderů škol a podpora prestiže jejich povolání.</w:t>
      </w:r>
    </w:p>
    <w:p w14:paraId="01F603CF" w14:textId="730AF81F" w:rsidR="006E2ADA" w:rsidRPr="00186899" w:rsidRDefault="006E2ADA" w:rsidP="00643039">
      <w:pPr>
        <w:pStyle w:val="HSpodbod"/>
      </w:pPr>
      <w:r w:rsidRPr="00B0470A">
        <w:t>V návaznosti na reviz</w:t>
      </w:r>
      <w:r w:rsidR="003828AA">
        <w:t>i</w:t>
      </w:r>
      <w:r w:rsidRPr="00B0470A">
        <w:t xml:space="preserve"> </w:t>
      </w:r>
      <w:r w:rsidR="003828AA">
        <w:t>rámcových vzdělávacích programů</w:t>
      </w:r>
      <w:r w:rsidR="003828AA" w:rsidRPr="00B0470A">
        <w:t xml:space="preserve"> </w:t>
      </w:r>
      <w:r w:rsidRPr="00186899">
        <w:t>zohlednit digitální technologie. Poskytovat podporu školám v integraci digitálních nástrojů a inovací do výuky.</w:t>
      </w:r>
    </w:p>
    <w:p w14:paraId="6144DF91" w14:textId="77777777" w:rsidR="00B0240A" w:rsidRPr="00186899" w:rsidRDefault="00B0240A" w:rsidP="00B0240A">
      <w:pPr>
        <w:pStyle w:val="HSpodbod"/>
      </w:pPr>
      <w:r w:rsidRPr="00186899">
        <w:t>Snížení počtu odkladů povinné školní docházky a prevence předčasných odchodů ze vzdělávání.</w:t>
      </w:r>
    </w:p>
    <w:p w14:paraId="55FCCF73" w14:textId="77777777" w:rsidR="006E2ADA" w:rsidRPr="00186899" w:rsidRDefault="006E2ADA" w:rsidP="00643039">
      <w:pPr>
        <w:pStyle w:val="HSpodbod"/>
      </w:pPr>
      <w:r w:rsidRPr="00186899">
        <w:t xml:space="preserve">Zavádět </w:t>
      </w:r>
      <w:proofErr w:type="spellStart"/>
      <w:r w:rsidRPr="00186899">
        <w:t>mikrocertifikáty</w:t>
      </w:r>
      <w:proofErr w:type="spellEnd"/>
      <w:r w:rsidRPr="00186899">
        <w:t xml:space="preserve"> a standardizované zkoušk</w:t>
      </w:r>
      <w:r>
        <w:t>y</w:t>
      </w:r>
      <w:r w:rsidRPr="00186899">
        <w:t xml:space="preserve"> dle mezinárodních kritérií a jejich uznávání.</w:t>
      </w:r>
    </w:p>
    <w:p w14:paraId="06E62E0A" w14:textId="77777777" w:rsidR="006E2ADA" w:rsidRPr="00186899" w:rsidRDefault="006E2ADA" w:rsidP="00643039">
      <w:pPr>
        <w:pStyle w:val="HSpodbod"/>
      </w:pPr>
      <w:r w:rsidRPr="00186899">
        <w:t>Reforma systému zajišťování kvality a akreditací umožňující větší prostupnost studia a flexibilitu profilace absolventů. Zavedení institucionálního auditu v rámci vnějšího hodnocení.</w:t>
      </w:r>
    </w:p>
    <w:p w14:paraId="4780F9AB" w14:textId="06DDBED1" w:rsidR="006E2ADA" w:rsidRPr="00916F30" w:rsidRDefault="006E2ADA" w:rsidP="00643039">
      <w:pPr>
        <w:pStyle w:val="HSpodbod"/>
      </w:pPr>
      <w:r w:rsidRPr="00186899">
        <w:t xml:space="preserve">Reforma systému financování </w:t>
      </w:r>
      <w:r w:rsidR="006E2982">
        <w:t>vysokých škol</w:t>
      </w:r>
      <w:r w:rsidR="006E2982" w:rsidRPr="00186899">
        <w:t xml:space="preserve"> </w:t>
      </w:r>
      <w:r w:rsidRPr="00186899">
        <w:t xml:space="preserve">zavádějící </w:t>
      </w:r>
      <w:r>
        <w:t xml:space="preserve">mj. </w:t>
      </w:r>
      <w:r w:rsidRPr="00916F30">
        <w:t xml:space="preserve">možnosti </w:t>
      </w:r>
      <w:proofErr w:type="spellStart"/>
      <w:r w:rsidRPr="00916F30">
        <w:t>kontraktové</w:t>
      </w:r>
      <w:r w:rsidR="006E2982">
        <w:t>ho</w:t>
      </w:r>
      <w:proofErr w:type="spellEnd"/>
      <w:r w:rsidRPr="00916F30">
        <w:t xml:space="preserve"> financování</w:t>
      </w:r>
      <w:r w:rsidR="006E2982">
        <w:t>,</w:t>
      </w:r>
      <w:r w:rsidRPr="00916F30">
        <w:t xml:space="preserve"> zohledňující potřeby trhu práce a potřeby klíčových profesí</w:t>
      </w:r>
      <w:r w:rsidR="006E2982">
        <w:t xml:space="preserve"> a zohledňující princip zodpovědnosti vysokých škol za výsledky</w:t>
      </w:r>
      <w:r w:rsidRPr="00916F30">
        <w:t>.</w:t>
      </w:r>
    </w:p>
    <w:p w14:paraId="669ABD0A" w14:textId="731EF40A" w:rsidR="00DB7877" w:rsidRDefault="00DB7877" w:rsidP="00643039">
      <w:pPr>
        <w:pStyle w:val="HSpodbod"/>
      </w:pPr>
      <w:r>
        <w:t>P</w:t>
      </w:r>
      <w:r w:rsidRPr="00DB7877">
        <w:t>oskytovat praktické vzdělávání žáků středních a vyšších odborných škol na pracovištích zaměstnavatelů formou tzv. „duálního vzdělávání“</w:t>
      </w:r>
      <w:r>
        <w:t>.</w:t>
      </w:r>
    </w:p>
    <w:p w14:paraId="6DBA22AF" w14:textId="55F4744E" w:rsidR="007C08FA" w:rsidRDefault="007C08FA" w:rsidP="00643039">
      <w:pPr>
        <w:pStyle w:val="HSpodbod"/>
      </w:pPr>
      <w:r>
        <w:t>V</w:t>
      </w:r>
      <w:r w:rsidRPr="00F436BF">
        <w:t>ytvoř</w:t>
      </w:r>
      <w:r>
        <w:t>it</w:t>
      </w:r>
      <w:r w:rsidRPr="00F436BF">
        <w:t xml:space="preserve"> podmínky pro integraci zahraničních pracovníků a studentů a využ</w:t>
      </w:r>
      <w:r>
        <w:t>ít</w:t>
      </w:r>
      <w:r w:rsidRPr="00F436BF">
        <w:t xml:space="preserve"> jejich potenciálu pro ekonomiku</w:t>
      </w:r>
      <w:r w:rsidR="00320226">
        <w:t xml:space="preserve"> České republiky</w:t>
      </w:r>
      <w:r w:rsidRPr="00F436BF">
        <w:t>.</w:t>
      </w:r>
    </w:p>
    <w:p w14:paraId="39F6EC43" w14:textId="6098EE88" w:rsidR="006E2ADA" w:rsidRPr="00186899" w:rsidRDefault="007C08FA" w:rsidP="00643039">
      <w:pPr>
        <w:pStyle w:val="HSpodbod"/>
      </w:pPr>
      <w:r w:rsidRPr="00186899">
        <w:t>Rozv</w:t>
      </w:r>
      <w:r>
        <w:t>inout</w:t>
      </w:r>
      <w:r w:rsidRPr="00186899">
        <w:t xml:space="preserve"> </w:t>
      </w:r>
      <w:r w:rsidR="006E2ADA" w:rsidRPr="00186899">
        <w:t>nástroj</w:t>
      </w:r>
      <w:r>
        <w:t>e</w:t>
      </w:r>
      <w:r w:rsidR="006E2ADA" w:rsidRPr="00186899">
        <w:t xml:space="preserve"> aktivní politiky zaměstnanosti, včetně nástrojů podpory dalšího vzdělávání, usnadňujících vstup na trh práce a setrvání na něm u osob se specifickými potřebami.</w:t>
      </w:r>
    </w:p>
    <w:p w14:paraId="50D2A9B2" w14:textId="03EE0DA7" w:rsidR="006E2ADA" w:rsidRPr="00186899" w:rsidRDefault="006E2ADA" w:rsidP="00643039">
      <w:pPr>
        <w:pStyle w:val="HSpodbod"/>
      </w:pPr>
      <w:r w:rsidRPr="00186899">
        <w:t xml:space="preserve">Zkrácené úvazky a benefity a rozvoj předškolní péče. </w:t>
      </w:r>
      <w:r w:rsidR="00D757EC">
        <w:t>Usnadnění z</w:t>
      </w:r>
      <w:r w:rsidRPr="00186899">
        <w:t>apojení seniorů</w:t>
      </w:r>
      <w:r w:rsidR="00D757EC">
        <w:t>, rodičů a ZTP</w:t>
      </w:r>
      <w:r w:rsidRPr="00186899">
        <w:t xml:space="preserve"> na trh práce.</w:t>
      </w:r>
    </w:p>
    <w:p w14:paraId="3CC4E5F5" w14:textId="5E8E7C35" w:rsidR="006E2ADA" w:rsidRPr="00186899" w:rsidRDefault="006E2ADA" w:rsidP="00643039">
      <w:pPr>
        <w:pStyle w:val="HSpodbod"/>
      </w:pPr>
      <w:r w:rsidRPr="00186899">
        <w:t>Rozšiřování programů prevence s bonifikací, programů screeningu a posílení ochrany veřejného zdraví, fyzické zdatnosti společnosti.</w:t>
      </w:r>
    </w:p>
    <w:p w14:paraId="68B6CF1A" w14:textId="6603B00B" w:rsidR="006E2ADA" w:rsidRPr="00186899" w:rsidRDefault="006E2ADA" w:rsidP="00643039">
      <w:pPr>
        <w:pStyle w:val="HSpodbod"/>
      </w:pPr>
      <w:r w:rsidRPr="00186899">
        <w:t>Prostřednictvím kvalitní a odborně vedené výuky zapojit co nejvíce dětí do hodin TV s cílem zvýšit míru jejich pohybové gramotnosti.</w:t>
      </w:r>
    </w:p>
    <w:p w14:paraId="48341640" w14:textId="289CE817" w:rsidR="006E2ADA" w:rsidRPr="00714380" w:rsidRDefault="006E2ADA" w:rsidP="00643039">
      <w:pPr>
        <w:pStyle w:val="HSpodbod"/>
      </w:pPr>
      <w:r w:rsidRPr="00186899">
        <w:t xml:space="preserve">Personální stabilizace zdravotnictví </w:t>
      </w:r>
      <w:r w:rsidR="002D04BC">
        <w:t xml:space="preserve">napříč regiony </w:t>
      </w:r>
      <w:r w:rsidRPr="00186899">
        <w:t>prostřednict</w:t>
      </w:r>
      <w:r w:rsidRPr="00714380">
        <w:t>vím navýšení využívání částečných úvazků a vytvoření lepších pracovních podmínek pro zaměstnance ve zdravotnictví.</w:t>
      </w:r>
    </w:p>
    <w:p w14:paraId="11466E1E" w14:textId="49A946F2" w:rsidR="006E2ADA" w:rsidRPr="00714380" w:rsidRDefault="006E2ADA" w:rsidP="00643039">
      <w:pPr>
        <w:pStyle w:val="HSpodbod"/>
      </w:pPr>
      <w:r w:rsidRPr="00714380">
        <w:t>Revize struktury sítě zdravotní péče</w:t>
      </w:r>
      <w:r w:rsidR="002D04BC">
        <w:t xml:space="preserve"> směřující k průběžné optimalizaci služeb systému zdravotní péče</w:t>
      </w:r>
      <w:r w:rsidRPr="00714380">
        <w:t>.</w:t>
      </w:r>
    </w:p>
    <w:bookmarkEnd w:id="39"/>
    <w:p w14:paraId="55FB38B5" w14:textId="77777777" w:rsidR="006E2ADA" w:rsidRPr="006C2504" w:rsidRDefault="006E2ADA" w:rsidP="00B033D0">
      <w:pPr>
        <w:pStyle w:val="HSNadpis4bezslovn"/>
      </w:pPr>
      <w:r w:rsidRPr="006C2504">
        <w:t>Naplňující strategie:</w:t>
      </w:r>
    </w:p>
    <w:p w14:paraId="21BB605B" w14:textId="358D8B3A" w:rsidR="00985A28" w:rsidRDefault="006E2ADA" w:rsidP="00643039">
      <w:pPr>
        <w:pStyle w:val="HSpodbod"/>
      </w:pPr>
      <w:r w:rsidRPr="00714380">
        <w:t>Strategie vzdělávací politiky ČR do roku 2030+</w:t>
      </w:r>
      <w:r w:rsidR="00985A28" w:rsidRPr="00714380">
        <w:rPr>
          <w:vertAlign w:val="superscript"/>
        </w:rPr>
        <w:endnoteReference w:id="36"/>
      </w:r>
      <w:r w:rsidR="00985A28" w:rsidRPr="00714380">
        <w:t xml:space="preserve"> </w:t>
      </w:r>
      <w:r w:rsidRPr="00714380">
        <w:t>a Dlouhodobý záměr vzdělávání a rozvoje vzdělávací soustavy</w:t>
      </w:r>
      <w:r w:rsidR="00B977D3">
        <w:t xml:space="preserve"> České republiky</w:t>
      </w:r>
      <w:r w:rsidRPr="00714380">
        <w:t xml:space="preserve"> 2023-2027</w:t>
      </w:r>
      <w:r w:rsidR="00985A28" w:rsidRPr="00586183">
        <w:rPr>
          <w:vertAlign w:val="superscript"/>
        </w:rPr>
        <w:endnoteReference w:id="37"/>
      </w:r>
    </w:p>
    <w:p w14:paraId="2C6C4C6A" w14:textId="427F5E50" w:rsidR="006E2ADA" w:rsidRPr="00714380" w:rsidRDefault="006E2ADA" w:rsidP="00643039">
      <w:pPr>
        <w:pStyle w:val="HSpodbod"/>
      </w:pPr>
      <w:r w:rsidRPr="00714380">
        <w:t xml:space="preserve">Strategický záměr </w:t>
      </w:r>
      <w:r w:rsidR="00E76FEB">
        <w:t>MŠMT</w:t>
      </w:r>
      <w:r w:rsidRPr="00714380">
        <w:t xml:space="preserve"> pro oblast vysokých škol na období od roku 2021</w:t>
      </w:r>
    </w:p>
    <w:p w14:paraId="51BC51AD" w14:textId="7D2D9400" w:rsidR="006E2ADA" w:rsidRPr="00714380" w:rsidRDefault="00B87B81" w:rsidP="00643039">
      <w:pPr>
        <w:pStyle w:val="HSpodbod"/>
      </w:pPr>
      <w:hyperlink r:id="rId62" w:history="1">
        <w:r w:rsidR="006E2ADA" w:rsidRPr="00714380">
          <w:t>Digitální Česko – koncepce Digitální vzdělávání</w:t>
        </w:r>
      </w:hyperlink>
    </w:p>
    <w:p w14:paraId="40964B84" w14:textId="37381294" w:rsidR="006E2ADA" w:rsidRPr="00714380" w:rsidRDefault="006E2ADA" w:rsidP="00643039">
      <w:pPr>
        <w:pStyle w:val="HSpodbod"/>
      </w:pPr>
      <w:r w:rsidRPr="00714380">
        <w:t>Strategický rámec politiky zaměstnanosti do roku 2030</w:t>
      </w:r>
    </w:p>
    <w:p w14:paraId="60DBCF7B" w14:textId="488F2981" w:rsidR="006E2ADA" w:rsidRPr="00714380" w:rsidRDefault="006E2ADA" w:rsidP="00643039">
      <w:pPr>
        <w:pStyle w:val="HSpodbod"/>
      </w:pPr>
      <w:r w:rsidRPr="00714380">
        <w:t>Strategický rámec Česká republika 2030</w:t>
      </w:r>
    </w:p>
    <w:p w14:paraId="6BB39B4A" w14:textId="046E0F2B" w:rsidR="006E2ADA" w:rsidRPr="00714380" w:rsidRDefault="006E2ADA" w:rsidP="00043699">
      <w:pPr>
        <w:pStyle w:val="HSpodbod"/>
      </w:pPr>
      <w:r w:rsidRPr="00714380">
        <w:t>Dohoda o rozdělení odpovědnosti za jednotlivé oblastí počátečního odborného vzdělávání</w:t>
      </w:r>
    </w:p>
    <w:p w14:paraId="538BD8E0" w14:textId="2863D0C2" w:rsidR="006E2ADA" w:rsidRPr="00714380" w:rsidRDefault="006E2ADA" w:rsidP="00643039">
      <w:pPr>
        <w:pStyle w:val="HSpodbod"/>
      </w:pPr>
      <w:r w:rsidRPr="00714380">
        <w:t>Průmysl 4.0</w:t>
      </w:r>
    </w:p>
    <w:p w14:paraId="370BEAEF" w14:textId="182396FB" w:rsidR="00985A28" w:rsidRDefault="006E2ADA" w:rsidP="00643039">
      <w:pPr>
        <w:pStyle w:val="HSpodbod"/>
      </w:pPr>
      <w:r w:rsidRPr="00714380">
        <w:t>Plán podpory pohybu dětí, žáků a studentů ve školách a školských zařízeních a státní politiky školního a</w:t>
      </w:r>
      <w:r>
        <w:t> </w:t>
      </w:r>
      <w:r w:rsidRPr="00714380">
        <w:t>vysokoškolského sportu pro období 2024–2028</w:t>
      </w:r>
      <w:r w:rsidR="00985A28" w:rsidRPr="00586183">
        <w:rPr>
          <w:vertAlign w:val="superscript"/>
        </w:rPr>
        <w:endnoteReference w:id="38"/>
      </w:r>
    </w:p>
    <w:p w14:paraId="3E155E70" w14:textId="59860DF7" w:rsidR="00643039" w:rsidRDefault="006E2ADA" w:rsidP="008B11C9">
      <w:pPr>
        <w:pStyle w:val="HSpodbod"/>
      </w:pPr>
      <w:r w:rsidRPr="00714380">
        <w:t>Strategický rámec rozvoje péče o zdraví v České republice do roku 2030 a Analýza potřeb resortu zdravotnictví</w:t>
      </w:r>
      <w:r w:rsidR="00985A28">
        <w:rPr>
          <w:rStyle w:val="Odkaznavysvtlivky"/>
        </w:rPr>
        <w:endnoteReference w:id="39"/>
      </w:r>
      <w:r w:rsidR="00643039">
        <w:br w:type="page"/>
      </w:r>
    </w:p>
    <w:p w14:paraId="4ABDE874" w14:textId="77777777" w:rsidR="00643039" w:rsidRPr="00F5548D" w:rsidRDefault="00643039" w:rsidP="00643039">
      <w:pPr>
        <w:pStyle w:val="HSNadpisIII1"/>
      </w:pPr>
      <w:bookmarkStart w:id="41" w:name="_Toc174703073"/>
      <w:r w:rsidRPr="00DE56AF">
        <w:lastRenderedPageBreak/>
        <w:t>Výzkum, vývoj a inovace</w:t>
      </w:r>
      <w:bookmarkEnd w:id="41"/>
    </w:p>
    <w:p w14:paraId="728B8540" w14:textId="604FB794" w:rsidR="00643039" w:rsidRPr="001A1C2D" w:rsidRDefault="00643039" w:rsidP="00B033D0">
      <w:r>
        <w:t xml:space="preserve">Výzkum, vývoj a inovace jsou klíčové pro prosperitu a </w:t>
      </w:r>
      <w:r w:rsidRPr="001A1C2D">
        <w:t>zlepš</w:t>
      </w:r>
      <w:r>
        <w:t>ení</w:t>
      </w:r>
      <w:r w:rsidRPr="001A1C2D">
        <w:t xml:space="preserve"> kvalit</w:t>
      </w:r>
      <w:r>
        <w:t>y</w:t>
      </w:r>
      <w:r w:rsidRPr="001A1C2D">
        <w:t xml:space="preserve"> života</w:t>
      </w:r>
      <w:r>
        <w:t xml:space="preserve"> v České rep</w:t>
      </w:r>
      <w:r w:rsidRPr="00924688">
        <w:t>ubli</w:t>
      </w:r>
      <w:r>
        <w:t>ce</w:t>
      </w:r>
      <w:r w:rsidRPr="00924688">
        <w:t>. Kombinace všech těchto prvků pro uplatnění jak v</w:t>
      </w:r>
      <w:r>
        <w:t> </w:t>
      </w:r>
      <w:r w:rsidRPr="00924688">
        <w:t xml:space="preserve">podnikové sféře, tak i v oblasti veřejné, v sobě </w:t>
      </w:r>
      <w:r w:rsidR="00E76FEB" w:rsidRPr="00924688">
        <w:t xml:space="preserve">skýtá </w:t>
      </w:r>
      <w:r w:rsidRPr="00924688">
        <w:t xml:space="preserve">potenciál zásadním způsobem posunout kvalitu života na vyšší úroveň, přičemž provázání </w:t>
      </w:r>
      <w:r w:rsidR="00A26E1A">
        <w:t>výzkumu, vývoje a inovací</w:t>
      </w:r>
      <w:r w:rsidR="00A26E1A" w:rsidRPr="00924688">
        <w:t xml:space="preserve"> </w:t>
      </w:r>
      <w:r w:rsidR="00A26E1A">
        <w:t xml:space="preserve">zejména </w:t>
      </w:r>
      <w:r w:rsidRPr="00924688">
        <w:t>s průmyslem a energetikou je jednou z</w:t>
      </w:r>
      <w:r w:rsidR="00C86025">
        <w:t> </w:t>
      </w:r>
      <w:r w:rsidRPr="00924688">
        <w:t>nejvyšších ambicí hospodářské vize</w:t>
      </w:r>
      <w:r>
        <w:t xml:space="preserve">. </w:t>
      </w:r>
      <w:r w:rsidRPr="009F14F6">
        <w:t xml:space="preserve">Předpoklady pro využití všech synergických efektů položila Inovační strategie ČR, která </w:t>
      </w:r>
      <w:r w:rsidR="00A26E1A" w:rsidRPr="009F14F6">
        <w:t>vytyč</w:t>
      </w:r>
      <w:r w:rsidR="00A26E1A">
        <w:t>ila</w:t>
      </w:r>
      <w:r w:rsidR="00A26E1A" w:rsidRPr="009F14F6">
        <w:t xml:space="preserve"> </w:t>
      </w:r>
      <w:r w:rsidRPr="009F14F6">
        <w:t>cíle v</w:t>
      </w:r>
      <w:r>
        <w:t> </w:t>
      </w:r>
      <w:r w:rsidRPr="009F14F6">
        <w:t xml:space="preserve">oblasti financování a hodnocení výzkumu, budování chytré </w:t>
      </w:r>
      <w:r w:rsidR="00A26E1A">
        <w:t xml:space="preserve">vědecko-výzkumné </w:t>
      </w:r>
      <w:r w:rsidRPr="009F14F6">
        <w:t xml:space="preserve">infrastruktury. Budoucí celospolečenské změny budou ovlivněny rozvojem </w:t>
      </w:r>
      <w:r>
        <w:t xml:space="preserve">progresivních </w:t>
      </w:r>
      <w:r w:rsidRPr="009F14F6">
        <w:t>technologií</w:t>
      </w:r>
      <w:r>
        <w:t>, definovaných RIS3 strategií, mezi které patří především umělá inteligence, polovodiče</w:t>
      </w:r>
      <w:r w:rsidR="00DF433A" w:rsidRPr="00DF433A">
        <w:t>, nízkouhlíkové</w:t>
      </w:r>
      <w:r>
        <w:t xml:space="preserve"> nebo kvantové technologie</w:t>
      </w:r>
      <w:r w:rsidRPr="009F14F6">
        <w:t xml:space="preserve"> v oblasti </w:t>
      </w:r>
      <w:r w:rsidR="00A26E1A">
        <w:t>dopravy</w:t>
      </w:r>
      <w:r w:rsidRPr="009F14F6">
        <w:t>, energetiky, biotechnologií</w:t>
      </w:r>
      <w:r>
        <w:t xml:space="preserve"> a biomedicíny</w:t>
      </w:r>
      <w:r w:rsidRPr="009F14F6">
        <w:t>, pokročilých materiálů</w:t>
      </w:r>
      <w:r>
        <w:t>, vesmírného a leteckého průmyslu nebo kulturních a kreativních odvětví.</w:t>
      </w:r>
    </w:p>
    <w:p w14:paraId="6D83E3A8" w14:textId="77777777" w:rsidR="00643039" w:rsidRPr="006C2504" w:rsidRDefault="00643039" w:rsidP="00B033D0">
      <w:pPr>
        <w:pStyle w:val="HSNadpis4bezslovn"/>
      </w:pPr>
      <w:r w:rsidRPr="006C2504">
        <w:t>Souhrnná analýza potenciálu ekonomiky České republiky v dané oblasti (SWOT analýza):</w:t>
      </w:r>
    </w:p>
    <w:p w14:paraId="77C18429" w14:textId="77777777" w:rsidR="00643039" w:rsidRPr="00DE56AF" w:rsidRDefault="00643039" w:rsidP="00B033D0">
      <w:pPr>
        <w:pStyle w:val="HSNadpis5bezslovn"/>
      </w:pPr>
      <w:r w:rsidRPr="00DE56AF">
        <w:t>Silné stránky:</w:t>
      </w:r>
    </w:p>
    <w:p w14:paraId="55F81AE5" w14:textId="77777777" w:rsidR="00643039" w:rsidRPr="008124B3" w:rsidRDefault="00643039" w:rsidP="00B033D0">
      <w:pPr>
        <w:pStyle w:val="HSpodbod"/>
      </w:pPr>
      <w:r w:rsidRPr="006D12B8">
        <w:t>Modernizace a výstavba velkých výzkumných infrastruktur v posledních letech</w:t>
      </w:r>
      <w:r w:rsidRPr="008124B3">
        <w:t>.</w:t>
      </w:r>
    </w:p>
    <w:p w14:paraId="2A2CA2BA" w14:textId="20709D88" w:rsidR="00643039" w:rsidRPr="008124B3" w:rsidRDefault="00643039" w:rsidP="00B033D0">
      <w:pPr>
        <w:pStyle w:val="HSpodbod"/>
      </w:pPr>
      <w:r w:rsidRPr="006D12B8">
        <w:t xml:space="preserve">Přítomnost excelentních výzkumných týmů a pracovišť na území </w:t>
      </w:r>
      <w:r w:rsidR="00B10552">
        <w:t>České republiky</w:t>
      </w:r>
      <w:r w:rsidRPr="008124B3">
        <w:t>.</w:t>
      </w:r>
    </w:p>
    <w:p w14:paraId="0D6B83C1" w14:textId="77777777" w:rsidR="00643039" w:rsidRPr="008124B3" w:rsidRDefault="00643039" w:rsidP="00B033D0">
      <w:pPr>
        <w:pStyle w:val="HSpodbod"/>
      </w:pPr>
      <w:r w:rsidRPr="006D12B8">
        <w:t>Pozitivní posun v </w:t>
      </w:r>
      <w:r w:rsidRPr="007A6C8D">
        <w:t>žebříčcích inovačních schopností.</w:t>
      </w:r>
    </w:p>
    <w:p w14:paraId="70AA2FD8" w14:textId="77777777" w:rsidR="00643039" w:rsidRPr="00DE56AF" w:rsidRDefault="00643039" w:rsidP="00B033D0">
      <w:pPr>
        <w:pStyle w:val="HSNadpis5bezslovn"/>
      </w:pPr>
      <w:r w:rsidRPr="00DE56AF">
        <w:t>Slabé stránky:</w:t>
      </w:r>
    </w:p>
    <w:p w14:paraId="4BFA5C2B" w14:textId="77777777" w:rsidR="00643039" w:rsidRPr="000663A5" w:rsidRDefault="00643039" w:rsidP="00B033D0">
      <w:pPr>
        <w:pStyle w:val="HSpodbod"/>
      </w:pPr>
      <w:r w:rsidRPr="000663A5">
        <w:t>Nízká spolupráce mezi veřejným a soukromým sektorem.</w:t>
      </w:r>
    </w:p>
    <w:p w14:paraId="5EAEAA45" w14:textId="3EFDE85A" w:rsidR="00643039" w:rsidRPr="000663A5" w:rsidRDefault="00643039" w:rsidP="00B033D0">
      <w:pPr>
        <w:pStyle w:val="HSpodbod"/>
      </w:pPr>
      <w:r w:rsidRPr="000663A5">
        <w:t>Vysoká fragmentace výzkumných institucí a aktivit vede k rozptýlení zdrojů a snížení efektivity</w:t>
      </w:r>
      <w:r w:rsidR="00E454AE">
        <w:t xml:space="preserve"> a chybí centrální řídící instituce zastřešující oblast výzkumu, vývoje a inovací.</w:t>
      </w:r>
    </w:p>
    <w:p w14:paraId="6DC7124C" w14:textId="615DC0E8" w:rsidR="00643039" w:rsidRPr="000663A5" w:rsidRDefault="00643039" w:rsidP="00B033D0">
      <w:pPr>
        <w:pStyle w:val="HSpodbod"/>
      </w:pPr>
      <w:r w:rsidRPr="000663A5">
        <w:t>Zastaralá legislativa a vysoká administrativní zátěž brzdí</w:t>
      </w:r>
      <w:r w:rsidR="008B11C9">
        <w:t>cí</w:t>
      </w:r>
      <w:r w:rsidRPr="000663A5">
        <w:t xml:space="preserve"> inovace a výzkum.</w:t>
      </w:r>
    </w:p>
    <w:p w14:paraId="0915E9C5" w14:textId="77777777" w:rsidR="00643039" w:rsidRPr="000663A5" w:rsidRDefault="00643039" w:rsidP="00B033D0">
      <w:pPr>
        <w:pStyle w:val="HSpodbod"/>
      </w:pPr>
      <w:r w:rsidRPr="000663A5">
        <w:t xml:space="preserve">Nízká úroveň patentové aktivity i </w:t>
      </w:r>
      <w:r>
        <w:t xml:space="preserve">nedostatečná </w:t>
      </w:r>
      <w:r w:rsidRPr="000663A5">
        <w:t>komercionalizace výsledků.</w:t>
      </w:r>
    </w:p>
    <w:p w14:paraId="28B5DD4B" w14:textId="77777777" w:rsidR="00643039" w:rsidRPr="000663A5" w:rsidRDefault="00643039" w:rsidP="00B033D0">
      <w:pPr>
        <w:pStyle w:val="HSpodbod"/>
      </w:pPr>
      <w:r w:rsidRPr="000663A5">
        <w:t>Slabé zapojení do unijních programů a slabá internacionalizace.</w:t>
      </w:r>
    </w:p>
    <w:p w14:paraId="63F75EF6" w14:textId="77777777" w:rsidR="00643039" w:rsidRPr="000642F4" w:rsidRDefault="00643039" w:rsidP="00B033D0">
      <w:pPr>
        <w:pStyle w:val="HSpodbod"/>
      </w:pPr>
      <w:r w:rsidRPr="000642F4">
        <w:t>Nižší úroveň investic do start-upů a inovativních projektů ve srovnání s vyspělými státy.</w:t>
      </w:r>
    </w:p>
    <w:p w14:paraId="2402DF9B" w14:textId="54A17374" w:rsidR="00643039" w:rsidRDefault="00643039" w:rsidP="00B033D0">
      <w:pPr>
        <w:pStyle w:val="HSpodbod"/>
      </w:pPr>
      <w:r>
        <w:t>Nízký podíl domácích firem investujících do výzkumu a inovací.</w:t>
      </w:r>
    </w:p>
    <w:p w14:paraId="0956A1B5" w14:textId="6FEF1E37" w:rsidR="00E454AE" w:rsidRPr="000663A5" w:rsidRDefault="00643039" w:rsidP="00E454AE">
      <w:pPr>
        <w:pStyle w:val="HSpodbod"/>
      </w:pPr>
      <w:r>
        <w:t xml:space="preserve">Rozdílná vyspělost inovačních ekosystémů v krajích, včetně rozdílné intenzity výdajů na </w:t>
      </w:r>
      <w:r w:rsidR="008B11C9">
        <w:t>výzkum a vývoj</w:t>
      </w:r>
      <w:r>
        <w:t>.</w:t>
      </w:r>
    </w:p>
    <w:p w14:paraId="15BC98FE" w14:textId="77777777" w:rsidR="00643039" w:rsidRPr="00DE56AF" w:rsidRDefault="00643039" w:rsidP="00B033D0">
      <w:pPr>
        <w:pStyle w:val="HSNadpis5bezslovn"/>
      </w:pPr>
      <w:r w:rsidRPr="00DE56AF">
        <w:t>Příležitosti:</w:t>
      </w:r>
    </w:p>
    <w:p w14:paraId="7F45FC1F" w14:textId="0E989371" w:rsidR="00643039" w:rsidRPr="008124B3" w:rsidRDefault="00643039" w:rsidP="00B033D0">
      <w:pPr>
        <w:pStyle w:val="HSpodbod"/>
      </w:pPr>
      <w:r w:rsidRPr="000663A5">
        <w:t>Využití výzkumné infrastruktury pro podporu ekonomické transformace a mezinárodní spolupráce, posílení kvality a efektivity výzkumu a propojení výzkumu s potřebami firem</w:t>
      </w:r>
      <w:r w:rsidRPr="008124B3">
        <w:t>.</w:t>
      </w:r>
    </w:p>
    <w:p w14:paraId="3AE625C7" w14:textId="77777777" w:rsidR="00643039" w:rsidRPr="008124B3" w:rsidRDefault="00643039" w:rsidP="00B033D0">
      <w:pPr>
        <w:pStyle w:val="HSpodbod"/>
      </w:pPr>
      <w:r w:rsidRPr="000663A5">
        <w:t xml:space="preserve">Investování do výzkumu v oblastech strategických a tzv. </w:t>
      </w:r>
      <w:proofErr w:type="spellStart"/>
      <w:r w:rsidRPr="000663A5">
        <w:t>deep</w:t>
      </w:r>
      <w:proofErr w:type="spellEnd"/>
      <w:r w:rsidRPr="000663A5">
        <w:t>-tech oborů</w:t>
      </w:r>
      <w:r>
        <w:t>, v souladu s Národní RIS3 strategií</w:t>
      </w:r>
      <w:r w:rsidRPr="008124B3">
        <w:t>.</w:t>
      </w:r>
    </w:p>
    <w:p w14:paraId="2A440827" w14:textId="6F0B42AA" w:rsidR="00643039" w:rsidRPr="008124B3" w:rsidRDefault="00643039" w:rsidP="00B033D0">
      <w:pPr>
        <w:pStyle w:val="HSpodbod"/>
      </w:pPr>
      <w:r w:rsidRPr="000663A5">
        <w:t>Vytvoření prostředí</w:t>
      </w:r>
      <w:r w:rsidR="007F4905">
        <w:t xml:space="preserve"> pro sdružování</w:t>
      </w:r>
      <w:r w:rsidRPr="000663A5">
        <w:t xml:space="preserve"> technologick</w:t>
      </w:r>
      <w:r w:rsidR="007F4905">
        <w:t>ých</w:t>
      </w:r>
      <w:r w:rsidRPr="000663A5">
        <w:t xml:space="preserve"> firm</w:t>
      </w:r>
      <w:r w:rsidR="007F4905">
        <w:t>em</w:t>
      </w:r>
      <w:r w:rsidRPr="000663A5">
        <w:t xml:space="preserve"> </w:t>
      </w:r>
      <w:r w:rsidR="007F4905">
        <w:t xml:space="preserve">a </w:t>
      </w:r>
      <w:r w:rsidRPr="000663A5">
        <w:t>výzkumných center</w:t>
      </w:r>
      <w:r w:rsidRPr="008124B3">
        <w:t>.</w:t>
      </w:r>
    </w:p>
    <w:p w14:paraId="0EF9973D" w14:textId="77777777" w:rsidR="00643039" w:rsidRPr="008124B3" w:rsidRDefault="00643039" w:rsidP="00B033D0">
      <w:pPr>
        <w:pStyle w:val="HSpodbod"/>
      </w:pPr>
      <w:r w:rsidRPr="000663A5">
        <w:t xml:space="preserve">Vyšší důraz na hodnocení a vyhodnocování kvality a </w:t>
      </w:r>
      <w:r>
        <w:t xml:space="preserve">větší </w:t>
      </w:r>
      <w:r w:rsidRPr="000663A5">
        <w:t>koncentrace výzkumu</w:t>
      </w:r>
      <w:r w:rsidRPr="008124B3">
        <w:t>.</w:t>
      </w:r>
    </w:p>
    <w:p w14:paraId="182BB530" w14:textId="77777777" w:rsidR="00643039" w:rsidRPr="008124B3" w:rsidRDefault="00643039" w:rsidP="00B033D0">
      <w:pPr>
        <w:pStyle w:val="HSpodbod"/>
      </w:pPr>
      <w:r w:rsidRPr="000663A5">
        <w:t>Podpora interdisciplinarity a propojení různých vědních oblastí může vést k novým perspektivám a inovativním řešením problémů ve společnosti</w:t>
      </w:r>
      <w:r w:rsidRPr="008124B3">
        <w:t>.</w:t>
      </w:r>
    </w:p>
    <w:p w14:paraId="5FD2A47D" w14:textId="77777777" w:rsidR="00643039" w:rsidRPr="008124B3" w:rsidRDefault="00643039" w:rsidP="00B033D0">
      <w:pPr>
        <w:pStyle w:val="HSpodbod"/>
      </w:pPr>
      <w:r w:rsidRPr="008124B3">
        <w:t xml:space="preserve">Využití nástrojů budoucí inovační politiky (RIS3 misí) k řešení velkých společenských výzev. </w:t>
      </w:r>
    </w:p>
    <w:p w14:paraId="2EFD3623" w14:textId="64271985" w:rsidR="00643039" w:rsidRPr="008124B3" w:rsidRDefault="00643039" w:rsidP="00B033D0">
      <w:pPr>
        <w:pStyle w:val="HSpodbod"/>
      </w:pPr>
      <w:r>
        <w:t xml:space="preserve">Rozvoj marketingu/PR výsledků </w:t>
      </w:r>
      <w:r w:rsidR="008B11C9">
        <w:t>výzkumu a vývoje</w:t>
      </w:r>
      <w:r>
        <w:t xml:space="preserve"> a činnosti výzkumných organizací</w:t>
      </w:r>
      <w:r w:rsidRPr="008124B3">
        <w:t>.</w:t>
      </w:r>
    </w:p>
    <w:p w14:paraId="4312B7AE" w14:textId="77777777" w:rsidR="00643039" w:rsidRPr="00DE56AF" w:rsidRDefault="00643039" w:rsidP="00B033D0">
      <w:pPr>
        <w:pStyle w:val="HSNadpis5bezslovn"/>
      </w:pPr>
      <w:r w:rsidRPr="00DE56AF">
        <w:t>Hrozby:</w:t>
      </w:r>
    </w:p>
    <w:p w14:paraId="401D5551" w14:textId="77777777" w:rsidR="00643039" w:rsidRPr="000663A5" w:rsidRDefault="00643039" w:rsidP="00B033D0">
      <w:pPr>
        <w:pStyle w:val="HSpodbod"/>
      </w:pPr>
      <w:r w:rsidRPr="000663A5">
        <w:t xml:space="preserve">Špatné nastavení nových nástrojů podpory </w:t>
      </w:r>
      <w:r>
        <w:t>výzkumu a vývoje</w:t>
      </w:r>
      <w:r w:rsidRPr="000663A5">
        <w:t xml:space="preserve"> ze strany fondů EU a národních programů.</w:t>
      </w:r>
    </w:p>
    <w:p w14:paraId="405EECBA" w14:textId="1B5FC5DD" w:rsidR="00643039" w:rsidRPr="00AA769C" w:rsidRDefault="00643039" w:rsidP="00B033D0">
      <w:pPr>
        <w:pStyle w:val="HSpodbod"/>
        <w:rPr>
          <w:color w:val="auto"/>
        </w:rPr>
      </w:pPr>
      <w:r w:rsidRPr="000663A5">
        <w:t>Nedostatečná koordinace a spolupráce mezi různými aktéry ve výzkumu</w:t>
      </w:r>
      <w:r>
        <w:t>, výv</w:t>
      </w:r>
      <w:r w:rsidRPr="00AA769C">
        <w:rPr>
          <w:color w:val="auto"/>
        </w:rPr>
        <w:t>oji a inovací</w:t>
      </w:r>
      <w:r w:rsidR="008B11C9">
        <w:rPr>
          <w:color w:val="auto"/>
        </w:rPr>
        <w:t>ch</w:t>
      </w:r>
      <w:r w:rsidR="0017490B" w:rsidRPr="00AA769C">
        <w:rPr>
          <w:color w:val="auto"/>
        </w:rPr>
        <w:t xml:space="preserve"> a ztráta výzkumných týmů a pracovišť</w:t>
      </w:r>
      <w:r w:rsidRPr="00AA769C">
        <w:rPr>
          <w:color w:val="auto"/>
        </w:rPr>
        <w:t>.</w:t>
      </w:r>
    </w:p>
    <w:p w14:paraId="14AC6F6B" w14:textId="77777777" w:rsidR="00643039" w:rsidRPr="000663A5" w:rsidRDefault="00643039" w:rsidP="00B033D0">
      <w:pPr>
        <w:pStyle w:val="HSpodbod"/>
      </w:pPr>
      <w:r w:rsidRPr="000663A5">
        <w:t>Uzavřenost českého výzkumného prostředí a nedostatek kvalitních pracovníků ve výzkumu.</w:t>
      </w:r>
    </w:p>
    <w:p w14:paraId="363B192A" w14:textId="2575EBC7" w:rsidR="00643039" w:rsidRPr="00663CD2" w:rsidRDefault="00643039" w:rsidP="00B033D0">
      <w:pPr>
        <w:pStyle w:val="HSpodbod"/>
      </w:pPr>
      <w:r w:rsidRPr="00663CD2">
        <w:t xml:space="preserve">Vybudovaná výzkumná infrastruktura může vyžadovat vysoké náklady na </w:t>
      </w:r>
      <w:r w:rsidR="009D64ED" w:rsidRPr="00663CD2">
        <w:t xml:space="preserve">provoz, </w:t>
      </w:r>
      <w:r w:rsidRPr="00663CD2">
        <w:t>údržbu a další rozvoj, což může zatížit rozpočty a omezit schopnost investovat do nových projektů a inovací.</w:t>
      </w:r>
    </w:p>
    <w:p w14:paraId="14412A11" w14:textId="77777777" w:rsidR="00643039" w:rsidRPr="00663CD2" w:rsidRDefault="00643039" w:rsidP="00B033D0">
      <w:pPr>
        <w:pStyle w:val="HSpodbod"/>
      </w:pPr>
      <w:r w:rsidRPr="00663CD2">
        <w:t>Výrazný úbytek peněz v kohezních fondech</w:t>
      </w:r>
      <w:r w:rsidRPr="00663CD2" w:rsidDel="00873721">
        <w:t xml:space="preserve"> </w:t>
      </w:r>
      <w:r w:rsidRPr="00663CD2">
        <w:t>na konci stávajícího programového období.</w:t>
      </w:r>
    </w:p>
    <w:p w14:paraId="6CC50B29" w14:textId="0D89ECC8" w:rsidR="00137DB2" w:rsidRDefault="00137DB2" w:rsidP="00B033D0">
      <w:pPr>
        <w:pStyle w:val="HSpodbod"/>
      </w:pPr>
      <w:r>
        <w:rPr>
          <w:color w:val="auto"/>
        </w:rPr>
        <w:t>Zneužití technologií proti bezpečnostním, společenským nebo ekonomickým zájmům</w:t>
      </w:r>
      <w:r w:rsidRPr="00663CD2">
        <w:t xml:space="preserve"> </w:t>
      </w:r>
      <w:r>
        <w:t>České republiky.</w:t>
      </w:r>
    </w:p>
    <w:p w14:paraId="22F77E6F" w14:textId="5D85B030" w:rsidR="00643039" w:rsidRPr="00663CD2" w:rsidRDefault="00643039" w:rsidP="00B033D0">
      <w:pPr>
        <w:pStyle w:val="HSpodbod"/>
      </w:pPr>
      <w:r w:rsidRPr="00663CD2">
        <w:lastRenderedPageBreak/>
        <w:t>Nedostatečná prioritizace výzkumných a inovačních témat, která povede k rozptýlení zdrojů a snížení efektivity těchto aktivit.</w:t>
      </w:r>
    </w:p>
    <w:p w14:paraId="0BBA1AE8" w14:textId="00E25746" w:rsidR="00643039" w:rsidRPr="009F1505" w:rsidRDefault="00643039" w:rsidP="009F1505">
      <w:pPr>
        <w:pStyle w:val="HSNadpis4bezslovn"/>
      </w:pPr>
      <w:r w:rsidRPr="00B0240A">
        <w:t>Strategické cíle:</w:t>
      </w:r>
    </w:p>
    <w:p w14:paraId="2CB90315" w14:textId="2690F2A8" w:rsidR="00966F84" w:rsidRPr="00F436BF" w:rsidRDefault="00966F84" w:rsidP="00F436BF">
      <w:pPr>
        <w:pStyle w:val="HSpodbod"/>
      </w:pPr>
      <w:r w:rsidRPr="00F436BF">
        <w:t xml:space="preserve">Vytvořit podmínky pro rozvoj výzkumu a vývoje. </w:t>
      </w:r>
    </w:p>
    <w:p w14:paraId="50B7F520" w14:textId="71C018D6" w:rsidR="00966F84" w:rsidRPr="00F436BF" w:rsidRDefault="00966F84" w:rsidP="00F436BF">
      <w:pPr>
        <w:pStyle w:val="HSpodbod"/>
        <w:numPr>
          <w:ilvl w:val="0"/>
          <w:numId w:val="0"/>
        </w:numPr>
        <w:ind w:left="360"/>
      </w:pPr>
      <w:r w:rsidRPr="00F436BF">
        <w:t xml:space="preserve">Ukazatel: </w:t>
      </w:r>
      <w:r w:rsidRPr="00D70563">
        <w:rPr>
          <w:lang w:val="en-GB"/>
        </w:rPr>
        <w:t>European Innovation Scoreboard</w:t>
      </w:r>
      <w:r w:rsidRPr="00F436BF">
        <w:t xml:space="preserve"> – </w:t>
      </w:r>
      <w:r w:rsidR="0096406F">
        <w:t>Atraktivní výzkumné systémy</w:t>
      </w:r>
    </w:p>
    <w:p w14:paraId="7CFED91D" w14:textId="6A39FB35" w:rsidR="00966F84" w:rsidRPr="00F436BF" w:rsidRDefault="00966F84" w:rsidP="00F436BF">
      <w:pPr>
        <w:pStyle w:val="HSpodbod"/>
      </w:pPr>
      <w:r w:rsidRPr="00F436BF">
        <w:t>Rozvinout znalostní ekonomiku s důrazem na spolupráci firem a výzkumných organizací.</w:t>
      </w:r>
    </w:p>
    <w:p w14:paraId="2E9A7990" w14:textId="0610544E" w:rsidR="00966F84" w:rsidRPr="00F436BF" w:rsidRDefault="00966F84" w:rsidP="00F436BF">
      <w:pPr>
        <w:pStyle w:val="HSpodbod"/>
        <w:numPr>
          <w:ilvl w:val="0"/>
          <w:numId w:val="0"/>
        </w:numPr>
        <w:ind w:left="360"/>
      </w:pPr>
      <w:r w:rsidRPr="00F436BF">
        <w:t xml:space="preserve">Ukazatel: </w:t>
      </w:r>
      <w:r w:rsidRPr="00D70563">
        <w:rPr>
          <w:lang w:val="en-GB"/>
        </w:rPr>
        <w:t>Thomson Reuters Scientific Index</w:t>
      </w:r>
    </w:p>
    <w:p w14:paraId="05A6823E" w14:textId="764E393B" w:rsidR="00966F84" w:rsidRPr="00F436BF" w:rsidRDefault="00966F84" w:rsidP="00F436BF">
      <w:pPr>
        <w:pStyle w:val="HSpodbod"/>
      </w:pPr>
      <w:r w:rsidRPr="00F436BF">
        <w:t xml:space="preserve">Zvýšit podíl financí na </w:t>
      </w:r>
      <w:r w:rsidR="0096406F">
        <w:t>výzkum a vývoj</w:t>
      </w:r>
      <w:r w:rsidR="0096406F" w:rsidRPr="00924688">
        <w:t xml:space="preserve"> </w:t>
      </w:r>
      <w:r w:rsidRPr="00F436BF">
        <w:t>z privátních zdrojů</w:t>
      </w:r>
      <w:r w:rsidR="009D64ED">
        <w:t>.</w:t>
      </w:r>
    </w:p>
    <w:p w14:paraId="4B245BE7" w14:textId="4EEB72FD" w:rsidR="009F1505" w:rsidRPr="00F436BF" w:rsidRDefault="00966F84" w:rsidP="00E02AFA">
      <w:pPr>
        <w:pStyle w:val="HSpodbod"/>
        <w:numPr>
          <w:ilvl w:val="0"/>
          <w:numId w:val="0"/>
        </w:numPr>
        <w:ind w:left="360"/>
      </w:pPr>
      <w:r w:rsidRPr="00F436BF">
        <w:t xml:space="preserve">Ukazatel: </w:t>
      </w:r>
      <w:r w:rsidR="009D64ED">
        <w:t>P</w:t>
      </w:r>
      <w:r w:rsidR="009D64ED" w:rsidRPr="00F436BF">
        <w:t xml:space="preserve">odíl financí na </w:t>
      </w:r>
      <w:r w:rsidR="0096406F">
        <w:t>výzkumu a vývoj</w:t>
      </w:r>
      <w:r w:rsidR="009D64ED" w:rsidRPr="00F436BF">
        <w:t xml:space="preserve"> z privátních zdrojů</w:t>
      </w:r>
      <w:r w:rsidR="009D64ED">
        <w:t xml:space="preserve"> na HDP</w:t>
      </w:r>
    </w:p>
    <w:p w14:paraId="44D223B8" w14:textId="77777777" w:rsidR="00F436BF" w:rsidRDefault="00F436BF" w:rsidP="00F436BF">
      <w:pPr>
        <w:pStyle w:val="HSNadpis4bezslovn"/>
      </w:pPr>
      <w:r w:rsidRPr="006C2504">
        <w:t>S</w:t>
      </w:r>
      <w:r>
        <w:t xml:space="preserve">pecifické </w:t>
      </w:r>
      <w:r w:rsidRPr="006C2504">
        <w:t>cíle:</w:t>
      </w:r>
    </w:p>
    <w:p w14:paraId="0520C326" w14:textId="53CD9B85" w:rsidR="00643039" w:rsidRPr="001B58CA" w:rsidRDefault="00B0240A" w:rsidP="00B033D0">
      <w:pPr>
        <w:pStyle w:val="HSpodbod"/>
      </w:pPr>
      <w:r>
        <w:t>R</w:t>
      </w:r>
      <w:r w:rsidR="00643039" w:rsidRPr="001B58CA">
        <w:t>ozv</w:t>
      </w:r>
      <w:r>
        <w:t>inout</w:t>
      </w:r>
      <w:r w:rsidR="00643039" w:rsidRPr="001B58CA">
        <w:t xml:space="preserve"> znalostní ekonomik</w:t>
      </w:r>
      <w:r>
        <w:t>u</w:t>
      </w:r>
      <w:r w:rsidR="00643039" w:rsidRPr="001B58CA">
        <w:t xml:space="preserve"> s důrazem na spolupráci firem a výzkumných organizací.</w:t>
      </w:r>
    </w:p>
    <w:p w14:paraId="26FC31EA" w14:textId="77777777" w:rsidR="002147D4" w:rsidRPr="001B58CA" w:rsidRDefault="002147D4" w:rsidP="002147D4">
      <w:pPr>
        <w:pStyle w:val="HSpodbod"/>
      </w:pPr>
      <w:r>
        <w:t>T</w:t>
      </w:r>
      <w:r w:rsidRPr="001B58CA">
        <w:t xml:space="preserve">ematicky a institucionálně koncentrovaný veřejný výzkum a vývoj. </w:t>
      </w:r>
    </w:p>
    <w:p w14:paraId="5D0D4381" w14:textId="50B3D90D" w:rsidR="00643039" w:rsidRPr="001B58CA" w:rsidRDefault="00643039" w:rsidP="00B033D0">
      <w:pPr>
        <w:pStyle w:val="HSpodbod"/>
      </w:pPr>
      <w:r w:rsidRPr="001B58CA">
        <w:t>Zvýšit inovační výkonnosti firem.</w:t>
      </w:r>
    </w:p>
    <w:p w14:paraId="60E384CD" w14:textId="4BC687AD" w:rsidR="00643039" w:rsidRPr="001B58CA" w:rsidRDefault="00643039" w:rsidP="00B033D0">
      <w:pPr>
        <w:pStyle w:val="HSpodbod"/>
      </w:pPr>
      <w:r w:rsidRPr="001B58CA">
        <w:t>Zvýšit kvalitu</w:t>
      </w:r>
      <w:r w:rsidR="0005528D">
        <w:t>, relevanci a využití výsledků</w:t>
      </w:r>
      <w:r w:rsidRPr="001B58CA">
        <w:t xml:space="preserve"> veřejného výzkumu</w:t>
      </w:r>
      <w:r w:rsidR="0005528D">
        <w:t xml:space="preserve"> v praxi</w:t>
      </w:r>
      <w:r w:rsidRPr="001B58CA">
        <w:t>.</w:t>
      </w:r>
    </w:p>
    <w:p w14:paraId="136A9D9E" w14:textId="4186DC28" w:rsidR="00643039" w:rsidRPr="001B58CA" w:rsidRDefault="00643039" w:rsidP="00B033D0">
      <w:pPr>
        <w:pStyle w:val="HSpodbod"/>
      </w:pPr>
      <w:r w:rsidRPr="001B58CA">
        <w:t>Zvýšit dostupnost kvalifikovaných lidí pro výzkum, vývoj a inovace.</w:t>
      </w:r>
    </w:p>
    <w:p w14:paraId="7C2D7483" w14:textId="2D32E085" w:rsidR="00643039" w:rsidRPr="001B58CA" w:rsidRDefault="00643039" w:rsidP="00B033D0">
      <w:pPr>
        <w:pStyle w:val="HSpodbod"/>
      </w:pPr>
      <w:r w:rsidRPr="001B58CA">
        <w:t xml:space="preserve">Zvýšit využití </w:t>
      </w:r>
      <w:r w:rsidR="009D64ED">
        <w:t xml:space="preserve">pokročilých </w:t>
      </w:r>
      <w:r w:rsidRPr="001B58CA">
        <w:t>technologií a digitalizace.</w:t>
      </w:r>
    </w:p>
    <w:p w14:paraId="76DBB5AE" w14:textId="77777777" w:rsidR="00643039" w:rsidRPr="001B58CA" w:rsidRDefault="00643039" w:rsidP="00B033D0">
      <w:pPr>
        <w:pStyle w:val="HSpodbod"/>
      </w:pPr>
      <w:r w:rsidRPr="001B58CA">
        <w:t>Veřejná podpora výzkumu, vývoje a inovací směřující především do excelentních a strategických oblastí.</w:t>
      </w:r>
    </w:p>
    <w:p w14:paraId="65D5CA39" w14:textId="2B45DF69" w:rsidR="00643039" w:rsidRDefault="009803B0" w:rsidP="00B033D0">
      <w:pPr>
        <w:pStyle w:val="HSpodbod"/>
      </w:pPr>
      <w:r>
        <w:t>P</w:t>
      </w:r>
      <w:r w:rsidR="00643039" w:rsidRPr="001B58CA">
        <w:t>rostředí podporující rozvoj firem zaměřených na inovace vyšších řádů.</w:t>
      </w:r>
    </w:p>
    <w:p w14:paraId="1A8F723E" w14:textId="0486363B" w:rsidR="00E62E44" w:rsidRPr="001B58CA" w:rsidRDefault="00E02AFA" w:rsidP="00B033D0">
      <w:pPr>
        <w:pStyle w:val="HSpodbod"/>
      </w:pPr>
      <w:r>
        <w:t>Podporovat e</w:t>
      </w:r>
      <w:r w:rsidR="00E62E44" w:rsidRPr="00F436BF">
        <w:t>kologické inovace</w:t>
      </w:r>
      <w:r w:rsidR="00A80186">
        <w:t>, které</w:t>
      </w:r>
      <w:r w:rsidR="00E62E44" w:rsidRPr="00F436BF">
        <w:t xml:space="preserve"> snižují dopady na životní prostředí a efektivněji využívají zdroje</w:t>
      </w:r>
      <w:r>
        <w:t>.</w:t>
      </w:r>
    </w:p>
    <w:p w14:paraId="1A66FFFD" w14:textId="4CB11020" w:rsidR="00643039" w:rsidRPr="001B58CA" w:rsidRDefault="00643039" w:rsidP="00B033D0">
      <w:pPr>
        <w:pStyle w:val="HSNadpis4bezslovn"/>
      </w:pPr>
      <w:r w:rsidRPr="001B58CA">
        <w:t>Hlavní opatření:</w:t>
      </w:r>
    </w:p>
    <w:p w14:paraId="2F3B7A70" w14:textId="6A99C619" w:rsidR="004E1206" w:rsidRPr="004E1206" w:rsidRDefault="00643039" w:rsidP="00E454AE">
      <w:pPr>
        <w:pStyle w:val="HSpodbod"/>
        <w:rPr>
          <w:b/>
          <w:bCs/>
        </w:rPr>
      </w:pPr>
      <w:r>
        <w:t xml:space="preserve">Dokončit reformu </w:t>
      </w:r>
      <w:r w:rsidR="008B11C9">
        <w:t xml:space="preserve">a posílit ekosystém </w:t>
      </w:r>
      <w:r>
        <w:t>transferu znalostí.</w:t>
      </w:r>
    </w:p>
    <w:p w14:paraId="12BD1493" w14:textId="6DB8D06E" w:rsidR="00643039" w:rsidRPr="006B3553" w:rsidRDefault="00643039" w:rsidP="00B033D0">
      <w:pPr>
        <w:pStyle w:val="HSpodbod"/>
      </w:pPr>
      <w:r w:rsidRPr="006B3553">
        <w:t>Implementovat systém finančních nástrojů do financování výzkumného ekosystému</w:t>
      </w:r>
      <w:r>
        <w:t>,</w:t>
      </w:r>
      <w:r w:rsidRPr="006B3553">
        <w:t xml:space="preserve"> </w:t>
      </w:r>
      <w:r>
        <w:t>v</w:t>
      </w:r>
      <w:r w:rsidRPr="006B3553">
        <w:t>ytvoř</w:t>
      </w:r>
      <w:r>
        <w:t>it</w:t>
      </w:r>
      <w:r w:rsidRPr="006B3553">
        <w:t xml:space="preserve"> schéma pro </w:t>
      </w:r>
      <w:proofErr w:type="spellStart"/>
      <w:r w:rsidRPr="006B3553">
        <w:t>pooling</w:t>
      </w:r>
      <w:proofErr w:type="spellEnd"/>
      <w:r w:rsidRPr="006B3553">
        <w:t xml:space="preserve"> veřejných </w:t>
      </w:r>
      <w:r>
        <w:t>a soukr</w:t>
      </w:r>
      <w:r w:rsidRPr="006B3553">
        <w:t>omých prostředků pro rozvoj start-up a spin-</w:t>
      </w:r>
      <w:proofErr w:type="spellStart"/>
      <w:r w:rsidRPr="006B3553">
        <w:t>off</w:t>
      </w:r>
      <w:proofErr w:type="spellEnd"/>
      <w:r w:rsidRPr="006B3553">
        <w:t xml:space="preserve"> prostředí a podpořit </w:t>
      </w:r>
      <w:proofErr w:type="spellStart"/>
      <w:r w:rsidRPr="006B3553">
        <w:t>scaling</w:t>
      </w:r>
      <w:proofErr w:type="spellEnd"/>
      <w:r w:rsidRPr="006B3553">
        <w:t xml:space="preserve">-up úspěšně se rozvíjejících firem </w:t>
      </w:r>
      <w:r>
        <w:t>pro</w:t>
      </w:r>
      <w:r w:rsidRPr="006B3553">
        <w:t xml:space="preserve"> jejich uplatnění na globálních trzích</w:t>
      </w:r>
      <w:r>
        <w:t>.</w:t>
      </w:r>
    </w:p>
    <w:p w14:paraId="7ACB1295" w14:textId="403E21F2" w:rsidR="00643039" w:rsidRDefault="00643039" w:rsidP="00B033D0">
      <w:pPr>
        <w:pStyle w:val="HSpodbod"/>
      </w:pPr>
      <w:r>
        <w:t xml:space="preserve">Posílit využívání komunitárních programů EU a zvýšit účast </w:t>
      </w:r>
      <w:r w:rsidR="00B10552">
        <w:t>České republiky</w:t>
      </w:r>
      <w:r>
        <w:t xml:space="preserve"> v mezinárodních konsorciích.</w:t>
      </w:r>
    </w:p>
    <w:p w14:paraId="5B94CD65" w14:textId="3543267A" w:rsidR="00643039" w:rsidRPr="006B3553" w:rsidRDefault="00643039" w:rsidP="00B033D0">
      <w:pPr>
        <w:pStyle w:val="HSpodbod"/>
      </w:pPr>
      <w:r w:rsidRPr="006B3553">
        <w:t xml:space="preserve">Posuzovat inovační kapacity jako součást hodnocení </w:t>
      </w:r>
      <w:r w:rsidR="0005528D">
        <w:t>velkých výzkumných infrastruktur</w:t>
      </w:r>
      <w:r w:rsidRPr="006B3553">
        <w:t>.</w:t>
      </w:r>
    </w:p>
    <w:p w14:paraId="2F34BF0A" w14:textId="767D3F90" w:rsidR="00983F80" w:rsidRDefault="00983F80" w:rsidP="00B033D0">
      <w:pPr>
        <w:pStyle w:val="HSpodbod"/>
      </w:pPr>
      <w:r>
        <w:t>Přezkoumat a přehodnotit systém podpory výzkumu a vývoje</w:t>
      </w:r>
      <w:r w:rsidRPr="00F82D5C">
        <w:t>.</w:t>
      </w:r>
    </w:p>
    <w:p w14:paraId="56204331" w14:textId="7A89BE1D" w:rsidR="00643039" w:rsidRPr="001B58CA" w:rsidRDefault="00643039" w:rsidP="00B033D0">
      <w:pPr>
        <w:pStyle w:val="HSpodbod"/>
      </w:pPr>
      <w:r w:rsidRPr="001B58CA">
        <w:t>Změnit struktur</w:t>
      </w:r>
      <w:r>
        <w:t>u</w:t>
      </w:r>
      <w:r w:rsidRPr="001B58CA">
        <w:t xml:space="preserve"> výdajů na </w:t>
      </w:r>
      <w:r w:rsidR="0096406F">
        <w:t>výzkum, vývoj a inovace</w:t>
      </w:r>
      <w:r w:rsidR="0096406F" w:rsidRPr="00924688">
        <w:t xml:space="preserve"> </w:t>
      </w:r>
      <w:r w:rsidR="00A80186">
        <w:t>ve vztahu k aplikacím</w:t>
      </w:r>
      <w:r>
        <w:t>.</w:t>
      </w:r>
    </w:p>
    <w:p w14:paraId="2EBE9754" w14:textId="77777777" w:rsidR="00643039" w:rsidRPr="001B58CA" w:rsidRDefault="00643039" w:rsidP="00B033D0">
      <w:pPr>
        <w:pStyle w:val="HSpodbod"/>
      </w:pPr>
      <w:r w:rsidRPr="001B58CA">
        <w:t>Zvýšit financování aplikačně orientovaných výzkumných organizací, a to na základě kvality dosahovaných aplikovaných výsledků a rozsahu spolupráce s podnikovým (aplikačním) sektorem, včetně zohlednění výše zdrojů získávaných z transferu znalostí.</w:t>
      </w:r>
    </w:p>
    <w:p w14:paraId="60C033E7" w14:textId="6C27D389" w:rsidR="00643039" w:rsidRPr="001B58CA" w:rsidRDefault="00643039" w:rsidP="00B033D0">
      <w:pPr>
        <w:pStyle w:val="HSpodbod"/>
      </w:pPr>
      <w:r w:rsidRPr="001B58CA">
        <w:t>Př</w:t>
      </w:r>
      <w:r>
        <w:t>i</w:t>
      </w:r>
      <w:r w:rsidRPr="001B58CA">
        <w:t xml:space="preserve">pravit a realizovat programy podpory výzkumu, vývoje a inovací zaměřených na rozvoj strategických technologií a </w:t>
      </w:r>
      <w:r w:rsidR="007F4905" w:rsidRPr="001B58CA">
        <w:t xml:space="preserve">oblastí </w:t>
      </w:r>
      <w:r w:rsidRPr="001B58CA">
        <w:t>pro zvyšování přidané hodnoty</w:t>
      </w:r>
      <w:r w:rsidR="002326D9">
        <w:t>, konkurenceschopnosti</w:t>
      </w:r>
      <w:r w:rsidRPr="001B58CA">
        <w:t xml:space="preserve"> a rozvoj znalostní ekonomiky</w:t>
      </w:r>
      <w:r>
        <w:t>.</w:t>
      </w:r>
    </w:p>
    <w:p w14:paraId="4893FC36" w14:textId="77777777" w:rsidR="00643039" w:rsidRPr="001B58CA" w:rsidRDefault="00643039" w:rsidP="00B033D0">
      <w:pPr>
        <w:pStyle w:val="HSpodbod"/>
      </w:pPr>
      <w:r>
        <w:t xml:space="preserve">Posílit etické principy a </w:t>
      </w:r>
      <w:r w:rsidRPr="001B58CA">
        <w:t xml:space="preserve">ochranu výsledků výzkumu a vývoje </w:t>
      </w:r>
      <w:r>
        <w:t>financovaných z veřejných zdrojů</w:t>
      </w:r>
      <w:r w:rsidRPr="001B58CA">
        <w:t>.</w:t>
      </w:r>
    </w:p>
    <w:p w14:paraId="703F6E8B" w14:textId="77777777" w:rsidR="00643039" w:rsidRPr="001B58CA" w:rsidRDefault="00643039" w:rsidP="00B033D0">
      <w:pPr>
        <w:pStyle w:val="HSpodbod"/>
      </w:pPr>
      <w:r w:rsidRPr="001B58CA">
        <w:t>Aktualizovat Národní priority orientovaného výzkumu.</w:t>
      </w:r>
    </w:p>
    <w:p w14:paraId="01DC1E93" w14:textId="306F7F38" w:rsidR="00643039" w:rsidRPr="00F82D5C" w:rsidRDefault="001B5E07" w:rsidP="007F4905">
      <w:pPr>
        <w:pStyle w:val="HSpodbod"/>
      </w:pPr>
      <w:r>
        <w:t>I</w:t>
      </w:r>
      <w:r w:rsidR="00643039">
        <w:t>mplementovat</w:t>
      </w:r>
      <w:r w:rsidR="00643039" w:rsidRPr="001B58CA">
        <w:t xml:space="preserve"> Národní RIS3 strategi</w:t>
      </w:r>
      <w:r w:rsidR="00643039">
        <w:t>i</w:t>
      </w:r>
      <w:r w:rsidR="007F4905">
        <w:t>. E</w:t>
      </w:r>
      <w:r w:rsidR="00643039">
        <w:t>fektivněji a důsledněji využívat RIS3 strategii pro zacílení podpory.</w:t>
      </w:r>
    </w:p>
    <w:p w14:paraId="748D9E67" w14:textId="77777777" w:rsidR="00643039" w:rsidRPr="006C2504" w:rsidRDefault="00643039" w:rsidP="00B033D0">
      <w:pPr>
        <w:pStyle w:val="HSNadpis4bezslovn"/>
      </w:pPr>
      <w:r w:rsidRPr="006C2504">
        <w:t>Naplňující strategie:</w:t>
      </w:r>
    </w:p>
    <w:p w14:paraId="7802CDAD" w14:textId="77777777" w:rsidR="00643039" w:rsidRDefault="00643039" w:rsidP="00B033D0">
      <w:pPr>
        <w:pStyle w:val="HSpodbod"/>
      </w:pPr>
      <w:r w:rsidRPr="006D6560">
        <w:t xml:space="preserve">Národní politika </w:t>
      </w:r>
      <w:proofErr w:type="spellStart"/>
      <w:r w:rsidRPr="006D6560">
        <w:t>VaVaI</w:t>
      </w:r>
      <w:proofErr w:type="spellEnd"/>
    </w:p>
    <w:p w14:paraId="1E996B26" w14:textId="77777777" w:rsidR="00643039" w:rsidRDefault="00643039" w:rsidP="00B033D0">
      <w:pPr>
        <w:pStyle w:val="HSpodbod"/>
      </w:pPr>
      <w:r w:rsidRPr="006D6560">
        <w:t>Národní RIS3 strategie</w:t>
      </w:r>
    </w:p>
    <w:p w14:paraId="5A69A384" w14:textId="40705F63" w:rsidR="00054ABE" w:rsidRDefault="00054ABE" w:rsidP="00B033D0">
      <w:pPr>
        <w:pStyle w:val="HSpodbod"/>
      </w:pPr>
      <w:r w:rsidRPr="00634B89">
        <w:t>Národn</w:t>
      </w:r>
      <w:r>
        <w:t>í</w:t>
      </w:r>
      <w:r w:rsidRPr="00634B89">
        <w:t xml:space="preserve"> priorit</w:t>
      </w:r>
      <w:r>
        <w:t>y</w:t>
      </w:r>
      <w:r w:rsidRPr="00634B89">
        <w:t xml:space="preserve"> orientovaného výzkumu, experimentálního vývoje a inovací</w:t>
      </w:r>
    </w:p>
    <w:p w14:paraId="4C074684" w14:textId="32081CDA" w:rsidR="00643039" w:rsidRDefault="00383759" w:rsidP="00B033D0">
      <w:pPr>
        <w:pStyle w:val="HSpodbod"/>
      </w:pPr>
      <w:r>
        <w:t>Národní p</w:t>
      </w:r>
      <w:r w:rsidR="00643039" w:rsidRPr="006D6560">
        <w:t>olovodičová strategie</w:t>
      </w:r>
      <w:r>
        <w:t xml:space="preserve"> ČR do roku 2030</w:t>
      </w:r>
    </w:p>
    <w:p w14:paraId="622AB3A0" w14:textId="284F1651" w:rsidR="00043699" w:rsidRDefault="00DF07A8" w:rsidP="00043699">
      <w:pPr>
        <w:pStyle w:val="HSpodbod"/>
      </w:pPr>
      <w:r w:rsidRPr="00DF07A8">
        <w:t>Národní strategie umělé inteligence ČR 203</w:t>
      </w:r>
      <w:r w:rsidR="0099147A">
        <w:t>0</w:t>
      </w:r>
    </w:p>
    <w:p w14:paraId="7D17D832" w14:textId="74E98A47" w:rsidR="00C02F1A" w:rsidRDefault="00C02F1A" w:rsidP="00043699">
      <w:pPr>
        <w:pStyle w:val="HSpodbod"/>
      </w:pPr>
      <w:r>
        <w:t>Průmysl 4.0</w:t>
      </w:r>
    </w:p>
    <w:p w14:paraId="7F26D6DA" w14:textId="17F37774" w:rsidR="00B033D0" w:rsidRDefault="00043699" w:rsidP="00043699">
      <w:pPr>
        <w:pStyle w:val="HSpodbod"/>
      </w:pPr>
      <w:r>
        <w:t xml:space="preserve">Exportní strategie </w:t>
      </w:r>
      <w:r w:rsidR="00B033D0">
        <w:br w:type="page"/>
      </w:r>
    </w:p>
    <w:p w14:paraId="4ACF4D4C" w14:textId="77777777" w:rsidR="00B033D0" w:rsidRPr="00F5548D" w:rsidRDefault="00B033D0" w:rsidP="00B033D0">
      <w:pPr>
        <w:pStyle w:val="HSNadpisIII1"/>
      </w:pPr>
      <w:bookmarkStart w:id="42" w:name="_Toc174703074"/>
      <w:bookmarkStart w:id="43" w:name="_Hlk174435397"/>
      <w:r>
        <w:lastRenderedPageBreak/>
        <w:t>Digitalizace a informační koncepce (</w:t>
      </w:r>
      <w:r w:rsidRPr="00F43354">
        <w:rPr>
          <w:lang w:val="en-GB"/>
        </w:rPr>
        <w:t>e-Government</w:t>
      </w:r>
      <w:r>
        <w:t>)</w:t>
      </w:r>
      <w:bookmarkEnd w:id="42"/>
    </w:p>
    <w:bookmarkEnd w:id="43"/>
    <w:p w14:paraId="0DD53D7F" w14:textId="0927DA11" w:rsidR="00B033D0" w:rsidRDefault="00B033D0" w:rsidP="00B033D0">
      <w:r>
        <w:rPr>
          <w:szCs w:val="20"/>
        </w:rPr>
        <w:t>Digitalizace veřejné správy povede k zefektivnění jejího fungování a usnadní i přístup k informacím a službám pro občany a podniky.</w:t>
      </w:r>
      <w:r w:rsidRPr="003C3221">
        <w:t xml:space="preserve"> P</w:t>
      </w:r>
      <w:r w:rsidRPr="00A910B8">
        <w:t xml:space="preserve">odporuje </w:t>
      </w:r>
      <w:r w:rsidRPr="003C3221">
        <w:t>dostupnost a kvalitu služeb</w:t>
      </w:r>
      <w:r w:rsidRPr="00A910B8">
        <w:rPr>
          <w:b/>
        </w:rPr>
        <w:t>,</w:t>
      </w:r>
      <w:r w:rsidRPr="003C3221">
        <w:t xml:space="preserve"> zapojení občanů do veřejného života</w:t>
      </w:r>
      <w:r>
        <w:t>, </w:t>
      </w:r>
      <w:r w:rsidRPr="003C3221">
        <w:t xml:space="preserve">zvyšuje kvalitu života a udržitelnost a také vytváří efektivní, transparentní a zodpovědnou veřejnou správu. </w:t>
      </w:r>
      <w:r>
        <w:rPr>
          <w:szCs w:val="20"/>
        </w:rPr>
        <w:t>Využití veřejných dat je nezbytné pro efektivnější tvorbu politik v oblastech jako je sociální péče, doprava, vzdělávání a zdravotnictví. Včasná implementace digitálních technologií povede k prosperující a moderní společnosti</w:t>
      </w:r>
      <w:r w:rsidRPr="002A581E">
        <w:t>.</w:t>
      </w:r>
    </w:p>
    <w:p w14:paraId="48A4DF4B" w14:textId="5462E41F" w:rsidR="00B033D0" w:rsidRDefault="00B033D0" w:rsidP="00B033D0">
      <w:r>
        <w:t>C</w:t>
      </w:r>
      <w:r w:rsidRPr="007D4E9F">
        <w:t>í</w:t>
      </w:r>
      <w:r w:rsidRPr="00473C84">
        <w:t>li v oblasti digitalizace veřejné správy jsou zvýšení spokojenosti občanů a podniků s elektronickými službami veřejné správy, rozšíření jejich dostupnosti, interoperability a bezpečnosti, posílení digitální gramotnosti, podpora inovací a</w:t>
      </w:r>
      <w:r>
        <w:t> </w:t>
      </w:r>
      <w:r w:rsidRPr="00473C84">
        <w:t>růstu prostřednictvím sdílení a využívání dat, zlepšen</w:t>
      </w:r>
      <w:r>
        <w:t>í</w:t>
      </w:r>
      <w:r w:rsidRPr="007D4E9F">
        <w:t xml:space="preserve"> vnitřní</w:t>
      </w:r>
      <w:r>
        <w:t>ch</w:t>
      </w:r>
      <w:r w:rsidRPr="007D4E9F">
        <w:t xml:space="preserve"> proces</w:t>
      </w:r>
      <w:r>
        <w:t>ů</w:t>
      </w:r>
      <w:r w:rsidRPr="007D4E9F">
        <w:t xml:space="preserve"> a systém</w:t>
      </w:r>
      <w:r>
        <w:t>ů</w:t>
      </w:r>
      <w:r w:rsidRPr="007D4E9F">
        <w:t xml:space="preserve"> veřejné správy, zav</w:t>
      </w:r>
      <w:r>
        <w:t>edení</w:t>
      </w:r>
      <w:r w:rsidRPr="007D4E9F">
        <w:t xml:space="preserve"> princip</w:t>
      </w:r>
      <w:r>
        <w:t>ů</w:t>
      </w:r>
      <w:r w:rsidRPr="007D4E9F">
        <w:t xml:space="preserve"> </w:t>
      </w:r>
      <w:r w:rsidRPr="00137DB2">
        <w:rPr>
          <w:lang w:val="en-GB"/>
        </w:rPr>
        <w:t>smart governance</w:t>
      </w:r>
      <w:r w:rsidRPr="007D4E9F">
        <w:t xml:space="preserve"> a otevřeného vládnutí</w:t>
      </w:r>
      <w:r>
        <w:t xml:space="preserve"> a</w:t>
      </w:r>
      <w:r w:rsidRPr="007D4E9F">
        <w:t xml:space="preserve"> zabezpeč</w:t>
      </w:r>
      <w:r>
        <w:t>ení</w:t>
      </w:r>
      <w:r w:rsidRPr="007D4E9F">
        <w:t xml:space="preserve"> kvalitní</w:t>
      </w:r>
      <w:r>
        <w:t>ho</w:t>
      </w:r>
      <w:r w:rsidRPr="007D4E9F">
        <w:t xml:space="preserve"> právní</w:t>
      </w:r>
      <w:r>
        <w:t>ho</w:t>
      </w:r>
      <w:r w:rsidRPr="007D4E9F">
        <w:t xml:space="preserve"> a institucionální</w:t>
      </w:r>
      <w:r>
        <w:t>ho</w:t>
      </w:r>
      <w:r w:rsidRPr="007D4E9F">
        <w:t xml:space="preserve"> rámc</w:t>
      </w:r>
      <w:r>
        <w:t>e</w:t>
      </w:r>
      <w:r w:rsidRPr="007D4E9F">
        <w:t xml:space="preserve"> pro digitalizaci. </w:t>
      </w:r>
      <w:r w:rsidR="00C7722E">
        <w:t>Uvedené</w:t>
      </w:r>
      <w:r w:rsidR="00F23FC8">
        <w:t xml:space="preserve"> </w:t>
      </w:r>
      <w:r>
        <w:t>cíle jsou zakotveny v Informační koncepci České republiky, která představuje základní obsahový rámec pro vytvoření informačních koncepcí jednotlivých orgánů veřejné správy, tudíž pro digitální transformaci celé veřejné správy.</w:t>
      </w:r>
    </w:p>
    <w:p w14:paraId="781715E3" w14:textId="304CFD3A" w:rsidR="00B033D0" w:rsidRPr="00473C84" w:rsidRDefault="00B033D0" w:rsidP="00B033D0">
      <w:r w:rsidRPr="00473C84">
        <w:rPr>
          <w:szCs w:val="20"/>
        </w:rPr>
        <w:t>K naplnění cílů bude potřeba dosáhnout plně digitalizovan</w:t>
      </w:r>
      <w:r w:rsidR="00E72B70">
        <w:rPr>
          <w:szCs w:val="20"/>
        </w:rPr>
        <w:t>é</w:t>
      </w:r>
      <w:r w:rsidRPr="00473C84">
        <w:rPr>
          <w:szCs w:val="20"/>
        </w:rPr>
        <w:t xml:space="preserve"> a efektivní elektronick</w:t>
      </w:r>
      <w:r w:rsidR="00E72B70">
        <w:rPr>
          <w:szCs w:val="20"/>
        </w:rPr>
        <w:t>é</w:t>
      </w:r>
      <w:r w:rsidRPr="00473C84">
        <w:rPr>
          <w:szCs w:val="20"/>
        </w:rPr>
        <w:t xml:space="preserve"> interakc</w:t>
      </w:r>
      <w:r w:rsidR="00E72B70">
        <w:rPr>
          <w:szCs w:val="20"/>
        </w:rPr>
        <w:t>e</w:t>
      </w:r>
      <w:r w:rsidRPr="00473C84">
        <w:rPr>
          <w:szCs w:val="20"/>
        </w:rPr>
        <w:t xml:space="preserve"> občanů s úřady, </w:t>
      </w:r>
      <w:r w:rsidRPr="00473C84">
        <w:t>zajistit bezpečnost digitálních služeb a bezchybný provoz a trvalé zlepšování všech základních registrů</w:t>
      </w:r>
      <w:r w:rsidRPr="00473C84">
        <w:rPr>
          <w:szCs w:val="20"/>
        </w:rPr>
        <w:t>. Služby budou muset být bezpečné a efektivnější pro klienta i úřad. Veřejnost se tak na jednom místě a jednoduchou formou bude moc</w:t>
      </w:r>
      <w:r w:rsidR="00ED3AC8">
        <w:rPr>
          <w:szCs w:val="20"/>
        </w:rPr>
        <w:t>i</w:t>
      </w:r>
      <w:r w:rsidRPr="00473C84">
        <w:rPr>
          <w:szCs w:val="20"/>
        </w:rPr>
        <w:t xml:space="preserve"> dozvědět o všech existujících službách, elektronických, asistovaných i těch ještě nezbytně prezenčních. Klíčové bude také, že </w:t>
      </w:r>
      <w:r w:rsidRPr="00473C84">
        <w:t>právní řád jako celek nebude klást překážky ve využívání možností digitálních nástrojů a služeb. Nutnou podmínkou naplnění cílů je zajištění dostatečné a dostupné kapacity kompetentních expertů, a to díky efektivnímu vyhledávání lidských zdrojů a péči zejména o IT specialisty, propagaci a budování image státní správy jako atraktivního zaměstnavatele a lepšímu propojení potřeb státu v oblasti digitálních služeb se vzdělávacím systémem. Stejně jako klient, i úředník má mít všechny informace dostupné na jednom místě, s propojením na všechny potřebné úřady a</w:t>
      </w:r>
      <w:r>
        <w:t> </w:t>
      </w:r>
      <w:r w:rsidRPr="00473C84">
        <w:t>v prostředí Portálu úředníka. Rozvoj v oblasti eGovernmentu bude koordinován tak, aby investice zdrojů do modernizace a rozvoje informačních a komunikačních technologií veřejné správy byly maximálně efektivní a</w:t>
      </w:r>
      <w:r>
        <w:t> </w:t>
      </w:r>
      <w:r w:rsidRPr="00473C84">
        <w:t>projekty realizované v této oblasti dodávaly výstupy ve stanoveném čase a v definované kvalitě.</w:t>
      </w:r>
    </w:p>
    <w:p w14:paraId="28AF96E8" w14:textId="77777777" w:rsidR="00B033D0" w:rsidRPr="006C2504" w:rsidRDefault="00B033D0" w:rsidP="00B033D0">
      <w:pPr>
        <w:pStyle w:val="HSNadpis4bezslovn"/>
      </w:pPr>
      <w:r w:rsidRPr="006C2504">
        <w:t>Souhrnná analýza potenciálu ekonomiky České republiky v dané oblasti (SWOT analýza):</w:t>
      </w:r>
    </w:p>
    <w:p w14:paraId="733D1C6B" w14:textId="77777777" w:rsidR="00B033D0" w:rsidRPr="00DE56AF" w:rsidRDefault="00B033D0" w:rsidP="00B033D0">
      <w:pPr>
        <w:pStyle w:val="HSNadpis5bezslovn"/>
      </w:pPr>
      <w:r w:rsidRPr="00DE56AF">
        <w:t>Silné stránky:</w:t>
      </w:r>
    </w:p>
    <w:p w14:paraId="0A78226B" w14:textId="77777777" w:rsidR="00B033D0" w:rsidRPr="008124B3" w:rsidRDefault="00B033D0" w:rsidP="00B033D0">
      <w:pPr>
        <w:pStyle w:val="HSpodbod"/>
      </w:pPr>
      <w:r w:rsidRPr="00F43354">
        <w:t>Existence funkční a jednotící vize a strategie Digitální Česko</w:t>
      </w:r>
      <w:r w:rsidRPr="008124B3">
        <w:t>.</w:t>
      </w:r>
    </w:p>
    <w:p w14:paraId="3DCD2BED" w14:textId="77777777" w:rsidR="00B033D0" w:rsidRPr="008124B3" w:rsidRDefault="00B033D0" w:rsidP="00B033D0">
      <w:pPr>
        <w:pStyle w:val="HSpodbod"/>
      </w:pPr>
      <w:r w:rsidRPr="00F43354">
        <w:t>Nově ustanovená Digitální a informační agentura s úkolem sjednotit digitální transformaci veřejné správy, zlepšit poskytované služby občanům a posunout digitální úroveň České republiky</w:t>
      </w:r>
      <w:r w:rsidRPr="008124B3">
        <w:t>.</w:t>
      </w:r>
    </w:p>
    <w:p w14:paraId="3DF8EE44" w14:textId="0219161E" w:rsidR="00B033D0" w:rsidRPr="008124B3" w:rsidRDefault="00B033D0" w:rsidP="00B06A3D">
      <w:pPr>
        <w:pStyle w:val="HSpodbod"/>
      </w:pPr>
      <w:r w:rsidRPr="00F43354">
        <w:t>Rychl</w:t>
      </w:r>
      <w:r w:rsidR="00C7722E">
        <w:t>é</w:t>
      </w:r>
      <w:r w:rsidRPr="00F43354">
        <w:t xml:space="preserve"> </w:t>
      </w:r>
      <w:r w:rsidR="00C7722E">
        <w:t>osvojení</w:t>
      </w:r>
      <w:r w:rsidRPr="00F43354">
        <w:t xml:space="preserve"> nových technologií mezi občany i v podnikatelské sféře</w:t>
      </w:r>
      <w:r w:rsidRPr="008124B3">
        <w:t>.</w:t>
      </w:r>
    </w:p>
    <w:p w14:paraId="11D96DBE" w14:textId="77777777" w:rsidR="00B033D0" w:rsidRPr="008124B3" w:rsidRDefault="00B033D0" w:rsidP="00B033D0">
      <w:pPr>
        <w:pStyle w:val="HSpodbod"/>
      </w:pPr>
      <w:r w:rsidRPr="00F43354">
        <w:t>Rozvoj publikace a využívání otevřených dat.</w:t>
      </w:r>
    </w:p>
    <w:p w14:paraId="5D53BDA1" w14:textId="77777777" w:rsidR="00B033D0" w:rsidRPr="00DE56AF" w:rsidRDefault="00B033D0" w:rsidP="00B033D0">
      <w:pPr>
        <w:pStyle w:val="HSNadpis5bezslovn"/>
      </w:pPr>
      <w:r w:rsidRPr="00DE56AF">
        <w:t>Slabé stránky:</w:t>
      </w:r>
    </w:p>
    <w:p w14:paraId="709EBEC0" w14:textId="77777777" w:rsidR="00B033D0" w:rsidRPr="00F43354" w:rsidRDefault="00B033D0" w:rsidP="00B033D0">
      <w:pPr>
        <w:pStyle w:val="HSpodbod"/>
      </w:pPr>
      <w:r w:rsidRPr="00F43354">
        <w:t>Nedostatečná digitalizace veřejné správy a nedostatek využívání elektronických služeb uvnitř úřadů.</w:t>
      </w:r>
    </w:p>
    <w:p w14:paraId="1508AFDB" w14:textId="77777777" w:rsidR="00B033D0" w:rsidRPr="00F43354" w:rsidRDefault="00B033D0" w:rsidP="00B033D0">
      <w:pPr>
        <w:pStyle w:val="HSpodbod"/>
      </w:pPr>
      <w:r w:rsidRPr="00F43354">
        <w:t>Malá míra využívání eGovernmentu občany naznačující nedostatečnou informovanost nebo nedostatek důvěry.</w:t>
      </w:r>
    </w:p>
    <w:p w14:paraId="094F31D0" w14:textId="77777777" w:rsidR="00B033D0" w:rsidRPr="00F43354" w:rsidRDefault="00B033D0" w:rsidP="00B033D0">
      <w:pPr>
        <w:pStyle w:val="HSpodbod"/>
      </w:pPr>
      <w:r w:rsidRPr="00F43354">
        <w:t>Nedokončené procesní modelování agend jako základní předpoklad pro jejich digitalizaci.</w:t>
      </w:r>
    </w:p>
    <w:p w14:paraId="3E36B674" w14:textId="77777777" w:rsidR="00B033D0" w:rsidRPr="00F43354" w:rsidRDefault="00B033D0" w:rsidP="00B033D0">
      <w:pPr>
        <w:pStyle w:val="HSpodbod"/>
      </w:pPr>
      <w:r w:rsidRPr="00F43354">
        <w:t>Nejednotná pravidla pro správu dat a jejich sdílení mezi úřady.</w:t>
      </w:r>
    </w:p>
    <w:p w14:paraId="54025B54" w14:textId="77777777" w:rsidR="00B033D0" w:rsidRPr="00DE56AF" w:rsidRDefault="00B033D0" w:rsidP="00B033D0">
      <w:pPr>
        <w:pStyle w:val="HSNadpis5bezslovn"/>
      </w:pPr>
      <w:r w:rsidRPr="00DE56AF">
        <w:t>Příležitosti:</w:t>
      </w:r>
    </w:p>
    <w:p w14:paraId="79768186" w14:textId="77777777" w:rsidR="00B033D0" w:rsidRPr="00F43354" w:rsidRDefault="00B033D0" w:rsidP="00B033D0">
      <w:pPr>
        <w:pStyle w:val="HSpodbod"/>
      </w:pPr>
      <w:r w:rsidRPr="00F43354">
        <w:t>Rostoucí poptávka po inovacích ve veřejné i soukromé sféře.</w:t>
      </w:r>
    </w:p>
    <w:p w14:paraId="5253F3FB" w14:textId="77777777" w:rsidR="00B033D0" w:rsidRPr="00F43354" w:rsidRDefault="00B033D0" w:rsidP="00B033D0">
      <w:pPr>
        <w:pStyle w:val="HSpodbod"/>
      </w:pPr>
      <w:r w:rsidRPr="00F43354">
        <w:t>Důraz na digitální agendu prostřednictvím národních strategií s financováním z evropských programů.</w:t>
      </w:r>
    </w:p>
    <w:p w14:paraId="79C3B939" w14:textId="77777777" w:rsidR="00B033D0" w:rsidRPr="00F43354" w:rsidRDefault="00B033D0" w:rsidP="00B033D0">
      <w:pPr>
        <w:pStyle w:val="HSpodbod"/>
      </w:pPr>
      <w:r w:rsidRPr="00F43354">
        <w:t xml:space="preserve">Pokrok v oblasti </w:t>
      </w:r>
      <w:r w:rsidRPr="00F43354">
        <w:rPr>
          <w:lang w:val="en-GB"/>
        </w:rPr>
        <w:t>Smart Cities</w:t>
      </w:r>
      <w:r w:rsidRPr="00F43354">
        <w:t xml:space="preserve"> a propojení pomezí mezi ústředními státními institucemi a místními samosprávami.</w:t>
      </w:r>
    </w:p>
    <w:p w14:paraId="64A5C620" w14:textId="77777777" w:rsidR="00B033D0" w:rsidRPr="00DE56AF" w:rsidRDefault="00B033D0" w:rsidP="00B033D0">
      <w:pPr>
        <w:pStyle w:val="HSNadpis5bezslovn"/>
      </w:pPr>
      <w:r w:rsidRPr="00DE56AF">
        <w:t>Hrozby:</w:t>
      </w:r>
    </w:p>
    <w:p w14:paraId="46AEB4BB" w14:textId="77777777" w:rsidR="00B033D0" w:rsidRPr="00F43354" w:rsidRDefault="00B033D0" w:rsidP="00B033D0">
      <w:pPr>
        <w:pStyle w:val="HSpodbod"/>
      </w:pPr>
      <w:r w:rsidRPr="00F43354">
        <w:t xml:space="preserve">Rostoucí rizika v oblasti kyberbezpečnosti a </w:t>
      </w:r>
      <w:proofErr w:type="spellStart"/>
      <w:r w:rsidRPr="00F43354">
        <w:t>kyberkriminality</w:t>
      </w:r>
      <w:proofErr w:type="spellEnd"/>
      <w:r w:rsidRPr="00F43354">
        <w:t xml:space="preserve"> ohrožují bezpečnost digitálních systémů a</w:t>
      </w:r>
      <w:r>
        <w:t> </w:t>
      </w:r>
      <w:r w:rsidRPr="00F43354">
        <w:t>informací.</w:t>
      </w:r>
    </w:p>
    <w:p w14:paraId="52ADD7C3" w14:textId="64C6E003" w:rsidR="00B033D0" w:rsidRPr="00F43354" w:rsidRDefault="00B033D0" w:rsidP="00B033D0">
      <w:pPr>
        <w:pStyle w:val="HSpodbod"/>
      </w:pPr>
      <w:r w:rsidRPr="00F43354">
        <w:lastRenderedPageBreak/>
        <w:t xml:space="preserve">Rostoucí rizika spojená s ekonomickou bezpečností </w:t>
      </w:r>
      <w:r w:rsidR="00B10552">
        <w:t>České republiky</w:t>
      </w:r>
      <w:r w:rsidRPr="00F43354">
        <w:t>.</w:t>
      </w:r>
    </w:p>
    <w:p w14:paraId="723B2EF3" w14:textId="77777777" w:rsidR="00B033D0" w:rsidRPr="00685B1C" w:rsidRDefault="00B033D0" w:rsidP="00B033D0">
      <w:pPr>
        <w:pStyle w:val="HSpodbod"/>
      </w:pPr>
      <w:r w:rsidRPr="00F43354">
        <w:t>Nekontrolovaný rozvoj digitálních služeb ve veřejném sektoru bez zajištění interoperability (schopnost různých systémů vzájemně spolupracovat).</w:t>
      </w:r>
    </w:p>
    <w:p w14:paraId="0483E8B6" w14:textId="1C45D76B" w:rsidR="00B033D0" w:rsidRDefault="00B033D0" w:rsidP="00B033D0">
      <w:pPr>
        <w:pStyle w:val="HSNadpis4bezslovn"/>
      </w:pPr>
      <w:r w:rsidRPr="006C2504">
        <w:t>Strategické cíle:</w:t>
      </w:r>
    </w:p>
    <w:p w14:paraId="7E7093C1" w14:textId="6A7E58E2" w:rsidR="007471A1" w:rsidRPr="0066782F" w:rsidRDefault="007471A1" w:rsidP="0066782F">
      <w:pPr>
        <w:pStyle w:val="HSpodbod"/>
      </w:pPr>
      <w:r w:rsidRPr="0066782F">
        <w:t>Zvyšování digitalizace veřejných služeb.</w:t>
      </w:r>
    </w:p>
    <w:p w14:paraId="3FE157D0" w14:textId="0421A857" w:rsidR="007471A1" w:rsidRDefault="007471A1" w:rsidP="0066782F">
      <w:pPr>
        <w:pStyle w:val="HSpodbod"/>
        <w:numPr>
          <w:ilvl w:val="0"/>
          <w:numId w:val="0"/>
        </w:numPr>
        <w:ind w:left="360"/>
      </w:pPr>
      <w:r w:rsidRPr="0066782F">
        <w:t>Ukazatel: DESI kompozitní index – část Veřejné služby</w:t>
      </w:r>
    </w:p>
    <w:p w14:paraId="1A43D545" w14:textId="7C9F23BE" w:rsidR="0066782F" w:rsidRPr="0066782F" w:rsidRDefault="0066782F" w:rsidP="0066782F">
      <w:pPr>
        <w:pStyle w:val="HSNadpis4bezslovn"/>
      </w:pPr>
      <w:r w:rsidRPr="006C2504">
        <w:t>S</w:t>
      </w:r>
      <w:r>
        <w:t xml:space="preserve">pecifické </w:t>
      </w:r>
      <w:r w:rsidRPr="006C2504">
        <w:t>cíle:</w:t>
      </w:r>
    </w:p>
    <w:p w14:paraId="53834351" w14:textId="77777777" w:rsidR="00B033D0" w:rsidRPr="003917E2" w:rsidRDefault="00B033D0" w:rsidP="00B033D0">
      <w:pPr>
        <w:pStyle w:val="HSpodbod"/>
      </w:pPr>
      <w:r w:rsidRPr="00A55B24">
        <w:t xml:space="preserve">Uživatelsky přívětivé a efektivní </w:t>
      </w:r>
      <w:r w:rsidRPr="0003776D">
        <w:t xml:space="preserve">digitální </w:t>
      </w:r>
      <w:r w:rsidRPr="00A55B24">
        <w:t>služby pro občany a firmy.</w:t>
      </w:r>
    </w:p>
    <w:p w14:paraId="6DBA52EA" w14:textId="3E573B81" w:rsidR="00B033D0" w:rsidRPr="00FD323B" w:rsidRDefault="00B033D0" w:rsidP="00B033D0">
      <w:pPr>
        <w:pStyle w:val="HSpodbod"/>
      </w:pPr>
      <w:bookmarkStart w:id="44" w:name="_Hlk174435370"/>
      <w:r w:rsidRPr="00A55B24">
        <w:t>Dig</w:t>
      </w:r>
      <w:r w:rsidRPr="00FD323B">
        <w:t>itálně přívětivá</w:t>
      </w:r>
      <w:r w:rsidR="002326D9">
        <w:t xml:space="preserve"> a budoucnosti odolná</w:t>
      </w:r>
      <w:r w:rsidRPr="00FD323B">
        <w:t xml:space="preserve"> legislativa</w:t>
      </w:r>
      <w:r w:rsidR="00B62225">
        <w:t>, tj. taková legislativa</w:t>
      </w:r>
      <w:r w:rsidR="00B62225">
        <w:rPr>
          <w:szCs w:val="22"/>
        </w:rPr>
        <w:t>, která neklade překážky digitalizaci</w:t>
      </w:r>
      <w:r w:rsidRPr="00FD323B">
        <w:t>.</w:t>
      </w:r>
    </w:p>
    <w:bookmarkEnd w:id="44"/>
    <w:p w14:paraId="200BC8B5" w14:textId="0C24D8C8" w:rsidR="00B033D0" w:rsidRPr="00FD323B" w:rsidRDefault="00B033D0" w:rsidP="00B033D0">
      <w:pPr>
        <w:pStyle w:val="HSpodbod"/>
      </w:pPr>
      <w:r w:rsidRPr="00FD323B">
        <w:t>Rozvoj celkového prostředí podporujícího digitální technologie</w:t>
      </w:r>
      <w:r w:rsidR="009E2401">
        <w:t xml:space="preserve"> s ohledem na udržitelnost a bezpečnost</w:t>
      </w:r>
      <w:r w:rsidRPr="00FD323B">
        <w:t>.</w:t>
      </w:r>
    </w:p>
    <w:p w14:paraId="7F1F783B" w14:textId="4FAD3E2A" w:rsidR="00B033D0" w:rsidRPr="003917E2" w:rsidRDefault="00B033D0" w:rsidP="00B033D0">
      <w:pPr>
        <w:pStyle w:val="HSpodbod"/>
      </w:pPr>
      <w:r w:rsidRPr="00FD323B">
        <w:t>Zvýšení kompetencí zaměstnan</w:t>
      </w:r>
      <w:r w:rsidRPr="00A55B24">
        <w:t>ců ve veřejné správě.</w:t>
      </w:r>
    </w:p>
    <w:p w14:paraId="75545D47" w14:textId="323E0C82" w:rsidR="00B033D0" w:rsidRPr="003917E2" w:rsidRDefault="00B033D0" w:rsidP="003F7D16">
      <w:pPr>
        <w:pStyle w:val="HSpodbod"/>
      </w:pPr>
      <w:bookmarkStart w:id="45" w:name="_Hlk174435386"/>
      <w:r w:rsidRPr="00A55B24">
        <w:t>Efektivn</w:t>
      </w:r>
      <w:r w:rsidR="00E62E44">
        <w:t>ě</w:t>
      </w:r>
      <w:r w:rsidRPr="00A55B24">
        <w:t xml:space="preserve"> a centrálně </w:t>
      </w:r>
      <w:r w:rsidR="00E62E44">
        <w:rPr>
          <w:szCs w:val="22"/>
        </w:rPr>
        <w:t>koordinovat rozvoj a modernizaci ICT v oblasti eGovernmentu</w:t>
      </w:r>
      <w:r w:rsidRPr="00A55B24">
        <w:t>.</w:t>
      </w:r>
      <w:bookmarkEnd w:id="45"/>
    </w:p>
    <w:p w14:paraId="408B51B9" w14:textId="77777777" w:rsidR="00B033D0" w:rsidRPr="00FD323B" w:rsidRDefault="00B033D0" w:rsidP="00B033D0">
      <w:pPr>
        <w:pStyle w:val="HSpodbod"/>
      </w:pPr>
      <w:r w:rsidRPr="00A55B24">
        <w:t>Efektivní a pružný digitální úřad.</w:t>
      </w:r>
    </w:p>
    <w:p w14:paraId="0DFEF4AB" w14:textId="77777777" w:rsidR="00B033D0" w:rsidRPr="006C2504" w:rsidRDefault="00B033D0" w:rsidP="00B033D0">
      <w:pPr>
        <w:pStyle w:val="HSNadpis4bezslovn"/>
      </w:pPr>
      <w:r w:rsidRPr="006C2504">
        <w:t>Hlavní opatření:</w:t>
      </w:r>
    </w:p>
    <w:p w14:paraId="08FCF9D9" w14:textId="65723FC4" w:rsidR="00B033D0" w:rsidRDefault="00B033D0" w:rsidP="00B033D0">
      <w:pPr>
        <w:pStyle w:val="HSpodbod"/>
      </w:pPr>
      <w:r w:rsidRPr="001D6C6E">
        <w:t xml:space="preserve">Zajistit přívětivé a efektivní online služby pro občany i firmy pomocí následujících aplikací či portálů: </w:t>
      </w:r>
      <w:r w:rsidR="00342AC3">
        <w:t>P</w:t>
      </w:r>
      <w:r w:rsidRPr="001D6C6E">
        <w:t xml:space="preserve">ortál občana, </w:t>
      </w:r>
      <w:r w:rsidR="00342AC3">
        <w:t>P</w:t>
      </w:r>
      <w:r w:rsidRPr="001D6C6E">
        <w:t xml:space="preserve">ortál podnikatele, </w:t>
      </w:r>
      <w:r w:rsidR="00383759">
        <w:t xml:space="preserve">Portál živnostenského podnikání, </w:t>
      </w:r>
      <w:r w:rsidR="00342AC3">
        <w:t>D</w:t>
      </w:r>
      <w:r w:rsidRPr="001D6C6E">
        <w:t xml:space="preserve">aňový portál, </w:t>
      </w:r>
      <w:r w:rsidR="00342AC3">
        <w:t>P</w:t>
      </w:r>
      <w:r w:rsidRPr="001D6C6E">
        <w:t xml:space="preserve">ortál veřejné správy, </w:t>
      </w:r>
      <w:r w:rsidR="00342AC3">
        <w:t>R</w:t>
      </w:r>
      <w:r w:rsidRPr="001D6C6E">
        <w:t xml:space="preserve">egistr zastoupení a </w:t>
      </w:r>
      <w:proofErr w:type="spellStart"/>
      <w:r w:rsidRPr="001D6C6E">
        <w:t>eDoklady</w:t>
      </w:r>
      <w:proofErr w:type="spellEnd"/>
      <w:r w:rsidRPr="001D6C6E">
        <w:t>.</w:t>
      </w:r>
    </w:p>
    <w:p w14:paraId="09E22300" w14:textId="257387EA" w:rsidR="002E78E8" w:rsidRPr="001D6C6E" w:rsidRDefault="002E78E8" w:rsidP="00B033D0">
      <w:pPr>
        <w:pStyle w:val="HSpodbod"/>
      </w:pPr>
      <w:r>
        <w:t>Z</w:t>
      </w:r>
      <w:r w:rsidRPr="009A1CE1">
        <w:t>av</w:t>
      </w:r>
      <w:r>
        <w:t>ést</w:t>
      </w:r>
      <w:r w:rsidRPr="009A1CE1">
        <w:t xml:space="preserve"> evropsk</w:t>
      </w:r>
      <w:r>
        <w:t>ou</w:t>
      </w:r>
      <w:r w:rsidRPr="009A1CE1">
        <w:t xml:space="preserve"> peněženk</w:t>
      </w:r>
      <w:r>
        <w:t>u</w:t>
      </w:r>
      <w:r w:rsidRPr="009A1CE1">
        <w:t xml:space="preserve"> digitální identity (</w:t>
      </w:r>
      <w:r w:rsidRPr="00D70563">
        <w:rPr>
          <w:lang w:val="en-GB"/>
        </w:rPr>
        <w:t>EU Digital Identity Wallet</w:t>
      </w:r>
      <w:r w:rsidRPr="009A1CE1">
        <w:t>)</w:t>
      </w:r>
      <w:r>
        <w:t>.</w:t>
      </w:r>
    </w:p>
    <w:p w14:paraId="6C09B65F" w14:textId="6B054254" w:rsidR="00B033D0" w:rsidRPr="001D6C6E" w:rsidRDefault="00B033D0" w:rsidP="00B033D0">
      <w:pPr>
        <w:pStyle w:val="HSpodbod"/>
      </w:pPr>
      <w:r w:rsidRPr="001D6C6E">
        <w:t>Realizovat obecný právní rámec práva na digitální služby, založeného zákonem č. 12/2020 Sb.</w:t>
      </w:r>
      <w:r w:rsidR="00383759">
        <w:t>,</w:t>
      </w:r>
      <w:r w:rsidRPr="001D6C6E">
        <w:t xml:space="preserve"> o právu na</w:t>
      </w:r>
      <w:r w:rsidR="00B06A3D">
        <w:t> </w:t>
      </w:r>
      <w:r w:rsidRPr="001D6C6E">
        <w:t>digitální služby, konkrétním a důsledným způsobem na úrovni všech jednotlivých právních předpisů upravujících oblast služeb eGovernmentu a služeb veřejné správy vůbec, což znamená možnost činit 100</w:t>
      </w:r>
      <w:r w:rsidR="00C86025">
        <w:t> </w:t>
      </w:r>
      <w:r w:rsidRPr="001D6C6E">
        <w:t>% úkonů v katalogu služeb veřejné správy digitálně.</w:t>
      </w:r>
      <w:r w:rsidR="00137DB2">
        <w:t xml:space="preserve"> Současně naplňovat povinnosti dané Jednotnou digitální bránou.</w:t>
      </w:r>
    </w:p>
    <w:p w14:paraId="4BA651B9" w14:textId="04B50863" w:rsidR="00B033D0" w:rsidRPr="001D6C6E" w:rsidRDefault="008B03F4" w:rsidP="00B033D0">
      <w:pPr>
        <w:pStyle w:val="HSpodbod"/>
      </w:pPr>
      <w:r w:rsidRPr="008B03F4">
        <w:t>Vytvoř</w:t>
      </w:r>
      <w:r>
        <w:t>it</w:t>
      </w:r>
      <w:r w:rsidRPr="008B03F4">
        <w:t xml:space="preserve"> jednotn</w:t>
      </w:r>
      <w:r>
        <w:t>é</w:t>
      </w:r>
      <w:r w:rsidRPr="008B03F4">
        <w:t xml:space="preserve"> standard</w:t>
      </w:r>
      <w:r>
        <w:t>y, formáty</w:t>
      </w:r>
      <w:r w:rsidRPr="008B03F4">
        <w:t xml:space="preserve"> a postup</w:t>
      </w:r>
      <w:r>
        <w:t>y</w:t>
      </w:r>
      <w:r w:rsidRPr="008B03F4">
        <w:t xml:space="preserve"> pro interoperabilitu mezi různými informačními systémy veřejné správy, což zjednoduší výměnu dat a zvýší efektivitu služeb. </w:t>
      </w:r>
      <w:r w:rsidR="00B033D0" w:rsidRPr="001D6C6E">
        <w:t xml:space="preserve">Sjednotit vizuální identitu webových stránek ministerstev a dalších ústředních orgánů státní správy aplikováním design systému </w:t>
      </w:r>
      <w:r w:rsidR="00B06A3D">
        <w:t>„</w:t>
      </w:r>
      <w:r w:rsidR="00B033D0" w:rsidRPr="001D6C6E">
        <w:t>gov.cz</w:t>
      </w:r>
      <w:r w:rsidR="00B06A3D">
        <w:t>“</w:t>
      </w:r>
      <w:r w:rsidR="00B033D0" w:rsidRPr="001D6C6E">
        <w:t>.</w:t>
      </w:r>
    </w:p>
    <w:p w14:paraId="4699FFBF" w14:textId="77777777" w:rsidR="00B033D0" w:rsidRPr="001D6C6E" w:rsidRDefault="00B033D0" w:rsidP="00B033D0">
      <w:pPr>
        <w:pStyle w:val="HSpodbod"/>
      </w:pPr>
      <w:r w:rsidRPr="001D6C6E">
        <w:t xml:space="preserve">Dokončit projekty </w:t>
      </w:r>
      <w:proofErr w:type="spellStart"/>
      <w:r w:rsidRPr="001D6C6E">
        <w:t>eSbírka</w:t>
      </w:r>
      <w:proofErr w:type="spellEnd"/>
      <w:r w:rsidRPr="001D6C6E">
        <w:t xml:space="preserve"> a </w:t>
      </w:r>
      <w:proofErr w:type="spellStart"/>
      <w:r w:rsidRPr="001D6C6E">
        <w:t>eLegislativa</w:t>
      </w:r>
      <w:proofErr w:type="spellEnd"/>
      <w:r w:rsidRPr="001D6C6E">
        <w:t> a následně rozvíjet řešení pro tvorbu a publikaci právních předpisů územně samosprávných celků.</w:t>
      </w:r>
    </w:p>
    <w:p w14:paraId="1CF51E8D" w14:textId="25C5842F" w:rsidR="00B033D0" w:rsidRPr="001D6C6E" w:rsidRDefault="00B033D0" w:rsidP="00B033D0">
      <w:pPr>
        <w:pStyle w:val="HSpodbod"/>
      </w:pPr>
      <w:r w:rsidRPr="001D6C6E">
        <w:t xml:space="preserve">Rozvíjet sektorově specifická řešení např. </w:t>
      </w:r>
      <w:r w:rsidR="008B03F4">
        <w:t>p</w:t>
      </w:r>
      <w:r w:rsidR="008B03F4" w:rsidRPr="008B03F4">
        <w:t xml:space="preserve">osílení pozice </w:t>
      </w:r>
      <w:r w:rsidRPr="001D6C6E">
        <w:t xml:space="preserve">v oblasti </w:t>
      </w:r>
      <w:r w:rsidR="008B03F4" w:rsidRPr="008B03F4">
        <w:t xml:space="preserve">elektronického zdravotnictví </w:t>
      </w:r>
      <w:r w:rsidR="008B03F4">
        <w:t>(</w:t>
      </w:r>
      <w:r w:rsidRPr="00D70563">
        <w:rPr>
          <w:lang w:val="en-GB"/>
        </w:rPr>
        <w:t>eHealth</w:t>
      </w:r>
      <w:r w:rsidR="008B03F4">
        <w:t>)</w:t>
      </w:r>
      <w:r w:rsidRPr="001D6C6E">
        <w:t>.</w:t>
      </w:r>
    </w:p>
    <w:p w14:paraId="02A1CABD" w14:textId="77777777" w:rsidR="00B033D0" w:rsidRPr="001D6C6E" w:rsidRDefault="00B033D0" w:rsidP="00B033D0">
      <w:pPr>
        <w:pStyle w:val="HSpodbod"/>
      </w:pPr>
      <w:r w:rsidRPr="001D6C6E">
        <w:t>Kultivovat prostředí odpovídající potřebám občana a podnikatele. Vytvářet pozitivní a kreativní prostředí pro rozvoj a vznik nových digitalizovaných služeb.</w:t>
      </w:r>
    </w:p>
    <w:p w14:paraId="13EB5B07" w14:textId="77777777" w:rsidR="00B033D0" w:rsidRPr="001D6C6E" w:rsidRDefault="00B033D0" w:rsidP="00B033D0">
      <w:pPr>
        <w:pStyle w:val="HSpodbod"/>
      </w:pPr>
      <w:r w:rsidRPr="001D6C6E">
        <w:t>Podporovat zveřejňování dat ve formátu otevřených dat (open data) na portálu data.gov.cz pro tvorbu nových hodnot a inovací při dodržování zásad ochrany osobních údajů.</w:t>
      </w:r>
    </w:p>
    <w:p w14:paraId="470FCF05" w14:textId="77777777" w:rsidR="00B033D0" w:rsidRPr="006C2504" w:rsidRDefault="00B033D0" w:rsidP="00B033D0">
      <w:pPr>
        <w:pStyle w:val="HSNadpis4bezslovn"/>
      </w:pPr>
      <w:r w:rsidRPr="006C2504">
        <w:t>Naplňující strategie:</w:t>
      </w:r>
    </w:p>
    <w:p w14:paraId="4485DB7E" w14:textId="2A841B2E" w:rsidR="00B033D0" w:rsidRPr="007D4E9F" w:rsidRDefault="00B033D0" w:rsidP="00B033D0">
      <w:pPr>
        <w:pStyle w:val="HSpodbod"/>
      </w:pPr>
      <w:r w:rsidRPr="007D4E9F">
        <w:t xml:space="preserve">Informační koncepce České republiky. Koncepce budování eGovernmentu v </w:t>
      </w:r>
      <w:r w:rsidR="00B10552">
        <w:t>České republice</w:t>
      </w:r>
      <w:r w:rsidRPr="007D4E9F">
        <w:t xml:space="preserve"> 2018+ a jeho IT podpory podle zákona č. 365/2000 Sb., o informačních systémech veřejné správy a o změně některých dalších zákonů, ve znění pozdějších předpisů</w:t>
      </w:r>
    </w:p>
    <w:p w14:paraId="2EC82B22" w14:textId="519716E9" w:rsidR="00B033D0" w:rsidRPr="007D4E9F" w:rsidRDefault="00B033D0" w:rsidP="00AA4490">
      <w:pPr>
        <w:pStyle w:val="HSpodbod"/>
      </w:pPr>
      <w:r w:rsidRPr="007D4E9F">
        <w:t xml:space="preserve">Česko v Digitální Evropě 2024: Koncepce působení </w:t>
      </w:r>
      <w:r w:rsidR="00B10552">
        <w:t>České republiky</w:t>
      </w:r>
      <w:r w:rsidRPr="007D4E9F">
        <w:t xml:space="preserve"> v oblasti digitální agendy EU</w:t>
      </w:r>
    </w:p>
    <w:p w14:paraId="4CF5BF2D" w14:textId="24D633A7" w:rsidR="00342AC3" w:rsidRDefault="00B033D0" w:rsidP="00B033D0">
      <w:pPr>
        <w:pStyle w:val="HSpodbod"/>
      </w:pPr>
      <w:r w:rsidRPr="007D4E9F">
        <w:t>Digitální vzdělávání: Strategický rámec pro rozvoj digitálního vzdělávání</w:t>
      </w:r>
    </w:p>
    <w:p w14:paraId="6B86F2D7" w14:textId="2C56BB71" w:rsidR="00B033D0" w:rsidRDefault="00342AC3" w:rsidP="00120546">
      <w:pPr>
        <w:pStyle w:val="HSpodbod"/>
      </w:pPr>
      <w:r w:rsidRPr="00342AC3">
        <w:t>Strategie pro správu dat ve veřejné správě České republiky (2024–2030)</w:t>
      </w:r>
      <w:r w:rsidR="00B033D0">
        <w:br w:type="page"/>
      </w:r>
    </w:p>
    <w:p w14:paraId="012B75BE" w14:textId="77777777" w:rsidR="00FB2192" w:rsidRPr="00F5548D" w:rsidRDefault="00FB2192" w:rsidP="00FB2192">
      <w:pPr>
        <w:pStyle w:val="HSNadpisIII1"/>
      </w:pPr>
      <w:bookmarkStart w:id="46" w:name="_Toc174703075"/>
      <w:r>
        <w:lastRenderedPageBreak/>
        <w:t>Fungující a efektivní regulace, podnikatelské prostředí</w:t>
      </w:r>
      <w:bookmarkEnd w:id="46"/>
    </w:p>
    <w:p w14:paraId="7B50A6C1" w14:textId="78171539" w:rsidR="00FB2192" w:rsidRDefault="00FB2192" w:rsidP="00FB2192">
      <w:pPr>
        <w:rPr>
          <w:szCs w:val="20"/>
        </w:rPr>
      </w:pPr>
      <w:r w:rsidRPr="00434EFB">
        <w:rPr>
          <w:szCs w:val="20"/>
        </w:rPr>
        <w:t>Zlepšení podnikatelského prostředí</w:t>
      </w:r>
      <w:r w:rsidR="001D083E">
        <w:rPr>
          <w:szCs w:val="20"/>
        </w:rPr>
        <w:t xml:space="preserve"> a</w:t>
      </w:r>
      <w:r>
        <w:rPr>
          <w:szCs w:val="20"/>
        </w:rPr>
        <w:t xml:space="preserve"> v</w:t>
      </w:r>
      <w:r>
        <w:t>ytvoření příznivého regulatorního prostředí s nízkou administrativní zátěží a </w:t>
      </w:r>
      <w:proofErr w:type="spellStart"/>
      <w:r>
        <w:t>predikovatelným</w:t>
      </w:r>
      <w:proofErr w:type="spellEnd"/>
      <w:r>
        <w:t xml:space="preserve"> daňovým systémem je nezbytné pro podporu podnikání</w:t>
      </w:r>
      <w:r w:rsidRPr="00434EFB">
        <w:rPr>
          <w:szCs w:val="20"/>
        </w:rPr>
        <w:t xml:space="preserve"> </w:t>
      </w:r>
      <w:r>
        <w:rPr>
          <w:szCs w:val="20"/>
        </w:rPr>
        <w:t xml:space="preserve">a </w:t>
      </w:r>
      <w:r w:rsidRPr="00434EFB">
        <w:rPr>
          <w:szCs w:val="20"/>
        </w:rPr>
        <w:t>je klíčové pro posílení hospodářské prosperity a konkurenceschopnosti Č</w:t>
      </w:r>
      <w:r>
        <w:rPr>
          <w:szCs w:val="20"/>
        </w:rPr>
        <w:t>eské republiky</w:t>
      </w:r>
      <w:r w:rsidRPr="00434EFB">
        <w:rPr>
          <w:szCs w:val="20"/>
        </w:rPr>
        <w:t xml:space="preserve"> v</w:t>
      </w:r>
      <w:r>
        <w:rPr>
          <w:szCs w:val="20"/>
        </w:rPr>
        <w:t> </w:t>
      </w:r>
      <w:r w:rsidRPr="00434EFB">
        <w:rPr>
          <w:szCs w:val="20"/>
        </w:rPr>
        <w:t xml:space="preserve">globálním měřítku. </w:t>
      </w:r>
      <w:r>
        <w:t xml:space="preserve">Česká republika má jeden z nejvyšších podílů živnostníků na počet obyvatel v EU a podíl high-tech zboží na vývozech je nad průměrem EU. </w:t>
      </w:r>
      <w:r w:rsidR="001D083E">
        <w:rPr>
          <w:szCs w:val="20"/>
        </w:rPr>
        <w:t>S</w:t>
      </w:r>
      <w:r>
        <w:t xml:space="preserve">nížení administrativní zátěže </w:t>
      </w:r>
      <w:r w:rsidR="001D083E">
        <w:t xml:space="preserve">prostřednictvím </w:t>
      </w:r>
      <w:r>
        <w:t xml:space="preserve">zavedení </w:t>
      </w:r>
      <w:r w:rsidR="00383759">
        <w:t xml:space="preserve">dalších </w:t>
      </w:r>
      <w:r>
        <w:t xml:space="preserve">digitálních nástrojů, vytvoření </w:t>
      </w:r>
      <w:r w:rsidR="001D083E">
        <w:t xml:space="preserve">příznivých </w:t>
      </w:r>
      <w:r>
        <w:t>podmínek pro různé úrovně a formy podnikání, podpora exportu, investic a inovací s důrazem na specifick</w:t>
      </w:r>
      <w:r w:rsidR="001D083E">
        <w:t>á</w:t>
      </w:r>
      <w:r>
        <w:t xml:space="preserve"> odvětví, rodinné podniky, venkovské podnikání a drobný obchod a také podpora vzniku inovativních firem a</w:t>
      </w:r>
      <w:r w:rsidR="00C86025">
        <w:t> </w:t>
      </w:r>
      <w:r>
        <w:t xml:space="preserve">posílení spolupráce mezi podniky, výzkumnými </w:t>
      </w:r>
      <w:r w:rsidR="002326D9">
        <w:t xml:space="preserve">organizacemi </w:t>
      </w:r>
      <w:r>
        <w:t>a veřejným sektorem</w:t>
      </w:r>
      <w:r w:rsidRPr="00434EFB">
        <w:rPr>
          <w:szCs w:val="20"/>
        </w:rPr>
        <w:t xml:space="preserve"> povede k růstu firem, tvorbě </w:t>
      </w:r>
      <w:proofErr w:type="spellStart"/>
      <w:r w:rsidR="001D083E">
        <w:rPr>
          <w:szCs w:val="20"/>
        </w:rPr>
        <w:t>dov</w:t>
      </w:r>
      <w:r w:rsidR="008F713C">
        <w:rPr>
          <w:szCs w:val="20"/>
        </w:rPr>
        <w:t>e</w:t>
      </w:r>
      <w:r w:rsidR="001D083E">
        <w:rPr>
          <w:szCs w:val="20"/>
        </w:rPr>
        <w:t>dnostně</w:t>
      </w:r>
      <w:proofErr w:type="spellEnd"/>
      <w:r w:rsidR="001D083E">
        <w:rPr>
          <w:szCs w:val="20"/>
        </w:rPr>
        <w:t xml:space="preserve"> intenzivních </w:t>
      </w:r>
      <w:r w:rsidRPr="00434EFB">
        <w:rPr>
          <w:szCs w:val="20"/>
        </w:rPr>
        <w:t>pracovních míst</w:t>
      </w:r>
      <w:r w:rsidR="001D083E">
        <w:rPr>
          <w:szCs w:val="20"/>
        </w:rPr>
        <w:t>, zvyšování přidané hodnoty</w:t>
      </w:r>
      <w:r w:rsidRPr="00434EFB">
        <w:rPr>
          <w:szCs w:val="20"/>
        </w:rPr>
        <w:t xml:space="preserve"> a</w:t>
      </w:r>
      <w:r>
        <w:rPr>
          <w:szCs w:val="20"/>
        </w:rPr>
        <w:t> </w:t>
      </w:r>
      <w:r w:rsidRPr="00434EFB">
        <w:rPr>
          <w:szCs w:val="20"/>
        </w:rPr>
        <w:t>celkovému zlepšení životní úrovně.</w:t>
      </w:r>
    </w:p>
    <w:p w14:paraId="1EA1FAAC" w14:textId="7D8A482C" w:rsidR="00FB2192" w:rsidRDefault="00FB2192" w:rsidP="009D4661">
      <w:r>
        <w:rPr>
          <w:szCs w:val="20"/>
        </w:rPr>
        <w:t xml:space="preserve">Pro </w:t>
      </w:r>
      <w:r w:rsidRPr="002435ED">
        <w:rPr>
          <w:szCs w:val="20"/>
        </w:rPr>
        <w:t>podnikatel</w:t>
      </w:r>
      <w:r>
        <w:rPr>
          <w:szCs w:val="20"/>
        </w:rPr>
        <w:t>ské prostředí v České republice je charakteristick</w:t>
      </w:r>
      <w:r w:rsidR="00D116F2">
        <w:rPr>
          <w:szCs w:val="20"/>
        </w:rPr>
        <w:t xml:space="preserve">á </w:t>
      </w:r>
      <w:r w:rsidR="00D116F2">
        <w:t>a</w:t>
      </w:r>
      <w:r w:rsidRPr="002435ED">
        <w:t>dministrativní zátěž</w:t>
      </w:r>
      <w:r w:rsidR="00D116F2">
        <w:t>, kdy</w:t>
      </w:r>
      <w:r>
        <w:t xml:space="preserve"> </w:t>
      </w:r>
      <w:r w:rsidRPr="00441692">
        <w:t>byrokracie a administrativa zpomal</w:t>
      </w:r>
      <w:r w:rsidR="00C455CC">
        <w:t>ují</w:t>
      </w:r>
      <w:r w:rsidRPr="00441692">
        <w:t xml:space="preserve"> podnikatelské aktivity a zv</w:t>
      </w:r>
      <w:r w:rsidR="00C455CC">
        <w:t>yšují</w:t>
      </w:r>
      <w:r w:rsidRPr="00441692">
        <w:t xml:space="preserve"> náklady. </w:t>
      </w:r>
      <w:r w:rsidR="00D116F2">
        <w:t>Překážku může znamenat i r</w:t>
      </w:r>
      <w:r w:rsidR="00D116F2" w:rsidRPr="00441692">
        <w:t>egulace a legislativa</w:t>
      </w:r>
      <w:r w:rsidR="00D116F2">
        <w:t>, kdy p</w:t>
      </w:r>
      <w:r w:rsidR="00D116F2" w:rsidRPr="002435ED">
        <w:t xml:space="preserve">odnikatelé musí sledovat změny v právních předpisech a přizpůsobovat se novým požadavkům. </w:t>
      </w:r>
      <w:r w:rsidRPr="00441692">
        <w:t>Snaha o</w:t>
      </w:r>
      <w:r w:rsidR="00D116F2">
        <w:t> </w:t>
      </w:r>
      <w:r w:rsidRPr="00441692">
        <w:t xml:space="preserve">snížení </w:t>
      </w:r>
      <w:r w:rsidRPr="00904D14">
        <w:t xml:space="preserve">administrativní zátěže je důležitým krokem pro </w:t>
      </w:r>
      <w:r w:rsidR="001D083E">
        <w:t>vytvoření příznivého</w:t>
      </w:r>
      <w:r w:rsidR="001D083E" w:rsidRPr="00904D14">
        <w:t xml:space="preserve"> </w:t>
      </w:r>
      <w:r w:rsidRPr="00904D14">
        <w:t>podnikatelského prostředí.</w:t>
      </w:r>
      <w:r w:rsidR="00D116F2">
        <w:t xml:space="preserve"> </w:t>
      </w:r>
      <w:r w:rsidR="00383759">
        <w:t>Změny ovšem musí zohlednit</w:t>
      </w:r>
      <w:r w:rsidR="00383759" w:rsidRPr="00383759">
        <w:t xml:space="preserve"> ochranu práv spotřebitelů a nesmí docházet ke snižování kvality poskytovaných služeb.</w:t>
      </w:r>
      <w:r w:rsidR="00383759">
        <w:t xml:space="preserve"> </w:t>
      </w:r>
      <w:r w:rsidR="00D116F2">
        <w:t>Další nepříznivou vlastností je o</w:t>
      </w:r>
      <w:r>
        <w:t>btížnější d</w:t>
      </w:r>
      <w:r w:rsidRPr="0010251B">
        <w:t xml:space="preserve">ostupnost </w:t>
      </w:r>
      <w:r w:rsidRPr="002435ED">
        <w:t xml:space="preserve">finančních prostředků pro </w:t>
      </w:r>
      <w:r w:rsidR="009C2E04">
        <w:t xml:space="preserve">započetí a </w:t>
      </w:r>
      <w:r w:rsidRPr="002435ED">
        <w:t xml:space="preserve">rozvoj podnikání. </w:t>
      </w:r>
      <w:r w:rsidR="00D116F2">
        <w:t xml:space="preserve">Rozšíření </w:t>
      </w:r>
      <w:r w:rsidR="009E2401">
        <w:t>možností financování rizikovějších projektů</w:t>
      </w:r>
      <w:r w:rsidR="009E2401" w:rsidRPr="002435ED">
        <w:t xml:space="preserve"> </w:t>
      </w:r>
      <w:r w:rsidR="009E2401">
        <w:t>a s</w:t>
      </w:r>
      <w:r w:rsidRPr="002435ED">
        <w:t>polupráce s</w:t>
      </w:r>
      <w:r w:rsidR="009E2401">
        <w:t> finančním sektorem</w:t>
      </w:r>
      <w:r w:rsidRPr="002435ED">
        <w:t xml:space="preserve">, investory a vládními programy </w:t>
      </w:r>
      <w:r w:rsidR="001D083E">
        <w:t>jsou klíčové</w:t>
      </w:r>
      <w:r w:rsidRPr="002435ED">
        <w:t>.</w:t>
      </w:r>
      <w:r w:rsidR="00D116F2">
        <w:t xml:space="preserve"> Výzvou je rovněž n</w:t>
      </w:r>
      <w:r w:rsidRPr="00441692">
        <w:t>edostatek pracovní síly</w:t>
      </w:r>
      <w:r w:rsidR="00D116F2">
        <w:t>, a to zejména</w:t>
      </w:r>
      <w:r>
        <w:t xml:space="preserve"> h</w:t>
      </w:r>
      <w:r w:rsidRPr="002435ED">
        <w:t xml:space="preserve">ledání a udržení kvalifikovaných zaměstnanců. </w:t>
      </w:r>
      <w:r w:rsidR="00D116F2">
        <w:t>S cílem udržení k</w:t>
      </w:r>
      <w:r w:rsidRPr="00441692">
        <w:t xml:space="preserve">onkurence </w:t>
      </w:r>
      <w:r w:rsidR="00D116F2">
        <w:t>v</w:t>
      </w:r>
      <w:r w:rsidRPr="00441692">
        <w:t xml:space="preserve"> tržní</w:t>
      </w:r>
      <w:r w:rsidR="00D116F2">
        <w:t>m</w:t>
      </w:r>
      <w:r w:rsidRPr="00441692">
        <w:t xml:space="preserve"> prostředí</w:t>
      </w:r>
      <w:r>
        <w:t xml:space="preserve"> </w:t>
      </w:r>
      <w:r w:rsidR="00D116F2">
        <w:t>musí</w:t>
      </w:r>
      <w:r w:rsidR="002326D9">
        <w:t xml:space="preserve"> </w:t>
      </w:r>
      <w:r w:rsidR="0066465A">
        <w:t>p</w:t>
      </w:r>
      <w:r w:rsidRPr="002435ED">
        <w:t>odnikatelé inovovat</w:t>
      </w:r>
      <w:r w:rsidR="00D116F2">
        <w:t xml:space="preserve"> a</w:t>
      </w:r>
      <w:r w:rsidR="001D083E">
        <w:t xml:space="preserve"> digitalizovat</w:t>
      </w:r>
      <w:r w:rsidRPr="002435ED">
        <w:t>. Spolupráce s</w:t>
      </w:r>
      <w:r w:rsidR="005F1929">
        <w:t> veřejnou správou,</w:t>
      </w:r>
      <w:r w:rsidRPr="002435ED">
        <w:t xml:space="preserve"> obchodními komorami</w:t>
      </w:r>
      <w:r w:rsidR="001D083E">
        <w:t xml:space="preserve"> a výzkumnými organizacemi a transfer znalostí a technologií jsou </w:t>
      </w:r>
      <w:r w:rsidR="00D116F2">
        <w:t xml:space="preserve">proto </w:t>
      </w:r>
      <w:r w:rsidR="001D083E">
        <w:t>důležitými prvky</w:t>
      </w:r>
      <w:r w:rsidRPr="002435ED">
        <w:t>.</w:t>
      </w:r>
      <w:r w:rsidR="00D116F2">
        <w:t xml:space="preserve"> </w:t>
      </w:r>
    </w:p>
    <w:p w14:paraId="471A5D6B" w14:textId="63736DED" w:rsidR="00FB2192" w:rsidRPr="00434EFB" w:rsidRDefault="00FB2192" w:rsidP="00FB2192">
      <w:r w:rsidRPr="002435ED">
        <w:t xml:space="preserve">Celkově je důležité, aby vláda, podnikatelé a </w:t>
      </w:r>
      <w:r w:rsidRPr="006F1ABA">
        <w:t xml:space="preserve">další zainteresované strany spolupracovaly na řešení těchto výzev a na zlepšení podnikatelského prostředí v České republice. Jedním z klíčových témat bude </w:t>
      </w:r>
      <w:r w:rsidR="00A82653">
        <w:t>udržení</w:t>
      </w:r>
      <w:r w:rsidRPr="006F1ABA">
        <w:t xml:space="preserve"> přízniv</w:t>
      </w:r>
      <w:r w:rsidR="00A82653">
        <w:t>é</w:t>
      </w:r>
      <w:r w:rsidRPr="006F1ABA">
        <w:t xml:space="preserve">ho daňového prostředí pro podnikání. </w:t>
      </w:r>
      <w:r w:rsidRPr="006F1ABA">
        <w:rPr>
          <w:color w:val="auto"/>
        </w:rPr>
        <w:t>Hlavními cíli daňové politiky v budoucnu jsou zejména zvýšení</w:t>
      </w:r>
      <w:r>
        <w:rPr>
          <w:color w:val="auto"/>
        </w:rPr>
        <w:t xml:space="preserve"> efektivity výběru daní, další rušení nesystémových daňových výjimek, prohlubování </w:t>
      </w:r>
      <w:proofErr w:type="spellStart"/>
      <w:r>
        <w:rPr>
          <w:color w:val="auto"/>
        </w:rPr>
        <w:t>proklientského</w:t>
      </w:r>
      <w:proofErr w:type="spellEnd"/>
      <w:r>
        <w:rPr>
          <w:color w:val="auto"/>
        </w:rPr>
        <w:t xml:space="preserve"> přístupu, vývoj a</w:t>
      </w:r>
      <w:r w:rsidR="00C86025">
        <w:rPr>
          <w:color w:val="auto"/>
        </w:rPr>
        <w:t> </w:t>
      </w:r>
      <w:r>
        <w:rPr>
          <w:color w:val="auto"/>
        </w:rPr>
        <w:t>rozšíření elektronických služeb při komunikaci s daňovými subjekty, snížení administrativní zátěže při správě daní a poplatků nebo zabránění nelegálním praktikám optimalizace a daňovým únikům.</w:t>
      </w:r>
    </w:p>
    <w:p w14:paraId="597EAFE8" w14:textId="77777777" w:rsidR="00FB2192" w:rsidRPr="006C2504" w:rsidRDefault="00FB2192" w:rsidP="00FB2192">
      <w:pPr>
        <w:pStyle w:val="HSNadpis4bezslovn"/>
      </w:pPr>
      <w:r w:rsidRPr="006C2504">
        <w:t>Souhrnná analýza potenciálu ekonomiky České republiky v dané oblasti (SWOT analýza):</w:t>
      </w:r>
    </w:p>
    <w:p w14:paraId="6C2F2F8B" w14:textId="77777777" w:rsidR="00FB2192" w:rsidRPr="00DE56AF" w:rsidRDefault="00FB2192" w:rsidP="00FB2192">
      <w:pPr>
        <w:pStyle w:val="HSNadpis5bezslovn"/>
      </w:pPr>
      <w:r w:rsidRPr="00DE56AF">
        <w:t>Silné stránky:</w:t>
      </w:r>
    </w:p>
    <w:p w14:paraId="693FE6A6" w14:textId="77777777" w:rsidR="00FB2192" w:rsidRPr="003D4C39" w:rsidRDefault="00FB2192" w:rsidP="00FB2192">
      <w:pPr>
        <w:pStyle w:val="HSpodbod"/>
      </w:pPr>
      <w:r w:rsidRPr="003D4C39">
        <w:t>Stabilní politické a legislativní prostředí, harmonizované se státy EU.</w:t>
      </w:r>
    </w:p>
    <w:p w14:paraId="42348BE2" w14:textId="77777777" w:rsidR="00A82653" w:rsidRPr="003D4C39" w:rsidRDefault="00A82653" w:rsidP="00A82653">
      <w:pPr>
        <w:pStyle w:val="HSpodbod"/>
      </w:pPr>
      <w:r w:rsidRPr="003D4C39">
        <w:t>Příznivé daňové podmínky s</w:t>
      </w:r>
      <w:r>
        <w:t xml:space="preserve"> konkurenceschopným efektivním zdaněním </w:t>
      </w:r>
      <w:r w:rsidRPr="003D4C39">
        <w:t>pro podniky.</w:t>
      </w:r>
    </w:p>
    <w:p w14:paraId="7CC6B4D1" w14:textId="77777777" w:rsidR="00FB2192" w:rsidRPr="003D4C39" w:rsidRDefault="00FB2192" w:rsidP="00FB2192">
      <w:pPr>
        <w:pStyle w:val="HSpodbod"/>
      </w:pPr>
      <w:r w:rsidRPr="003D4C39">
        <w:t>Zlepšení opatření v boji proti praní peněz a financování terorismu, zejména díky lepší národní spolupráci a</w:t>
      </w:r>
      <w:r>
        <w:t> </w:t>
      </w:r>
      <w:r w:rsidRPr="003D4C39">
        <w:t>koordinaci v této oblasti.</w:t>
      </w:r>
    </w:p>
    <w:p w14:paraId="6E13A125" w14:textId="77777777" w:rsidR="00FB2192" w:rsidRPr="003D4C39" w:rsidRDefault="00FB2192" w:rsidP="00FB2192">
      <w:pPr>
        <w:pStyle w:val="HSpodbod"/>
      </w:pPr>
      <w:r w:rsidRPr="003D4C39">
        <w:t>Postupné odstraňování regulačních nedostatků v oblasti bankovních vztahů a implementace nových mezinárodních standardů pro virtuální aktiva a jejich poskytovatele.</w:t>
      </w:r>
    </w:p>
    <w:p w14:paraId="021A05F3" w14:textId="1A22D21E" w:rsidR="00FB2192" w:rsidRPr="003D4C39" w:rsidRDefault="00C7722E" w:rsidP="00FB2192">
      <w:pPr>
        <w:pStyle w:val="HSpodbod"/>
      </w:pPr>
      <w:r>
        <w:t>Transparentní p</w:t>
      </w:r>
      <w:r w:rsidR="00FB2192" w:rsidRPr="003D4C39">
        <w:t>roces tvorby politiky a</w:t>
      </w:r>
      <w:r>
        <w:t> </w:t>
      </w:r>
      <w:r w:rsidR="00FB2192" w:rsidRPr="003D4C39">
        <w:t>přístupnost databáze všech zákonů online.</w:t>
      </w:r>
    </w:p>
    <w:p w14:paraId="5EDE233B" w14:textId="77777777" w:rsidR="00FB2192" w:rsidRPr="00DE56AF" w:rsidRDefault="00FB2192" w:rsidP="00FB2192">
      <w:pPr>
        <w:pStyle w:val="HSNadpis5bezslovn"/>
      </w:pPr>
      <w:r w:rsidRPr="00DE56AF">
        <w:t>Slabé stránky:</w:t>
      </w:r>
    </w:p>
    <w:p w14:paraId="6A6FEF4C" w14:textId="55B41FC7" w:rsidR="009D64ED" w:rsidRDefault="009D64ED" w:rsidP="00FB2192">
      <w:pPr>
        <w:pStyle w:val="HSpodbod"/>
      </w:pPr>
      <w:r>
        <w:t>Vysoký odliv kapitálu u domácích poboček zahraničních firem a nižší míra reinvestic.</w:t>
      </w:r>
    </w:p>
    <w:p w14:paraId="0AFA886C" w14:textId="7A3403CF" w:rsidR="00FB2192" w:rsidRPr="003D4C39" w:rsidRDefault="00FB2192" w:rsidP="00FB2192">
      <w:pPr>
        <w:pStyle w:val="HSpodbod"/>
      </w:pPr>
      <w:r w:rsidRPr="003D4C39">
        <w:t>Délka povolovacích řízení</w:t>
      </w:r>
      <w:r w:rsidR="000609AF">
        <w:t>,</w:t>
      </w:r>
      <w:r w:rsidRPr="003D4C39">
        <w:t xml:space="preserve"> jejich rozsah, k čemu je potřeba povolení, a jejich vzájemná organizace.</w:t>
      </w:r>
    </w:p>
    <w:p w14:paraId="48503F9F" w14:textId="40695A97" w:rsidR="00FB2192" w:rsidRDefault="00FB2192" w:rsidP="00FB2192">
      <w:pPr>
        <w:pStyle w:val="HSpodbod"/>
      </w:pPr>
      <w:r w:rsidRPr="003D4C39">
        <w:t>Kapitálový trh trpí velmi nízkou likviditou a atraktivitou pro nové emise.</w:t>
      </w:r>
    </w:p>
    <w:p w14:paraId="24C5291A" w14:textId="61CEA2BD" w:rsidR="006D7D5A" w:rsidRPr="003D4C39" w:rsidRDefault="006D7D5A" w:rsidP="00FB2192">
      <w:pPr>
        <w:pStyle w:val="HSpodbod"/>
      </w:pPr>
      <w:r>
        <w:t>Zvýšená</w:t>
      </w:r>
      <w:r w:rsidRPr="006D7D5A">
        <w:t xml:space="preserve"> míra dotací</w:t>
      </w:r>
      <w:r>
        <w:t xml:space="preserve"> a </w:t>
      </w:r>
      <w:r w:rsidRPr="006D7D5A">
        <w:t>regulací vytváří nerovné podmínky pro podnikání.</w:t>
      </w:r>
    </w:p>
    <w:p w14:paraId="49A58CEE" w14:textId="691AB577" w:rsidR="00FB2192" w:rsidRPr="003D4C39" w:rsidRDefault="00FB2192" w:rsidP="00FB2192">
      <w:pPr>
        <w:pStyle w:val="HSpodbod"/>
      </w:pPr>
      <w:r w:rsidRPr="003D4C39">
        <w:t xml:space="preserve">Vyhodnocování dopadů regulace trpí nedostatečnou kvalitou, především kvůli </w:t>
      </w:r>
      <w:r w:rsidR="00A82653">
        <w:t xml:space="preserve">formalistickému přístupu k ex-ante a </w:t>
      </w:r>
      <w:r w:rsidRPr="003D4C39">
        <w:t>absenci ex-post hodnocení dopadů regulace (RIA).</w:t>
      </w:r>
    </w:p>
    <w:p w14:paraId="6F1C5BF4" w14:textId="40DE7E04" w:rsidR="00FB2192" w:rsidRPr="003D4C39" w:rsidRDefault="00FB2192" w:rsidP="00FB2192">
      <w:pPr>
        <w:pStyle w:val="HSpodbod"/>
      </w:pPr>
      <w:r w:rsidRPr="003D4C39">
        <w:t>Nižší předvídatelnost soudních rozhodnutí.</w:t>
      </w:r>
    </w:p>
    <w:p w14:paraId="2E008326" w14:textId="38831955" w:rsidR="00FB2192" w:rsidRPr="003D4C39" w:rsidRDefault="00FB2192" w:rsidP="00FB2192">
      <w:pPr>
        <w:pStyle w:val="HSpodbod"/>
      </w:pPr>
      <w:r w:rsidRPr="003D4C39">
        <w:t xml:space="preserve">Vstupní požadavky pro mnohé profesní služby, zejména notáře a </w:t>
      </w:r>
      <w:r w:rsidR="00B47924">
        <w:t>advokáty</w:t>
      </w:r>
      <w:r w:rsidRPr="003D4C39">
        <w:t>, jsou přísně regulovány.</w:t>
      </w:r>
    </w:p>
    <w:p w14:paraId="64B404AC" w14:textId="000B980E" w:rsidR="00FB2192" w:rsidRDefault="00FB2192" w:rsidP="00FB2192">
      <w:pPr>
        <w:pStyle w:val="HSpodbod"/>
      </w:pPr>
      <w:r w:rsidRPr="003D4C39">
        <w:t>Neexistuje regulace zajišťující transparentnost interakcí mezi zájmovými skupinami a tvůrci politik.</w:t>
      </w:r>
    </w:p>
    <w:p w14:paraId="57D5029D" w14:textId="289B13D1" w:rsidR="00885686" w:rsidRPr="008124B3" w:rsidRDefault="00885686" w:rsidP="00FB2192">
      <w:pPr>
        <w:pStyle w:val="HSpodbod"/>
      </w:pPr>
      <w:r w:rsidRPr="00885686">
        <w:t>Extenzivní regulace EU napříč politikami s negativními dopady na konkurenceschopnost a otevřené obchodní prostředí.</w:t>
      </w:r>
    </w:p>
    <w:p w14:paraId="69241957" w14:textId="77777777" w:rsidR="00FB2192" w:rsidRPr="00DE56AF" w:rsidRDefault="00FB2192" w:rsidP="00FB2192">
      <w:pPr>
        <w:pStyle w:val="HSNadpis5bezslovn"/>
      </w:pPr>
      <w:r w:rsidRPr="00DE56AF">
        <w:lastRenderedPageBreak/>
        <w:t>Příležitosti:</w:t>
      </w:r>
    </w:p>
    <w:p w14:paraId="28ED1D29" w14:textId="77777777" w:rsidR="00FB2192" w:rsidRPr="003D4C39" w:rsidRDefault="00FB2192" w:rsidP="00FB2192">
      <w:pPr>
        <w:pStyle w:val="HSpodbod"/>
      </w:pPr>
      <w:r w:rsidRPr="003D4C39">
        <w:t>Účinná regulace síťových odvětví a reforma politiky hospodářské soutěže.</w:t>
      </w:r>
    </w:p>
    <w:p w14:paraId="2B847FB8" w14:textId="7F6F8BE3" w:rsidR="00FB2192" w:rsidRPr="003D4C39" w:rsidRDefault="00FB2192" w:rsidP="00FB2192">
      <w:pPr>
        <w:pStyle w:val="HSpodbod"/>
      </w:pPr>
      <w:r w:rsidRPr="003D4C39">
        <w:t xml:space="preserve">Snížení byrokracie formou zjednodušení </w:t>
      </w:r>
      <w:r w:rsidR="001D083E">
        <w:t xml:space="preserve">a digitalizace </w:t>
      </w:r>
      <w:r w:rsidRPr="003D4C39">
        <w:t>administrativních procesů pro podnikatele</w:t>
      </w:r>
      <w:r w:rsidR="007633AA">
        <w:t>.</w:t>
      </w:r>
    </w:p>
    <w:p w14:paraId="152476CF" w14:textId="77777777" w:rsidR="00FB2192" w:rsidRPr="003D4C39" w:rsidRDefault="00FB2192" w:rsidP="00FB2192">
      <w:pPr>
        <w:pStyle w:val="HSpodbod"/>
      </w:pPr>
      <w:r w:rsidRPr="003D4C39">
        <w:t>Rozvoj revizí výdajů státu.</w:t>
      </w:r>
    </w:p>
    <w:p w14:paraId="32EEA92F" w14:textId="186F928B" w:rsidR="00FB2192" w:rsidRPr="003D4C39" w:rsidRDefault="00FB2192" w:rsidP="00FB2192">
      <w:pPr>
        <w:pStyle w:val="HSpodbod"/>
      </w:pPr>
      <w:r w:rsidRPr="003D4C39">
        <w:t>Odstranění nepotřebných administrativních bariér prostřednictvím zjednodušení legislativy a</w:t>
      </w:r>
      <w:r>
        <w:t> </w:t>
      </w:r>
      <w:r w:rsidRPr="003D4C39">
        <w:t>poskytováním elektronických služeb.</w:t>
      </w:r>
    </w:p>
    <w:p w14:paraId="08DD3C94" w14:textId="77777777" w:rsidR="00FB2192" w:rsidRPr="003D4C39" w:rsidRDefault="00FB2192" w:rsidP="00FB2192">
      <w:pPr>
        <w:pStyle w:val="HSpodbod"/>
      </w:pPr>
      <w:r w:rsidRPr="003D4C39">
        <w:t>Zvýšení efektivity digitální transformace malých a středních podniků.</w:t>
      </w:r>
    </w:p>
    <w:p w14:paraId="2A69BEB4" w14:textId="7DB5427B" w:rsidR="00FB2192" w:rsidRPr="008124B3" w:rsidRDefault="001D083E" w:rsidP="00FB2192">
      <w:pPr>
        <w:pStyle w:val="HSpodbod"/>
      </w:pPr>
      <w:r>
        <w:t>Plná digitalizace</w:t>
      </w:r>
      <w:r w:rsidR="00FB2192" w:rsidRPr="003D4C39">
        <w:t xml:space="preserve"> zakládání nových podniků</w:t>
      </w:r>
      <w:r w:rsidR="00FB2192" w:rsidRPr="008124B3">
        <w:t>.</w:t>
      </w:r>
    </w:p>
    <w:p w14:paraId="35C5B710" w14:textId="4D23F06D" w:rsidR="00FB2192" w:rsidRPr="003D4C39" w:rsidRDefault="00FB2192" w:rsidP="00FB2192">
      <w:pPr>
        <w:pStyle w:val="HSpodbod"/>
      </w:pPr>
      <w:r>
        <w:t>Efektivní využívání umělé inteligence</w:t>
      </w:r>
      <w:r w:rsidR="001D083E">
        <w:t xml:space="preserve"> a Big Data</w:t>
      </w:r>
      <w:r>
        <w:t>.</w:t>
      </w:r>
    </w:p>
    <w:p w14:paraId="7D0CB913" w14:textId="77777777" w:rsidR="00FB2192" w:rsidRPr="00DE56AF" w:rsidRDefault="00FB2192" w:rsidP="00FB2192">
      <w:pPr>
        <w:pStyle w:val="HSNadpis5bezslovn"/>
      </w:pPr>
      <w:r w:rsidRPr="00DE56AF">
        <w:t>Hrozby:</w:t>
      </w:r>
    </w:p>
    <w:p w14:paraId="6C250D0E" w14:textId="77777777" w:rsidR="00FB2192" w:rsidRPr="003D4C39" w:rsidRDefault="00FB2192" w:rsidP="00FB2192">
      <w:pPr>
        <w:pStyle w:val="HSpodbod"/>
      </w:pPr>
      <w:r w:rsidRPr="003D4C39">
        <w:t>Dobývání renty a zneužívání významného ekonomického postavení ze strany zájmových organizací.</w:t>
      </w:r>
    </w:p>
    <w:p w14:paraId="6472B55D" w14:textId="77777777" w:rsidR="00FB2192" w:rsidRPr="003D4C39" w:rsidRDefault="00FB2192" w:rsidP="00FB2192">
      <w:pPr>
        <w:pStyle w:val="HSpodbod"/>
      </w:pPr>
      <w:r w:rsidRPr="003D4C39">
        <w:t>Regulace v zájmu regulovaných, nikoliv v zájmu spotřebitelů.</w:t>
      </w:r>
    </w:p>
    <w:p w14:paraId="1FA4A48D" w14:textId="77777777" w:rsidR="00FB2192" w:rsidRPr="003D4C39" w:rsidRDefault="00FB2192" w:rsidP="00FB2192">
      <w:pPr>
        <w:pStyle w:val="HSpodbod"/>
      </w:pPr>
      <w:r w:rsidRPr="003D4C39">
        <w:t>Odchod podnikatelů do předvídatelnějšího a jednoduššího právního prostředí, resp. přenesení sídla – daňového domicilu, zejm. v oblasti digitální ekonomiky.</w:t>
      </w:r>
    </w:p>
    <w:p w14:paraId="0A49810E" w14:textId="607CA392" w:rsidR="00FB2192" w:rsidRPr="003D4C39" w:rsidRDefault="00FB2192" w:rsidP="00FB2192">
      <w:pPr>
        <w:pStyle w:val="HSpodbod"/>
      </w:pPr>
      <w:r w:rsidRPr="003D4C39">
        <w:t xml:space="preserve">Optimalizací zájmů firmy obcházením zákonů </w:t>
      </w:r>
      <w:r w:rsidR="00B10552">
        <w:t>České republiky</w:t>
      </w:r>
      <w:r w:rsidRPr="003D4C39">
        <w:t>, např. Schwarz systém, či jiné jevy kvazi-šedé ekonomiky.</w:t>
      </w:r>
    </w:p>
    <w:p w14:paraId="40E8A2AB" w14:textId="2DC4721B" w:rsidR="00FB2192" w:rsidRPr="003D4C39" w:rsidRDefault="00FB2192" w:rsidP="00FB2192">
      <w:pPr>
        <w:pStyle w:val="HSpodbod"/>
      </w:pPr>
      <w:r w:rsidRPr="003D4C39">
        <w:t xml:space="preserve">Neefektivní dohled nad tržním prostředím ze strany </w:t>
      </w:r>
      <w:r w:rsidR="00ED3AC8" w:rsidRPr="00ED3AC8">
        <w:t>Úřad</w:t>
      </w:r>
      <w:r w:rsidR="00ED3AC8">
        <w:t>u</w:t>
      </w:r>
      <w:r w:rsidR="00ED3AC8" w:rsidRPr="00ED3AC8">
        <w:t xml:space="preserve"> pro ochranu hospodářské soutěže</w:t>
      </w:r>
      <w:r w:rsidRPr="003D4C39">
        <w:t>.</w:t>
      </w:r>
    </w:p>
    <w:p w14:paraId="37B556E2" w14:textId="77777777" w:rsidR="00FB2192" w:rsidRPr="00663CD2" w:rsidRDefault="00FB2192" w:rsidP="00FB2192">
      <w:pPr>
        <w:pStyle w:val="HSpodbod"/>
      </w:pPr>
      <w:r w:rsidRPr="003D4C39">
        <w:t>Kor</w:t>
      </w:r>
      <w:r w:rsidRPr="00663CD2">
        <w:t>upční rizika obsažená v nevhodném monokratickém nastavení řízení Úřadu pro ochranu hospodářské soutěže.</w:t>
      </w:r>
    </w:p>
    <w:p w14:paraId="42D2F0FF" w14:textId="336BDDB4" w:rsidR="00FB2192" w:rsidRPr="00663CD2" w:rsidRDefault="00FB2192" w:rsidP="00FB2192">
      <w:pPr>
        <w:pStyle w:val="HSNadpis4bezslovn"/>
      </w:pPr>
      <w:r w:rsidRPr="00663CD2">
        <w:t>Strategické cíle:</w:t>
      </w:r>
    </w:p>
    <w:p w14:paraId="223BB46B" w14:textId="6CAB3726" w:rsidR="007471A1" w:rsidRPr="0066782F" w:rsidRDefault="007471A1" w:rsidP="0066782F">
      <w:pPr>
        <w:pStyle w:val="HSpodbod"/>
      </w:pPr>
      <w:r w:rsidRPr="00663CD2">
        <w:t>Odstraňovat p</w:t>
      </w:r>
      <w:r w:rsidRPr="0066782F">
        <w:t>řekážky pro vstup firem na trh a péče o konkurenční prostředí</w:t>
      </w:r>
      <w:r w:rsidR="007633AA">
        <w:t>.</w:t>
      </w:r>
    </w:p>
    <w:p w14:paraId="678529B6" w14:textId="645A2E61" w:rsidR="007471A1" w:rsidRPr="0066782F" w:rsidRDefault="007471A1" w:rsidP="0066782F">
      <w:pPr>
        <w:pStyle w:val="HSpodbod"/>
        <w:numPr>
          <w:ilvl w:val="0"/>
          <w:numId w:val="0"/>
        </w:numPr>
        <w:ind w:left="360"/>
      </w:pPr>
      <w:r w:rsidRPr="0066782F">
        <w:t xml:space="preserve">Ukazatel: </w:t>
      </w:r>
      <w:r w:rsidRPr="00D70563">
        <w:rPr>
          <w:lang w:val="en-GB"/>
        </w:rPr>
        <w:t>Product Market Regulation</w:t>
      </w:r>
    </w:p>
    <w:p w14:paraId="00366F3A" w14:textId="550A5801" w:rsidR="007471A1" w:rsidRPr="0066782F" w:rsidRDefault="007471A1" w:rsidP="0066782F">
      <w:pPr>
        <w:pStyle w:val="HSpodbod"/>
      </w:pPr>
      <w:r w:rsidRPr="0066782F">
        <w:t>Snižování podnikatelské administrativní zátěže</w:t>
      </w:r>
      <w:r w:rsidR="007633AA">
        <w:t>.</w:t>
      </w:r>
    </w:p>
    <w:p w14:paraId="4355C27C" w14:textId="2A25518F" w:rsidR="007471A1" w:rsidRPr="0066782F" w:rsidRDefault="007471A1" w:rsidP="0066782F">
      <w:pPr>
        <w:pStyle w:val="HSpodbod"/>
        <w:numPr>
          <w:ilvl w:val="0"/>
          <w:numId w:val="0"/>
        </w:numPr>
        <w:ind w:left="360"/>
      </w:pPr>
      <w:r w:rsidRPr="0066782F">
        <w:t xml:space="preserve">Ukazatel: </w:t>
      </w:r>
      <w:r w:rsidRPr="00D70563">
        <w:rPr>
          <w:lang w:val="en-GB"/>
        </w:rPr>
        <w:t>Single Market Scoreboard –</w:t>
      </w:r>
      <w:r w:rsidR="00700332" w:rsidRPr="00D70563">
        <w:rPr>
          <w:lang w:val="en-GB"/>
        </w:rPr>
        <w:t xml:space="preserve"> oblast</w:t>
      </w:r>
      <w:r w:rsidRPr="00D70563">
        <w:rPr>
          <w:lang w:val="en-GB"/>
        </w:rPr>
        <w:t xml:space="preserve"> Responsive administration and burden of regulation</w:t>
      </w:r>
    </w:p>
    <w:p w14:paraId="6A32BAE0" w14:textId="7DD1989E" w:rsidR="007471A1" w:rsidRPr="0066782F" w:rsidRDefault="007471A1" w:rsidP="0066782F">
      <w:pPr>
        <w:pStyle w:val="HSpodbod"/>
      </w:pPr>
      <w:r w:rsidRPr="0066782F">
        <w:t>Přívětivé podnikatelské prostředí a investiční klima</w:t>
      </w:r>
      <w:r w:rsidR="007633AA">
        <w:t>.</w:t>
      </w:r>
    </w:p>
    <w:p w14:paraId="373800E3" w14:textId="11CCD579" w:rsidR="007471A1" w:rsidRDefault="007471A1" w:rsidP="0066782F">
      <w:pPr>
        <w:pStyle w:val="HSpodbod"/>
        <w:numPr>
          <w:ilvl w:val="0"/>
          <w:numId w:val="0"/>
        </w:numPr>
        <w:ind w:left="360"/>
      </w:pPr>
      <w:r w:rsidRPr="0066782F">
        <w:t xml:space="preserve">Ukazatel: </w:t>
      </w:r>
      <w:r w:rsidRPr="00D70563">
        <w:rPr>
          <w:lang w:val="en-GB"/>
        </w:rPr>
        <w:t>Business Ready</w:t>
      </w:r>
      <w:r w:rsidRPr="0066782F">
        <w:t xml:space="preserve"> (B-READY)</w:t>
      </w:r>
    </w:p>
    <w:p w14:paraId="7A264C9C" w14:textId="75327F87" w:rsidR="0066782F" w:rsidRPr="0066782F" w:rsidRDefault="0066782F" w:rsidP="0066782F">
      <w:pPr>
        <w:pStyle w:val="HSNadpis4bezslovn"/>
      </w:pPr>
      <w:r w:rsidRPr="006C2504">
        <w:t>S</w:t>
      </w:r>
      <w:r>
        <w:t xml:space="preserve">pecifické </w:t>
      </w:r>
      <w:r w:rsidRPr="006C2504">
        <w:t>cíle:</w:t>
      </w:r>
    </w:p>
    <w:p w14:paraId="317438C2" w14:textId="77777777" w:rsidR="00FB2192" w:rsidRPr="00263C15" w:rsidRDefault="00FB2192" w:rsidP="00FB2192">
      <w:pPr>
        <w:pStyle w:val="HSpodbod"/>
        <w:rPr>
          <w:rFonts w:cstheme="minorHAnsi"/>
        </w:rPr>
      </w:pPr>
      <w:r w:rsidRPr="00263C15">
        <w:t>Zrychlení individuální i komerční stavby</w:t>
      </w:r>
      <w:r w:rsidRPr="00C64EF4">
        <w:t xml:space="preserve">. </w:t>
      </w:r>
      <w:r w:rsidRPr="00C64EF4">
        <w:rPr>
          <w:b/>
          <w:bCs/>
        </w:rPr>
        <w:t>#NERV</w:t>
      </w:r>
    </w:p>
    <w:p w14:paraId="52B24750" w14:textId="6D8B46D7" w:rsidR="00FB2192" w:rsidRPr="008124B3" w:rsidRDefault="00FB2192" w:rsidP="00FB2192">
      <w:pPr>
        <w:pStyle w:val="HSpodbod"/>
      </w:pPr>
      <w:r w:rsidRPr="008124B3">
        <w:t>Atraktivní podnikatelské prostředí a podprůměrné břímě státní regulace v porovnání s vyspělými státy.</w:t>
      </w:r>
    </w:p>
    <w:p w14:paraId="1C66A3ED" w14:textId="0B55AEF9" w:rsidR="00FB2192" w:rsidRPr="008124B3" w:rsidRDefault="00FB2192" w:rsidP="00FB2192">
      <w:pPr>
        <w:pStyle w:val="HSpodbod"/>
      </w:pPr>
      <w:r w:rsidRPr="008124B3">
        <w:t>Jednoduché, efektivní a transparentní administrativní procesy; minimalizov</w:t>
      </w:r>
      <w:r w:rsidR="00C7722E">
        <w:t>ání</w:t>
      </w:r>
      <w:r w:rsidRPr="008124B3">
        <w:t xml:space="preserve"> byrokracie a administrativní zátěž.</w:t>
      </w:r>
    </w:p>
    <w:p w14:paraId="28AB891A" w14:textId="13299753" w:rsidR="00FB2192" w:rsidRPr="008124B3" w:rsidRDefault="00FB2192" w:rsidP="00FB2192">
      <w:pPr>
        <w:pStyle w:val="HSpodbod"/>
      </w:pPr>
      <w:r w:rsidRPr="008124B3">
        <w:t>Stabilní a předvídatelné daňové prostředí včetně správy daní.</w:t>
      </w:r>
    </w:p>
    <w:p w14:paraId="57B7614B" w14:textId="77777777" w:rsidR="00FB2192" w:rsidRPr="008124B3" w:rsidRDefault="00FB2192" w:rsidP="00FB2192">
      <w:pPr>
        <w:pStyle w:val="HSpodbod"/>
      </w:pPr>
      <w:r w:rsidRPr="008124B3">
        <w:t>Existují mechanismy pro redukci a zabraňování vzniku privilegií zájmových skupin.</w:t>
      </w:r>
    </w:p>
    <w:p w14:paraId="311C5296" w14:textId="77777777" w:rsidR="00FB2192" w:rsidRPr="008124B3" w:rsidRDefault="00FB2192" w:rsidP="00FB2192">
      <w:pPr>
        <w:pStyle w:val="HSpodbod"/>
      </w:pPr>
      <w:r w:rsidRPr="008124B3">
        <w:t>Podmínky pro vyšší atraktivitu kapitálových trhů pro nové emise.</w:t>
      </w:r>
    </w:p>
    <w:p w14:paraId="26992441" w14:textId="77777777" w:rsidR="00FB2192" w:rsidRPr="008124B3" w:rsidRDefault="00FB2192" w:rsidP="00FB2192">
      <w:pPr>
        <w:pStyle w:val="HSpodbod"/>
      </w:pPr>
      <w:r w:rsidRPr="008124B3">
        <w:t>Regulace zaměřená na zájmy spotřebitelů a současně na podporu hospodářské soutěže.</w:t>
      </w:r>
    </w:p>
    <w:p w14:paraId="5C108A55" w14:textId="77777777" w:rsidR="00FB2192" w:rsidRPr="008124B3" w:rsidRDefault="00FB2192" w:rsidP="00FB2192">
      <w:pPr>
        <w:pStyle w:val="HSpodbod"/>
      </w:pPr>
      <w:r w:rsidRPr="008124B3">
        <w:t>Zvýšení flexibility pracovně-právních vztahů.</w:t>
      </w:r>
    </w:p>
    <w:p w14:paraId="374CBB3F" w14:textId="77777777" w:rsidR="00FB2192" w:rsidRPr="006C2504" w:rsidRDefault="00FB2192" w:rsidP="00FB2192">
      <w:pPr>
        <w:pStyle w:val="HSNadpis4bezslovn"/>
      </w:pPr>
      <w:r w:rsidRPr="006C2504">
        <w:t>Hlavní opatření:</w:t>
      </w:r>
    </w:p>
    <w:p w14:paraId="15B826C6" w14:textId="77777777" w:rsidR="00FB2192" w:rsidRPr="00D533F9" w:rsidRDefault="00FB2192" w:rsidP="00FB2192">
      <w:pPr>
        <w:pStyle w:val="HSpodbod"/>
      </w:pPr>
      <w:bookmarkStart w:id="47" w:name="_Hlk172027450"/>
      <w:r>
        <w:t>Implementovat z</w:t>
      </w:r>
      <w:r w:rsidRPr="00D533F9">
        <w:t>krá</w:t>
      </w:r>
      <w:r>
        <w:t>cené</w:t>
      </w:r>
      <w:r w:rsidRPr="00D533F9">
        <w:t xml:space="preserve"> povolovací lhůty a </w:t>
      </w:r>
      <w:r>
        <w:t>z</w:t>
      </w:r>
      <w:r w:rsidRPr="00D533F9">
        <w:t>měnit vybrané zákony s účelem zrychlení individuální i komerční stavby</w:t>
      </w:r>
      <w:r w:rsidRPr="00C64EF4">
        <w:t>.</w:t>
      </w:r>
      <w:r w:rsidRPr="00C64EF4">
        <w:rPr>
          <w:b/>
          <w:bCs/>
        </w:rPr>
        <w:t xml:space="preserve"> #NERV</w:t>
      </w:r>
    </w:p>
    <w:bookmarkEnd w:id="47"/>
    <w:p w14:paraId="54B426F6" w14:textId="0FA15FE4" w:rsidR="00FB2192" w:rsidRPr="00B643EE" w:rsidRDefault="00ED3AC8" w:rsidP="00FB2192">
      <w:pPr>
        <w:pStyle w:val="HSpodbod"/>
      </w:pPr>
      <w:r>
        <w:t>Uvést do souladu</w:t>
      </w:r>
      <w:r w:rsidRPr="00263C15">
        <w:t xml:space="preserve"> </w:t>
      </w:r>
      <w:r w:rsidR="00FB2192" w:rsidRPr="00263C15">
        <w:t>norm</w:t>
      </w:r>
      <w:r w:rsidR="00FB2192">
        <w:t>y</w:t>
      </w:r>
      <w:r w:rsidR="00FB2192" w:rsidRPr="00263C15">
        <w:t xml:space="preserve"> ve výstavbě na úroveň západních zemí a ponech</w:t>
      </w:r>
      <w:r w:rsidR="00FB2192">
        <w:t>at</w:t>
      </w:r>
      <w:r w:rsidR="00FB2192" w:rsidRPr="00263C15">
        <w:t xml:space="preserve"> větší odpovědnost lidem</w:t>
      </w:r>
      <w:r w:rsidR="00FB2192" w:rsidRPr="00C64EF4">
        <w:t>.</w:t>
      </w:r>
      <w:r w:rsidR="00FB2192" w:rsidRPr="00C64EF4">
        <w:rPr>
          <w:b/>
          <w:bCs/>
        </w:rPr>
        <w:t xml:space="preserve"> #NERV</w:t>
      </w:r>
    </w:p>
    <w:p w14:paraId="1E478B94" w14:textId="1A4199A4" w:rsidR="00FB2192" w:rsidRPr="008124B3" w:rsidRDefault="00FB2192" w:rsidP="00FB2192">
      <w:pPr>
        <w:pStyle w:val="HSpodbod"/>
      </w:pPr>
      <w:r w:rsidRPr="008124B3">
        <w:t>Na uskutečněnou reformu stavebního práva navázat změnami v oblasti územního plánování směrem k jeho zrychlení, zjednodušení a reflektování potřeb prioritních projektů strategického významu (např. pro rozvoj obnovitelných zdrojů energie).</w:t>
      </w:r>
    </w:p>
    <w:p w14:paraId="39C268EF" w14:textId="63021210" w:rsidR="00FB2192" w:rsidRPr="008124B3" w:rsidRDefault="00FB2192" w:rsidP="00FB2192">
      <w:pPr>
        <w:pStyle w:val="HSpodbod"/>
      </w:pPr>
      <w:r w:rsidRPr="008124B3">
        <w:lastRenderedPageBreak/>
        <w:t xml:space="preserve">Implementovat </w:t>
      </w:r>
      <w:bookmarkStart w:id="48" w:name="_Hlk172027273"/>
      <w:r w:rsidRPr="00D70563">
        <w:rPr>
          <w:lang w:val="en-GB"/>
        </w:rPr>
        <w:t>Net-Zero Industry Act</w:t>
      </w:r>
      <w:bookmarkEnd w:id="48"/>
      <w:r w:rsidR="005F1929">
        <w:rPr>
          <w:lang w:val="en-GB"/>
        </w:rPr>
        <w:t xml:space="preserve"> (</w:t>
      </w:r>
      <w:r w:rsidR="005F1929">
        <w:t>nařízení č. 2024/1735/EU</w:t>
      </w:r>
      <w:r w:rsidR="005F1929">
        <w:rPr>
          <w:lang w:val="en-GB"/>
        </w:rPr>
        <w:t>)</w:t>
      </w:r>
      <w:r w:rsidRPr="008124B3">
        <w:t xml:space="preserve"> jako pilotní iniciativu pro snížení administrativních bariér pro projekty výroby </w:t>
      </w:r>
      <w:r w:rsidR="005F1929">
        <w:t>jmenovaných technologií</w:t>
      </w:r>
      <w:r w:rsidR="005F1929" w:rsidRPr="008124B3">
        <w:t xml:space="preserve"> </w:t>
      </w:r>
      <w:r w:rsidRPr="008124B3">
        <w:t>pro nízkouhlíkovou ekonomiku.</w:t>
      </w:r>
    </w:p>
    <w:p w14:paraId="72406D31" w14:textId="3D33F91E" w:rsidR="00FB2192" w:rsidRPr="007572B5" w:rsidRDefault="00FB2192" w:rsidP="00FB2192">
      <w:pPr>
        <w:pStyle w:val="HSpodbod"/>
      </w:pPr>
      <w:r>
        <w:t>Sni</w:t>
      </w:r>
      <w:r w:rsidRPr="007572B5">
        <w:t>žov</w:t>
      </w:r>
      <w:r>
        <w:t>at</w:t>
      </w:r>
      <w:r w:rsidRPr="007572B5">
        <w:t xml:space="preserve"> administrativní a legislativní zátěž podnikatelů</w:t>
      </w:r>
      <w:r>
        <w:t xml:space="preserve"> prostřednictvím nástrojů jako je tzv. </w:t>
      </w:r>
      <w:r w:rsidRPr="007572B5">
        <w:t>Podnikatelský balíček</w:t>
      </w:r>
      <w:r>
        <w:t xml:space="preserve"> obsahující</w:t>
      </w:r>
      <w:r w:rsidRPr="007572B5">
        <w:t xml:space="preserve"> </w:t>
      </w:r>
      <w:r w:rsidR="00C04759">
        <w:t>např.</w:t>
      </w:r>
      <w:r w:rsidR="00C04759" w:rsidRPr="007572B5">
        <w:t xml:space="preserve"> </w:t>
      </w:r>
      <w:r w:rsidRPr="007572B5">
        <w:t>opatření</w:t>
      </w:r>
      <w:r>
        <w:t xml:space="preserve"> zavedení </w:t>
      </w:r>
      <w:r w:rsidRPr="007572B5">
        <w:t xml:space="preserve">databáze informačních povinností, </w:t>
      </w:r>
      <w:r>
        <w:t>zavedení j</w:t>
      </w:r>
      <w:r w:rsidRPr="007572B5">
        <w:t>ednotn</w:t>
      </w:r>
      <w:r>
        <w:t>ého</w:t>
      </w:r>
      <w:r w:rsidRPr="007572B5">
        <w:t xml:space="preserve"> formát</w:t>
      </w:r>
      <w:r>
        <w:t>u</w:t>
      </w:r>
      <w:r w:rsidRPr="007572B5">
        <w:t xml:space="preserve"> pro digitální účtenky, </w:t>
      </w:r>
      <w:r>
        <w:t xml:space="preserve">umožnění </w:t>
      </w:r>
      <w:r w:rsidRPr="007572B5">
        <w:t>výplat m</w:t>
      </w:r>
      <w:r>
        <w:t>e</w:t>
      </w:r>
      <w:r w:rsidRPr="007572B5">
        <w:t>zd v cizí měně</w:t>
      </w:r>
      <w:r>
        <w:t xml:space="preserve"> nebo v</w:t>
      </w:r>
      <w:r w:rsidRPr="007572B5">
        <w:t xml:space="preserve">ytvoření </w:t>
      </w:r>
      <w:r>
        <w:t>j</w:t>
      </w:r>
      <w:r w:rsidRPr="007572B5">
        <w:t>ednotného portálu evidence kontrol.</w:t>
      </w:r>
    </w:p>
    <w:p w14:paraId="2CA9DEDF" w14:textId="77777777" w:rsidR="00FB2192" w:rsidRPr="00A5275F" w:rsidRDefault="00FB2192" w:rsidP="00FB2192">
      <w:pPr>
        <w:pStyle w:val="HSpodbod"/>
      </w:pPr>
      <w:bookmarkStart w:id="49" w:name="_Hlk172029399"/>
      <w:r w:rsidRPr="00A5275F">
        <w:t>Sjednotit agendy státu, zejm. v podobě jednotného měsíčního hlášení zaměstnavatelů a následně jednotného inkasního místa.</w:t>
      </w:r>
      <w:bookmarkEnd w:id="49"/>
    </w:p>
    <w:p w14:paraId="0BD7E469" w14:textId="77777777" w:rsidR="00FB2192" w:rsidRPr="007572B5" w:rsidRDefault="00FB2192" w:rsidP="00FB2192">
      <w:pPr>
        <w:pStyle w:val="HSpodbod"/>
      </w:pPr>
      <w:r>
        <w:t>V</w:t>
      </w:r>
      <w:r w:rsidRPr="007572B5">
        <w:t>ytvoř</w:t>
      </w:r>
      <w:r>
        <w:t>it</w:t>
      </w:r>
      <w:r w:rsidRPr="007572B5">
        <w:t xml:space="preserve"> hlavní elektronick</w:t>
      </w:r>
      <w:r>
        <w:t>ý</w:t>
      </w:r>
      <w:r w:rsidRPr="007572B5">
        <w:t xml:space="preserve"> systém</w:t>
      </w:r>
      <w:r>
        <w:t xml:space="preserve"> (</w:t>
      </w:r>
      <w:r w:rsidRPr="007572B5">
        <w:t>Portál podnikatele</w:t>
      </w:r>
      <w:r>
        <w:t>)</w:t>
      </w:r>
      <w:r w:rsidRPr="007572B5">
        <w:t>, který by umožňoval podnikatelům komunikaci s úřady a institucemi.</w:t>
      </w:r>
    </w:p>
    <w:p w14:paraId="746249FC" w14:textId="0DE8BB15" w:rsidR="00FB2192" w:rsidRPr="007572B5" w:rsidRDefault="00FB2192" w:rsidP="00FB2192">
      <w:pPr>
        <w:pStyle w:val="HSpodbod"/>
      </w:pPr>
      <w:r w:rsidRPr="007572B5">
        <w:t xml:space="preserve">Reforma </w:t>
      </w:r>
      <w:r w:rsidR="00ED3AC8" w:rsidRPr="00ED3AC8">
        <w:t>Úřad</w:t>
      </w:r>
      <w:r w:rsidR="00ED3AC8">
        <w:t>u</w:t>
      </w:r>
      <w:r w:rsidR="00ED3AC8" w:rsidRPr="00ED3AC8">
        <w:t xml:space="preserve"> pro ochranu hospodářské soutěže</w:t>
      </w:r>
      <w:r w:rsidRPr="007572B5">
        <w:t xml:space="preserve"> s cílem zvýšit důvěru v systém veřejných zakázek a schopnost udržovat konkurenci v koncentrovaných odvětvích</w:t>
      </w:r>
      <w:r>
        <w:t xml:space="preserve"> a snížit </w:t>
      </w:r>
      <w:proofErr w:type="spellStart"/>
      <w:r>
        <w:t>oligopolizaci</w:t>
      </w:r>
      <w:proofErr w:type="spellEnd"/>
      <w:r>
        <w:t xml:space="preserve"> ekonomiky</w:t>
      </w:r>
      <w:r w:rsidRPr="007572B5">
        <w:t>.</w:t>
      </w:r>
    </w:p>
    <w:p w14:paraId="79BD5170" w14:textId="58C4432C" w:rsidR="00FB2192" w:rsidRPr="00D21951" w:rsidRDefault="00D21951" w:rsidP="00FB2192">
      <w:pPr>
        <w:pStyle w:val="HSpodbod"/>
      </w:pPr>
      <w:r w:rsidRPr="00D21951">
        <w:t>Udržovat</w:t>
      </w:r>
      <w:r w:rsidR="00FB2192" w:rsidRPr="00D21951">
        <w:t xml:space="preserve"> dlouhodob</w:t>
      </w:r>
      <w:r w:rsidRPr="00D21951">
        <w:t>ě</w:t>
      </w:r>
      <w:r w:rsidR="00FB2192" w:rsidRPr="00D21951">
        <w:t xml:space="preserve"> konkurenceschopné </w:t>
      </w:r>
      <w:r w:rsidRPr="00D21951">
        <w:t xml:space="preserve">efektivní zdanění korporací a </w:t>
      </w:r>
      <w:r w:rsidR="00FB2192" w:rsidRPr="00D21951">
        <w:t>práce.</w:t>
      </w:r>
    </w:p>
    <w:p w14:paraId="63EA339A" w14:textId="617BDBEF" w:rsidR="00885686" w:rsidRDefault="00885686" w:rsidP="00FB2192">
      <w:pPr>
        <w:pStyle w:val="HSpodbod"/>
      </w:pPr>
      <w:r w:rsidRPr="00885686">
        <w:t xml:space="preserve">Zefektivnit koordinaci pozic </w:t>
      </w:r>
      <w:r w:rsidR="008C1439">
        <w:t>České republiky</w:t>
      </w:r>
      <w:r w:rsidRPr="00885686">
        <w:t xml:space="preserve"> napříč politikami EU v zájmu zvyšování globální konkurenceschopnosti a obchodních příležitostí pro české firmy</w:t>
      </w:r>
    </w:p>
    <w:p w14:paraId="6EEA307E" w14:textId="77777777" w:rsidR="00FB2192" w:rsidRPr="006C2504" w:rsidRDefault="00FB2192" w:rsidP="00FB2192">
      <w:pPr>
        <w:pStyle w:val="HSNadpis4bezslovn"/>
      </w:pPr>
      <w:r w:rsidRPr="006C2504">
        <w:t>Naplňující strategie:</w:t>
      </w:r>
    </w:p>
    <w:p w14:paraId="295346E3" w14:textId="7D00533B" w:rsidR="00FB2192" w:rsidRDefault="00FB2192" w:rsidP="00FB2192">
      <w:pPr>
        <w:pStyle w:val="HSpodbod"/>
      </w:pPr>
      <w:r w:rsidRPr="00441692">
        <w:t>Strategie podpory malých a středních podniků do roku 2027</w:t>
      </w:r>
    </w:p>
    <w:p w14:paraId="206CF72E" w14:textId="7688E684" w:rsidR="0031053E" w:rsidRPr="00D70563" w:rsidRDefault="00FB2192" w:rsidP="0031053E">
      <w:pPr>
        <w:pStyle w:val="HSpodbod"/>
        <w:rPr>
          <w:lang w:val="en-GB"/>
        </w:rPr>
      </w:pPr>
      <w:r w:rsidRPr="00D70563">
        <w:rPr>
          <w:lang w:val="en-GB"/>
        </w:rPr>
        <w:t>Net-Zero Industry Act</w:t>
      </w:r>
    </w:p>
    <w:p w14:paraId="4B7CB119" w14:textId="0F535B82" w:rsidR="00FB2192" w:rsidRPr="00D533F9" w:rsidRDefault="0031053E" w:rsidP="0031053E">
      <w:pPr>
        <w:pStyle w:val="HSpodbod"/>
        <w:numPr>
          <w:ilvl w:val="0"/>
          <w:numId w:val="0"/>
        </w:numPr>
      </w:pPr>
      <w:r>
        <w:br w:type="page"/>
      </w:r>
    </w:p>
    <w:p w14:paraId="5CCC0552" w14:textId="77777777" w:rsidR="00FB2192" w:rsidRPr="00F5548D" w:rsidRDefault="00FB2192" w:rsidP="00FB2192">
      <w:pPr>
        <w:pStyle w:val="HSNadpisIII1"/>
      </w:pPr>
      <w:bookmarkStart w:id="50" w:name="_Toc174703076"/>
      <w:r>
        <w:lastRenderedPageBreak/>
        <w:t>Kvalita veřejných institucí</w:t>
      </w:r>
      <w:bookmarkEnd w:id="50"/>
    </w:p>
    <w:p w14:paraId="19F4F395" w14:textId="66BFB90A" w:rsidR="00FB2192" w:rsidRDefault="00FB2192" w:rsidP="00FB2192">
      <w:r>
        <w:t xml:space="preserve">Česká republika má v porovnání s vyspělými zeměmi spíše průměrnou kvalitu veřejných institucí a existují také značné rozdíly v kvalitě jak mezi jednotlivými úřady, tak i regiony. </w:t>
      </w:r>
      <w:r w:rsidR="00A82653">
        <w:t xml:space="preserve">Příčinou je také vysoký počet malých obcí. </w:t>
      </w:r>
      <w:r>
        <w:t>Kvalitní instituce snižují transakční náklady pro firmy, podporu</w:t>
      </w:r>
      <w:r w:rsidRPr="00D71908">
        <w:t xml:space="preserve">jí investice a inovace, důvěru občanů, a především zlepšují efektivitu veřejných výdajů. Krize v posledních letech zasáhly Českou republiku mimořádně výrazně, což </w:t>
      </w:r>
      <w:r w:rsidRPr="00D71908">
        <w:rPr>
          <w:szCs w:val="20"/>
        </w:rPr>
        <w:t>vedlo k prudce rostoucí inflaci, zvýšeným životním nákladům a</w:t>
      </w:r>
      <w:r>
        <w:rPr>
          <w:szCs w:val="20"/>
        </w:rPr>
        <w:t> </w:t>
      </w:r>
      <w:r w:rsidRPr="00D71908">
        <w:rPr>
          <w:szCs w:val="20"/>
        </w:rPr>
        <w:t>uprchlické krizi. Důvěra občanů ve veřejné instituce a služby zažila v tomto období značný pokles, což klade důraz na potřebu refor</w:t>
      </w:r>
      <w:r w:rsidR="00C7722E">
        <w:rPr>
          <w:szCs w:val="20"/>
        </w:rPr>
        <w:t>my</w:t>
      </w:r>
      <w:r w:rsidRPr="00D71908">
        <w:rPr>
          <w:szCs w:val="20"/>
        </w:rPr>
        <w:t xml:space="preserve"> veřejné správy. </w:t>
      </w:r>
      <w:r w:rsidRPr="00D71908">
        <w:t>Kva</w:t>
      </w:r>
      <w:r>
        <w:t xml:space="preserve">lita veřejných institucí přímo souvisí s nutností digitalizace veřejné správy, </w:t>
      </w:r>
      <w:r w:rsidRPr="00D71908">
        <w:t xml:space="preserve">využíváním nástrojů umělé inteligence, </w:t>
      </w:r>
      <w:r>
        <w:t xml:space="preserve">posilováním </w:t>
      </w:r>
      <w:r w:rsidR="00A82653">
        <w:t>odborných</w:t>
      </w:r>
      <w:r>
        <w:t xml:space="preserve"> kapacit úřadů</w:t>
      </w:r>
      <w:r w:rsidR="00A82653">
        <w:t>, s většími úsporami z rozsahu, lepší koordinací, spoluprací</w:t>
      </w:r>
      <w:r>
        <w:t xml:space="preserve"> a </w:t>
      </w:r>
      <w:r w:rsidR="00A82653">
        <w:t xml:space="preserve">se </w:t>
      </w:r>
      <w:r>
        <w:t>zvyšování</w:t>
      </w:r>
      <w:r w:rsidR="00A82653">
        <w:t>m</w:t>
      </w:r>
      <w:r>
        <w:t xml:space="preserve"> transparentnosti. Důležitá je také reforma financování veřejného sektoru a boj proti korupci.</w:t>
      </w:r>
    </w:p>
    <w:p w14:paraId="653157F8" w14:textId="63CB3A56" w:rsidR="00FB2192" w:rsidRPr="00A407E1" w:rsidRDefault="00A82653" w:rsidP="00FB2192">
      <w:pPr>
        <w:rPr>
          <w:szCs w:val="20"/>
        </w:rPr>
      </w:pPr>
      <w:r>
        <w:t>Ambicí</w:t>
      </w:r>
      <w:r w:rsidR="00FB2192">
        <w:t xml:space="preserve"> je vytvořit </w:t>
      </w:r>
      <w:r w:rsidR="00FB2192" w:rsidRPr="0094300A">
        <w:t>moderní, efektivní, transparentní a zodpovědnou veřejnou správu, která bude podporovat hospodářský růst a prosperitu</w:t>
      </w:r>
      <w:r w:rsidR="00FB2192" w:rsidRPr="0094300A">
        <w:rPr>
          <w:szCs w:val="20"/>
        </w:rPr>
        <w:t>. Cílem je také zvyšování kvality a dostupnosti služeb, zlepšení koordinace a kapacit veřejné správy, a</w:t>
      </w:r>
      <w:r w:rsidR="00FB2192">
        <w:rPr>
          <w:szCs w:val="20"/>
        </w:rPr>
        <w:t> </w:t>
      </w:r>
      <w:r w:rsidR="00FB2192" w:rsidRPr="0094300A">
        <w:rPr>
          <w:szCs w:val="20"/>
        </w:rPr>
        <w:t xml:space="preserve">podpora občanské participace. Plnění cílů však dlouhodobě naráží na překážky jako nedostatečná koordinace mezi úřady, omezené kapacity a dovednosti, a nedostatečné politické směřování. Klíčovým </w:t>
      </w:r>
      <w:r>
        <w:rPr>
          <w:szCs w:val="20"/>
        </w:rPr>
        <w:t>záměrem</w:t>
      </w:r>
      <w:r w:rsidR="00FB2192" w:rsidRPr="0094300A">
        <w:rPr>
          <w:szCs w:val="20"/>
        </w:rPr>
        <w:t xml:space="preserve"> je tak posílit strategické řízení, konsistenci politik a jejich realizaci na všech úrovních, což zahrnuje i zlepšení analytických kapacit a rozhodování založeného na datech. Celkový úspěch bude záviset na schopnosti veřejné správy přitáhnout kvalifikované pracovníky a</w:t>
      </w:r>
      <w:r w:rsidR="00FB2192">
        <w:rPr>
          <w:szCs w:val="20"/>
        </w:rPr>
        <w:t> </w:t>
      </w:r>
      <w:r w:rsidR="00FB2192" w:rsidRPr="0094300A">
        <w:rPr>
          <w:szCs w:val="20"/>
        </w:rPr>
        <w:t>posílit digitalizaci a odolnost vůči krizím.</w:t>
      </w:r>
    </w:p>
    <w:p w14:paraId="3108B1D1" w14:textId="77777777" w:rsidR="00FB2192" w:rsidRPr="006C2504" w:rsidRDefault="00FB2192" w:rsidP="00FB2192">
      <w:pPr>
        <w:pStyle w:val="HSNadpis4bezslovn"/>
      </w:pPr>
      <w:r w:rsidRPr="006C2504">
        <w:t>Souhrnná analýza potenciálu ekonomiky České republiky v dané oblasti (SWOT analýza):</w:t>
      </w:r>
    </w:p>
    <w:p w14:paraId="359A67E8" w14:textId="77777777" w:rsidR="00FB2192" w:rsidRPr="00DE56AF" w:rsidRDefault="00FB2192" w:rsidP="00FB2192">
      <w:pPr>
        <w:pStyle w:val="HSNadpis5bezslovn"/>
      </w:pPr>
      <w:r w:rsidRPr="00DE56AF">
        <w:t>Silné stránky:</w:t>
      </w:r>
    </w:p>
    <w:p w14:paraId="799F015D" w14:textId="7D060DC7" w:rsidR="00FB2192" w:rsidRPr="00195A11" w:rsidRDefault="00FB2192" w:rsidP="00FB2192">
      <w:pPr>
        <w:pStyle w:val="HSpodbod"/>
      </w:pPr>
      <w:r w:rsidRPr="00195A11">
        <w:t>Centralizovaný přístup ke koordinaci poskytování veřejných služeb.</w:t>
      </w:r>
    </w:p>
    <w:p w14:paraId="640439CE" w14:textId="77777777" w:rsidR="00FB2192" w:rsidRPr="00195A11" w:rsidRDefault="00FB2192" w:rsidP="00FB2192">
      <w:pPr>
        <w:pStyle w:val="HSpodbod"/>
      </w:pPr>
      <w:r w:rsidRPr="00195A11">
        <w:t>Pokrok v digitalizaci veřejné správy prostřednictvím projektů</w:t>
      </w:r>
      <w:r>
        <w:t xml:space="preserve"> a</w:t>
      </w:r>
      <w:r w:rsidRPr="00195A11">
        <w:t xml:space="preserve"> </w:t>
      </w:r>
      <w:r>
        <w:t xml:space="preserve">nástrojů, např. Portál občana, Czech point </w:t>
      </w:r>
      <w:r w:rsidRPr="00195A11">
        <w:t>a</w:t>
      </w:r>
      <w:r>
        <w:t> </w:t>
      </w:r>
      <w:r w:rsidRPr="00195A11">
        <w:t>dalších iniciativ zaměřených na zvýšení počtu digitálně dostupných služeb.</w:t>
      </w:r>
    </w:p>
    <w:p w14:paraId="112A78C4" w14:textId="29C3126B" w:rsidR="00FB2192" w:rsidRPr="00854B63" w:rsidRDefault="00FB2192" w:rsidP="00FB2192">
      <w:pPr>
        <w:pStyle w:val="HSpodbod"/>
      </w:pPr>
      <w:r w:rsidRPr="00195A11">
        <w:t>Prosazování kvality veřejné správy jako kontinuální proces</w:t>
      </w:r>
      <w:r w:rsidR="00C7722E">
        <w:t>,</w:t>
      </w:r>
      <w:r>
        <w:t xml:space="preserve"> standardizované řízení kvality ve služebních úřadech dle jednotné metodiky (Metodický pokyn pro řízení kvality ve služebních úřadech), zavedený systém sdílení dobré praxe v oblasti řízení kvality (ve formě k tomu určeného portálu), zavedený systém vyhodnocování naplňování kritérií zlepšování v oblasti kvality, pravidelný monitoring.</w:t>
      </w:r>
    </w:p>
    <w:p w14:paraId="2567C462" w14:textId="160DC6A9" w:rsidR="00FB2192" w:rsidRPr="00DE56AF" w:rsidRDefault="00FB2192" w:rsidP="0031053E">
      <w:pPr>
        <w:pStyle w:val="HSNadpis5bezslovn"/>
      </w:pPr>
      <w:r w:rsidRPr="00DE56AF">
        <w:t>Slabé stránky:</w:t>
      </w:r>
    </w:p>
    <w:p w14:paraId="18E59A87" w14:textId="0D9C1CA7" w:rsidR="00FB2192" w:rsidRDefault="00FB2192" w:rsidP="00FB2192">
      <w:pPr>
        <w:pStyle w:val="HSpodbod"/>
      </w:pPr>
      <w:r>
        <w:t xml:space="preserve">Zvyšující se rozdíly mezi jednotlivými regiony </w:t>
      </w:r>
      <w:r w:rsidR="00B10552">
        <w:t>České republiky</w:t>
      </w:r>
      <w:r>
        <w:t>, nerovnoměrné rozdělení poskytování veřejných služeb, nižší dostupnost veřejných služeb pro určité skupiny osob ve znevýhodněných regionech.</w:t>
      </w:r>
    </w:p>
    <w:p w14:paraId="3B65E5FD" w14:textId="77777777" w:rsidR="00FB2192" w:rsidRPr="00195A11" w:rsidRDefault="00FB2192" w:rsidP="00FB2192">
      <w:pPr>
        <w:pStyle w:val="HSpodbod"/>
      </w:pPr>
      <w:r w:rsidRPr="00195A11">
        <w:t>Nedostatečná koordinace mezi jednotlivými resorty v rámci státní správy.</w:t>
      </w:r>
    </w:p>
    <w:p w14:paraId="4F34F68C" w14:textId="11A080C3" w:rsidR="00FB2192" w:rsidRPr="00195A11" w:rsidRDefault="006D4811" w:rsidP="00FB2192">
      <w:pPr>
        <w:pStyle w:val="HSpodbod"/>
      </w:pPr>
      <w:r w:rsidRPr="006D4811">
        <w:t>Nedostatečně využitý potenciál možné meziobecní spolupráce při sdílení zdrojů</w:t>
      </w:r>
      <w:r w:rsidR="00FB2192" w:rsidRPr="00195A11">
        <w:t>, zajišťování veřejných služeb a podpoře místního rozvoje</w:t>
      </w:r>
      <w:r w:rsidR="00FB2192" w:rsidRPr="008124B3">
        <w:t>.</w:t>
      </w:r>
    </w:p>
    <w:p w14:paraId="3DE33852" w14:textId="27ADB15E" w:rsidR="00FB2192" w:rsidRPr="00195A11" w:rsidRDefault="00FB2192" w:rsidP="00FB2192">
      <w:pPr>
        <w:pStyle w:val="HSpodbod"/>
      </w:pPr>
      <w:r w:rsidRPr="00195A11">
        <w:t>Fragmentovaný přístup k výkonu funkcí na úrovni obcí ztěžuje poskytování služeb a realizaci investic.</w:t>
      </w:r>
    </w:p>
    <w:p w14:paraId="50F46500" w14:textId="77777777" w:rsidR="00FB2192" w:rsidRPr="00195A11" w:rsidRDefault="00FB2192" w:rsidP="00FB2192">
      <w:pPr>
        <w:pStyle w:val="HSpodbod"/>
      </w:pPr>
      <w:r w:rsidRPr="00195A11">
        <w:t xml:space="preserve">Nedostatečné ohodnocení kvalifikovaných odborníků a expertů (zejména </w:t>
      </w:r>
      <w:r>
        <w:t xml:space="preserve">v </w:t>
      </w:r>
      <w:r w:rsidRPr="00195A11">
        <w:t>oblastech jako IT, datových analýz a</w:t>
      </w:r>
      <w:r>
        <w:t> </w:t>
      </w:r>
      <w:r w:rsidRPr="00195A11">
        <w:t>právních služeb).</w:t>
      </w:r>
    </w:p>
    <w:p w14:paraId="4AD38837" w14:textId="69877D5C" w:rsidR="00FB2192" w:rsidRDefault="00FB2192" w:rsidP="00FB2192">
      <w:pPr>
        <w:pStyle w:val="HSpodbod"/>
      </w:pPr>
      <w:r w:rsidRPr="00195A11">
        <w:t>Rigidní zákonná úprava státní služby</w:t>
      </w:r>
      <w:r w:rsidR="00A82653">
        <w:t>, vč. odměňování státních zaměstnanců</w:t>
      </w:r>
      <w:r w:rsidRPr="00195A11">
        <w:t>.</w:t>
      </w:r>
    </w:p>
    <w:p w14:paraId="301D904E" w14:textId="1E02E183" w:rsidR="00FB2192" w:rsidRPr="00195A11" w:rsidRDefault="00FB2192" w:rsidP="00FB2192">
      <w:pPr>
        <w:pStyle w:val="HSpodbod"/>
      </w:pPr>
      <w:r>
        <w:t>Absence povinnosti zřízení pracovního/služebního místa určeného pr</w:t>
      </w:r>
      <w:r w:rsidRPr="0094300A">
        <w:t xml:space="preserve">o oblast řízení kvality </w:t>
      </w:r>
      <w:r w:rsidR="006561EC">
        <w:t>na</w:t>
      </w:r>
      <w:r>
        <w:t xml:space="preserve"> úřadech.</w:t>
      </w:r>
    </w:p>
    <w:p w14:paraId="7935D082" w14:textId="77777777" w:rsidR="00FB2192" w:rsidRPr="00DE56AF" w:rsidRDefault="00FB2192" w:rsidP="00FB2192">
      <w:pPr>
        <w:pStyle w:val="HSNadpis5bezslovn"/>
      </w:pPr>
      <w:r w:rsidRPr="00DE56AF">
        <w:t>Příležitosti:</w:t>
      </w:r>
    </w:p>
    <w:p w14:paraId="713D9628" w14:textId="77777777" w:rsidR="0008650D" w:rsidRPr="007F2E80" w:rsidRDefault="0008650D" w:rsidP="0008650D">
      <w:pPr>
        <w:pStyle w:val="HSpodbod"/>
      </w:pPr>
      <w:r w:rsidRPr="007F2E80">
        <w:t>Zvýšení důvěry občanů v právní stát.</w:t>
      </w:r>
    </w:p>
    <w:p w14:paraId="208CF2B4" w14:textId="2F45173F" w:rsidR="00FB2192" w:rsidRPr="00195A11" w:rsidRDefault="00FB2192" w:rsidP="00FB2192">
      <w:pPr>
        <w:pStyle w:val="HSpodbod"/>
      </w:pPr>
      <w:r w:rsidRPr="00195A11">
        <w:t>Vznik no</w:t>
      </w:r>
      <w:r>
        <w:t xml:space="preserve">vých </w:t>
      </w:r>
      <w:r w:rsidR="00A82653">
        <w:t xml:space="preserve">ústředních </w:t>
      </w:r>
      <w:r>
        <w:t xml:space="preserve">úřadů s celostátní působností (např. </w:t>
      </w:r>
      <w:r w:rsidRPr="00195A11">
        <w:t>dopravní a energetick</w:t>
      </w:r>
      <w:r>
        <w:t>ý</w:t>
      </w:r>
      <w:r w:rsidRPr="00195A11">
        <w:t xml:space="preserve"> stavební úřad</w:t>
      </w:r>
      <w:r>
        <w:t>)</w:t>
      </w:r>
      <w:r w:rsidRPr="00195A11">
        <w:t xml:space="preserve"> s cílem zrychlit </w:t>
      </w:r>
      <w:r>
        <w:t xml:space="preserve">a zkvalitnit </w:t>
      </w:r>
      <w:r w:rsidRPr="00195A11">
        <w:t>proces povolování staveb v</w:t>
      </w:r>
      <w:r>
        <w:t>e vybraných</w:t>
      </w:r>
      <w:r w:rsidRPr="00195A11">
        <w:t xml:space="preserve"> oblastech.</w:t>
      </w:r>
    </w:p>
    <w:p w14:paraId="5A47B762" w14:textId="14A21920" w:rsidR="00FB2192" w:rsidRPr="00195A11" w:rsidRDefault="00FB2192" w:rsidP="00FB2192">
      <w:pPr>
        <w:pStyle w:val="HSpodbod"/>
      </w:pPr>
      <w:r w:rsidRPr="00195A11">
        <w:t>Digitalizace založená na "zákaznickém přístupu" - zjednodušení a zpříjemnění zákaznické cesty</w:t>
      </w:r>
      <w:r w:rsidR="00DB7877">
        <w:t xml:space="preserve"> a automatizace procesů</w:t>
      </w:r>
      <w:r w:rsidRPr="00195A11">
        <w:t xml:space="preserve"> jako předpoklad úspěšné digitalizace.</w:t>
      </w:r>
    </w:p>
    <w:p w14:paraId="0C531C32" w14:textId="77777777" w:rsidR="00FB2192" w:rsidRPr="00195A11" w:rsidRDefault="00FB2192" w:rsidP="00FB2192">
      <w:pPr>
        <w:pStyle w:val="HSpodbod"/>
      </w:pPr>
      <w:r w:rsidRPr="008124B3">
        <w:t xml:space="preserve">Zavedení sdílení </w:t>
      </w:r>
      <w:r w:rsidRPr="00195A11">
        <w:t>kapacit a služeb</w:t>
      </w:r>
      <w:r w:rsidRPr="008124B3">
        <w:t xml:space="preserve"> mezi obcemi skrze institut </w:t>
      </w:r>
      <w:r w:rsidRPr="00195A11">
        <w:t>společenství obcí</w:t>
      </w:r>
      <w:r w:rsidRPr="008124B3">
        <w:t>.</w:t>
      </w:r>
    </w:p>
    <w:p w14:paraId="6B6D6BB9" w14:textId="77777777" w:rsidR="00FB2192" w:rsidRPr="00195A11" w:rsidRDefault="00FB2192" w:rsidP="00FB2192">
      <w:pPr>
        <w:pStyle w:val="HSpodbod"/>
      </w:pPr>
      <w:r w:rsidRPr="00195A11">
        <w:t>Opatření zaměřená na zvýšení odolnosti institucí veřejného sektoru, posílení transparentnosti, odpovědnosti a</w:t>
      </w:r>
      <w:r>
        <w:t> </w:t>
      </w:r>
      <w:r w:rsidRPr="00195A11">
        <w:t>prevenci nehospodárného nakládání s majetkem státu.</w:t>
      </w:r>
    </w:p>
    <w:p w14:paraId="5FCA95EF" w14:textId="77777777" w:rsidR="00FB2192" w:rsidRDefault="00FB2192" w:rsidP="00FB2192">
      <w:pPr>
        <w:pStyle w:val="HSpodbod"/>
      </w:pPr>
      <w:r w:rsidRPr="00195A11">
        <w:lastRenderedPageBreak/>
        <w:t>Spolupráce veřejného a soukromého sektoru (nejen) na digitalizaci – společné projekty typu Bankovní identita, Digitální technické mapy.</w:t>
      </w:r>
    </w:p>
    <w:p w14:paraId="79E6EA3B" w14:textId="407B8239" w:rsidR="00FB2192" w:rsidRDefault="00FB2192" w:rsidP="00FB2192">
      <w:pPr>
        <w:pStyle w:val="HSpodbod"/>
      </w:pPr>
      <w:r>
        <w:t>Posilování a rozvo</w:t>
      </w:r>
      <w:r w:rsidRPr="0094300A">
        <w:t>j sítě v oblasti řízení kvality ve</w:t>
      </w:r>
      <w:r>
        <w:t xml:space="preserve"> služebních úřadech za účelem udržení a rozvoje kritérií zlepšování dle jednotné metodiky pro řízení kvality ve služebních úřadech.</w:t>
      </w:r>
    </w:p>
    <w:p w14:paraId="2AB4D5AB" w14:textId="3642EC99" w:rsidR="00FB2192" w:rsidRPr="00195A11" w:rsidRDefault="00FB2192" w:rsidP="00FB2192">
      <w:pPr>
        <w:pStyle w:val="HSpodbod"/>
      </w:pPr>
      <w:r>
        <w:t>Zefektivnění procesů v oblasti státní služby.</w:t>
      </w:r>
    </w:p>
    <w:p w14:paraId="7675BAE3" w14:textId="77777777" w:rsidR="00FB2192" w:rsidRPr="00DE56AF" w:rsidRDefault="00FB2192" w:rsidP="00FB2192">
      <w:pPr>
        <w:pStyle w:val="HSNadpis5bezslovn"/>
      </w:pPr>
      <w:r w:rsidRPr="00DE56AF">
        <w:t>Hrozby:</w:t>
      </w:r>
    </w:p>
    <w:p w14:paraId="1D8F9865" w14:textId="73A62290" w:rsidR="00FB2192" w:rsidRDefault="00FB2192" w:rsidP="00FB2192">
      <w:pPr>
        <w:pStyle w:val="HSpodbod"/>
      </w:pPr>
      <w:r>
        <w:t>Různá kvalita poskytování veřejných služeb v jednotlivých regionech.</w:t>
      </w:r>
    </w:p>
    <w:p w14:paraId="28D60CF8" w14:textId="0BBCA6AA" w:rsidR="00FB2192" w:rsidRPr="00195A11" w:rsidRDefault="00A82653" w:rsidP="00FB2192">
      <w:pPr>
        <w:pStyle w:val="HSpodbod"/>
      </w:pPr>
      <w:r>
        <w:t>Zvýšený odliv kompetent</w:t>
      </w:r>
      <w:r w:rsidR="00AD73FC">
        <w:t>ních</w:t>
      </w:r>
      <w:r w:rsidR="00FB2192" w:rsidRPr="00195A11">
        <w:t xml:space="preserve"> zaměstnanců ze státní správy, a to kvůli nedostatečným možnostem motivace, zejména z finančního hlediska.</w:t>
      </w:r>
    </w:p>
    <w:p w14:paraId="36BC5B5D" w14:textId="77777777" w:rsidR="00FB2192" w:rsidRPr="00663CD2" w:rsidRDefault="00FB2192" w:rsidP="00FB2192">
      <w:pPr>
        <w:pStyle w:val="HSpodbod"/>
      </w:pPr>
      <w:r w:rsidRPr="00195A11">
        <w:t>Narůsta</w:t>
      </w:r>
      <w:r w:rsidRPr="00663CD2">
        <w:t>jící složitost problémů a očekávání občanů klade státní správě stále vyšší nároky na schopnost efektivní reakce.</w:t>
      </w:r>
    </w:p>
    <w:p w14:paraId="5A191732" w14:textId="605EE980" w:rsidR="00FB2192" w:rsidRPr="00663CD2" w:rsidRDefault="00FB2192" w:rsidP="007633AA">
      <w:pPr>
        <w:pStyle w:val="HSpodbod"/>
      </w:pPr>
      <w:r w:rsidRPr="00663CD2">
        <w:t xml:space="preserve">Kromě neschopnosti retence talentovaných lidí má </w:t>
      </w:r>
      <w:r w:rsidR="0021121A">
        <w:t>v</w:t>
      </w:r>
      <w:r w:rsidRPr="00663CD2">
        <w:t xml:space="preserve">eřejná správa </w:t>
      </w:r>
      <w:r w:rsidR="0073651B" w:rsidRPr="00663CD2">
        <w:t xml:space="preserve">často </w:t>
      </w:r>
      <w:r w:rsidRPr="00663CD2">
        <w:t>problém s atraktivitou, kdy nejen že není schopna kvalitní zaměstnance udržet, ale není je schopna ani nalákat do</w:t>
      </w:r>
      <w:r w:rsidR="007633AA">
        <w:t> </w:t>
      </w:r>
      <w:r w:rsidRPr="00663CD2">
        <w:t>výběrových řízení.</w:t>
      </w:r>
    </w:p>
    <w:p w14:paraId="0F9BB6E7" w14:textId="57AF99CB" w:rsidR="00FB2192" w:rsidRPr="00663CD2" w:rsidRDefault="00FB2192" w:rsidP="00FB2192">
      <w:pPr>
        <w:pStyle w:val="HSNadpis4bezslovn"/>
      </w:pPr>
      <w:r w:rsidRPr="00663CD2">
        <w:t>Strategické cíle:</w:t>
      </w:r>
    </w:p>
    <w:p w14:paraId="0B1E3076" w14:textId="03EF7FE4" w:rsidR="007471A1" w:rsidRPr="00663CD2" w:rsidRDefault="007471A1" w:rsidP="006561EC">
      <w:pPr>
        <w:pStyle w:val="HSpodbod"/>
      </w:pPr>
      <w:r w:rsidRPr="00663CD2">
        <w:t>Efektivnost výkonu veřejné správy</w:t>
      </w:r>
      <w:r w:rsidR="007633AA">
        <w:t>.</w:t>
      </w:r>
    </w:p>
    <w:p w14:paraId="2035C30F" w14:textId="4289446A" w:rsidR="007471A1" w:rsidRPr="006561EC" w:rsidRDefault="007471A1" w:rsidP="006561EC">
      <w:pPr>
        <w:pStyle w:val="HSpodbod"/>
        <w:numPr>
          <w:ilvl w:val="0"/>
          <w:numId w:val="0"/>
        </w:numPr>
        <w:ind w:left="360"/>
      </w:pPr>
      <w:r w:rsidRPr="006561EC">
        <w:t xml:space="preserve">Ukazatel: </w:t>
      </w:r>
      <w:r w:rsidRPr="00127B36">
        <w:rPr>
          <w:lang w:val="en-GB"/>
        </w:rPr>
        <w:t>World Governance Indicator</w:t>
      </w:r>
    </w:p>
    <w:p w14:paraId="610B087E" w14:textId="77777777" w:rsidR="006561EC" w:rsidRPr="0066782F" w:rsidRDefault="006561EC" w:rsidP="006561EC">
      <w:pPr>
        <w:pStyle w:val="HSNadpis4bezslovn"/>
      </w:pPr>
      <w:r w:rsidRPr="006C2504">
        <w:t>S</w:t>
      </w:r>
      <w:r>
        <w:t xml:space="preserve">pecifické </w:t>
      </w:r>
      <w:r w:rsidRPr="006C2504">
        <w:t>cíle:</w:t>
      </w:r>
    </w:p>
    <w:p w14:paraId="63C4784F" w14:textId="77777777" w:rsidR="00FB2192" w:rsidRPr="0082672B" w:rsidRDefault="00FB2192" w:rsidP="00FB2192">
      <w:pPr>
        <w:pStyle w:val="HSpodbod"/>
      </w:pPr>
      <w:r w:rsidRPr="0082672B">
        <w:t>Pro klienta dostupné a kvalitní služby veřejné správy.</w:t>
      </w:r>
    </w:p>
    <w:p w14:paraId="034857FA" w14:textId="6C02DA6B" w:rsidR="00FB2192" w:rsidRPr="0082672B" w:rsidRDefault="00FB2192" w:rsidP="00FB2192">
      <w:pPr>
        <w:pStyle w:val="HSpodbod"/>
      </w:pPr>
      <w:r w:rsidRPr="0082672B">
        <w:t>Efektivně fungující systém veřejné správy.</w:t>
      </w:r>
    </w:p>
    <w:p w14:paraId="0963CD2B" w14:textId="507D97F7" w:rsidR="00FB2192" w:rsidRPr="0082672B" w:rsidRDefault="00FB2192" w:rsidP="00FB2192">
      <w:pPr>
        <w:pStyle w:val="HSpodbod"/>
      </w:pPr>
      <w:r w:rsidRPr="0082672B">
        <w:t>Efektivně fungující instituce veřejné správy.</w:t>
      </w:r>
    </w:p>
    <w:p w14:paraId="54C298B4" w14:textId="7D3BC17C" w:rsidR="00FB2192" w:rsidRPr="0082672B" w:rsidRDefault="00FB2192" w:rsidP="00FB2192">
      <w:pPr>
        <w:pStyle w:val="HSpodbod"/>
      </w:pPr>
      <w:r w:rsidRPr="0082672B">
        <w:t>Strategické řízení státní služby.</w:t>
      </w:r>
    </w:p>
    <w:p w14:paraId="4869170F" w14:textId="787A9B51" w:rsidR="00FB2192" w:rsidRPr="0082672B" w:rsidRDefault="00FB2192" w:rsidP="00FB2192">
      <w:pPr>
        <w:pStyle w:val="HSpodbod"/>
      </w:pPr>
      <w:r w:rsidRPr="0082672B">
        <w:t>Kompetentní lidské zdroje ve veřejné správě.</w:t>
      </w:r>
    </w:p>
    <w:p w14:paraId="02A677AA" w14:textId="77777777" w:rsidR="00FB2192" w:rsidRDefault="00FB2192" w:rsidP="00FB2192">
      <w:pPr>
        <w:pStyle w:val="HSpodbod"/>
      </w:pPr>
      <w:r w:rsidRPr="0082672B">
        <w:t>Informovaní a účastnící se občané.</w:t>
      </w:r>
    </w:p>
    <w:p w14:paraId="53AF812C" w14:textId="77777777" w:rsidR="00FB2192" w:rsidRPr="006C2504" w:rsidRDefault="00FB2192" w:rsidP="00FB2192">
      <w:pPr>
        <w:pStyle w:val="HSNadpis4bezslovn"/>
      </w:pPr>
      <w:r w:rsidRPr="006C2504">
        <w:t>Hlavní opatření:</w:t>
      </w:r>
    </w:p>
    <w:p w14:paraId="0EFB5904" w14:textId="7D8002ED" w:rsidR="00FB2192" w:rsidRDefault="00990680" w:rsidP="00FB2192">
      <w:pPr>
        <w:pStyle w:val="HSpodbod"/>
      </w:pPr>
      <w:r>
        <w:t>Na základě robustní analýzy r</w:t>
      </w:r>
      <w:r w:rsidR="00FB2192">
        <w:t xml:space="preserve">eformovat </w:t>
      </w:r>
      <w:r w:rsidR="00FB2192" w:rsidRPr="00D71908">
        <w:t>veřejn</w:t>
      </w:r>
      <w:r w:rsidR="00FB2192">
        <w:t>ou</w:t>
      </w:r>
      <w:r w:rsidR="00FB2192" w:rsidRPr="00D71908">
        <w:t xml:space="preserve"> správ</w:t>
      </w:r>
      <w:r w:rsidR="00FB2192">
        <w:t>u</w:t>
      </w:r>
      <w:r w:rsidR="00FB2192" w:rsidRPr="00D71908">
        <w:t>, tj. výkon státní správy a samosprávy</w:t>
      </w:r>
      <w:r>
        <w:t xml:space="preserve"> za účelem zvýšení efektivity poskytování veřejných služeb</w:t>
      </w:r>
      <w:r w:rsidR="00FB2192" w:rsidRPr="00D71908">
        <w:t>.</w:t>
      </w:r>
    </w:p>
    <w:p w14:paraId="3944CE37" w14:textId="77777777" w:rsidR="00B660D8" w:rsidRPr="00D71908" w:rsidRDefault="00B660D8" w:rsidP="00B660D8">
      <w:pPr>
        <w:pStyle w:val="HSpodbod"/>
      </w:pPr>
      <w:r w:rsidRPr="00D71908">
        <w:t>Revi</w:t>
      </w:r>
      <w:r>
        <w:t>dovat</w:t>
      </w:r>
      <w:r w:rsidRPr="00D71908">
        <w:t xml:space="preserve"> agend</w:t>
      </w:r>
      <w:r>
        <w:t>y</w:t>
      </w:r>
      <w:r w:rsidRPr="00D71908">
        <w:t xml:space="preserve"> státu</w:t>
      </w:r>
      <w:r>
        <w:t xml:space="preserve">, novelizovat </w:t>
      </w:r>
      <w:r w:rsidRPr="00D71908">
        <w:t>kompetenční zákon či</w:t>
      </w:r>
      <w:r>
        <w:t xml:space="preserve"> zpracovat</w:t>
      </w:r>
      <w:r w:rsidRPr="00D71908">
        <w:t xml:space="preserve"> kompetenční zákon zcela nový</w:t>
      </w:r>
      <w:r>
        <w:t xml:space="preserve"> odpovídající budoucím potřebám</w:t>
      </w:r>
      <w:r w:rsidRPr="00D71908">
        <w:t>.</w:t>
      </w:r>
    </w:p>
    <w:p w14:paraId="1FA7D5D8" w14:textId="1008A07F" w:rsidR="00B660D8" w:rsidRPr="007F2E80" w:rsidRDefault="00B660D8" w:rsidP="00B660D8">
      <w:pPr>
        <w:pStyle w:val="HSpodbod"/>
      </w:pPr>
      <w:r>
        <w:t>Vytvořit</w:t>
      </w:r>
      <w:r w:rsidRPr="007F2E80">
        <w:t xml:space="preserve"> dopadové studie v oblasti státní služby a </w:t>
      </w:r>
      <w:r>
        <w:t xml:space="preserve">nastavit odpovídající </w:t>
      </w:r>
      <w:r w:rsidRPr="007F2E80">
        <w:t xml:space="preserve">akční plán, který reflektuje aktuálně </w:t>
      </w:r>
      <w:r>
        <w:t xml:space="preserve">zjištěné </w:t>
      </w:r>
      <w:r w:rsidRPr="007F2E80">
        <w:t>potřeby a doporučení OECD směrem k efektivnější veřejné správě v </w:t>
      </w:r>
      <w:r>
        <w:t>České republice</w:t>
      </w:r>
      <w:r w:rsidRPr="007F2E80">
        <w:t>.</w:t>
      </w:r>
    </w:p>
    <w:p w14:paraId="26522AE8" w14:textId="00FFC0BE" w:rsidR="00B660D8" w:rsidRDefault="00B660D8" w:rsidP="00B660D8">
      <w:pPr>
        <w:pStyle w:val="HSpodbod"/>
      </w:pPr>
      <w:r>
        <w:t>Uplatňovat</w:t>
      </w:r>
      <w:r w:rsidRPr="00D71908">
        <w:t xml:space="preserve"> evidence-</w:t>
      </w:r>
      <w:proofErr w:type="spellStart"/>
      <w:r w:rsidRPr="00D71908">
        <w:t>based</w:t>
      </w:r>
      <w:proofErr w:type="spellEnd"/>
      <w:r w:rsidRPr="00D71908">
        <w:t xml:space="preserve"> rozhodování a analytické práce ve veřejné správě.</w:t>
      </w:r>
    </w:p>
    <w:p w14:paraId="73F26FE6" w14:textId="03699806" w:rsidR="00342AC3" w:rsidRDefault="00342AC3" w:rsidP="00FB2192">
      <w:pPr>
        <w:pStyle w:val="HSpodbod"/>
      </w:pPr>
      <w:r>
        <w:t>Z</w:t>
      </w:r>
      <w:r w:rsidRPr="00342AC3">
        <w:t xml:space="preserve">výšit důraz na systémově správné provádění </w:t>
      </w:r>
      <w:r w:rsidRPr="003D4C39">
        <w:t>hodnocení dopadů regulace</w:t>
      </w:r>
      <w:r w:rsidRPr="00342AC3">
        <w:t xml:space="preserve"> </w:t>
      </w:r>
      <w:r>
        <w:t>(</w:t>
      </w:r>
      <w:r w:rsidRPr="00342AC3">
        <w:t>RIA</w:t>
      </w:r>
      <w:r>
        <w:t>)</w:t>
      </w:r>
      <w:r w:rsidRPr="00342AC3">
        <w:t xml:space="preserve"> před přijímáním nové legislativy a následné vyhodnocování, zda po implementaci legislativy bylo původních záměrů dosaženo.</w:t>
      </w:r>
    </w:p>
    <w:p w14:paraId="5B92B4BC" w14:textId="50BADAA2" w:rsidR="00FB2192" w:rsidRPr="00D71908" w:rsidRDefault="00FB2192" w:rsidP="00FB2192">
      <w:pPr>
        <w:pStyle w:val="HSpodbod"/>
      </w:pPr>
      <w:r>
        <w:t xml:space="preserve">Motivovat </w:t>
      </w:r>
      <w:r w:rsidR="006D4811">
        <w:t xml:space="preserve">obce </w:t>
      </w:r>
      <w:r>
        <w:t>ke spolupráci prostřednictvím s</w:t>
      </w:r>
      <w:r w:rsidRPr="00D71908">
        <w:t xml:space="preserve">polečenství obcí. </w:t>
      </w:r>
      <w:r>
        <w:t xml:space="preserve">Rozšířit </w:t>
      </w:r>
      <w:r w:rsidRPr="00D71908">
        <w:t>kompetenc</w:t>
      </w:r>
      <w:r>
        <w:t>e</w:t>
      </w:r>
      <w:r w:rsidRPr="00D71908">
        <w:t xml:space="preserve"> společenství obcí, které vykoná</w:t>
      </w:r>
      <w:r>
        <w:t xml:space="preserve">vají </w:t>
      </w:r>
      <w:r w:rsidRPr="00D71908">
        <w:t>vlastním jménem a na vlastní odpovědnost.</w:t>
      </w:r>
    </w:p>
    <w:p w14:paraId="3016810B" w14:textId="77777777" w:rsidR="009B3130" w:rsidRDefault="009B3130" w:rsidP="00FB2192">
      <w:pPr>
        <w:pStyle w:val="HSpodbod"/>
      </w:pPr>
      <w:r w:rsidRPr="009B3130">
        <w:t>V souladu s principem partnerství spolupracovat se samosprávami a zahrnovat je do souvisejících rozhodovacích procesů.</w:t>
      </w:r>
    </w:p>
    <w:p w14:paraId="66A46D9E" w14:textId="6169BA21" w:rsidR="00FB2192" w:rsidRPr="007F2E80" w:rsidRDefault="00FB2192" w:rsidP="00FB2192">
      <w:pPr>
        <w:pStyle w:val="HSpodbod"/>
      </w:pPr>
      <w:r>
        <w:t xml:space="preserve">Monitorovat </w:t>
      </w:r>
      <w:r w:rsidRPr="007F2E80">
        <w:t>naplňování standardu řízení kvality ve služebních úřadech</w:t>
      </w:r>
      <w:r>
        <w:t>.</w:t>
      </w:r>
    </w:p>
    <w:p w14:paraId="4D0E3FDB" w14:textId="77777777" w:rsidR="00FB2192" w:rsidRPr="007F2E80" w:rsidRDefault="00FB2192" w:rsidP="00FB2192">
      <w:pPr>
        <w:pStyle w:val="HSpodbod"/>
      </w:pPr>
      <w:r>
        <w:t>Provádět</w:t>
      </w:r>
      <w:r w:rsidRPr="007F2E80">
        <w:t xml:space="preserve"> externí nezaujatý přezkum v oblasti řízení kvality ve služebních úřadech.</w:t>
      </w:r>
    </w:p>
    <w:p w14:paraId="36B49F42" w14:textId="77777777" w:rsidR="00FB2192" w:rsidRPr="006C2504" w:rsidRDefault="00FB2192" w:rsidP="00FB2192">
      <w:pPr>
        <w:pStyle w:val="HSNadpis4bezslovn"/>
      </w:pPr>
      <w:r w:rsidRPr="006C2504">
        <w:t>Naplňující strategie:</w:t>
      </w:r>
    </w:p>
    <w:p w14:paraId="4A4E73A1" w14:textId="5A8B326D" w:rsidR="00FB2192" w:rsidRPr="007F2E80" w:rsidRDefault="00FB2192" w:rsidP="00FB2192">
      <w:pPr>
        <w:pStyle w:val="HSpodbod"/>
      </w:pPr>
      <w:r w:rsidRPr="007F2E80">
        <w:t>Akční plán rozvoje státní služby a nová koncepce jejich vybraných aspektů (zejm. v oblasti náboru manažerů a</w:t>
      </w:r>
      <w:r>
        <w:t> </w:t>
      </w:r>
      <w:r w:rsidRPr="007F2E80">
        <w:t>specialistů ve státní službě)</w:t>
      </w:r>
    </w:p>
    <w:p w14:paraId="3EB6BA5C" w14:textId="18BE6090" w:rsidR="00FB2192" w:rsidRPr="00BB6F65" w:rsidRDefault="00FB2192" w:rsidP="00BB6F65">
      <w:pPr>
        <w:pStyle w:val="HSpodbod"/>
      </w:pPr>
      <w:r w:rsidRPr="007F2E80">
        <w:t xml:space="preserve">Metodický pokyn pro řízení </w:t>
      </w:r>
      <w:r w:rsidRPr="00BB6F65">
        <w:t>kvality ve služebních úřadech</w:t>
      </w:r>
    </w:p>
    <w:p w14:paraId="7ECBA7E0" w14:textId="160A0068" w:rsidR="00BB6F65" w:rsidRPr="00BB6F65" w:rsidRDefault="00FB2192" w:rsidP="0031053E">
      <w:pPr>
        <w:pStyle w:val="HSpodbod"/>
      </w:pPr>
      <w:r w:rsidRPr="00BB6F65">
        <w:t>Koncepce Klientsky orientovaná veřejná správa 2030</w:t>
      </w:r>
      <w:bookmarkStart w:id="51" w:name="_Toc164771572"/>
      <w:r w:rsidR="0031053E">
        <w:br w:type="page"/>
      </w:r>
    </w:p>
    <w:p w14:paraId="4D28ACC0" w14:textId="60D72993" w:rsidR="00BB6F65" w:rsidRDefault="00BB6F65" w:rsidP="00BB6F65">
      <w:pPr>
        <w:pStyle w:val="HSNadpisIII"/>
      </w:pPr>
      <w:bookmarkStart w:id="52" w:name="_Toc174703077"/>
      <w:r>
        <w:lastRenderedPageBreak/>
        <w:t>Strategická infrastruktura</w:t>
      </w:r>
      <w:bookmarkEnd w:id="51"/>
      <w:bookmarkEnd w:id="52"/>
    </w:p>
    <w:p w14:paraId="16DE407F" w14:textId="70EBB016" w:rsidR="00BB6F65" w:rsidRDefault="00BB6F65" w:rsidP="004D706E">
      <w:r w:rsidRPr="00547613">
        <w:t>Strategická infrastruktura</w:t>
      </w:r>
      <w:r w:rsidRPr="00444D3C">
        <w:t xml:space="preserve"> je důležitá pro fungování státu, zajištění jeho národní bezpečnosti, ekonomické stability a soudržnosti. Zahrnuje klíčové fyzické a digitální systémy a sítě, širokou škálu zařízení a služeb, které mají strategický význam pro fungování státu jako celku. Jedním z hlavních cílů rozvoje státu je jeho zapojení do společného systému tvorby a spotřeby hodnot. Vhodně navržená a spolehlivá infrastruktura je podmínkou fungování odolné ekonomiky, podnikání i kvality života. Proto je v popředí zájmu státu infrastrukturu neustále rozvíjet a modernizovat. Vzhledem k jejímu strategickému </w:t>
      </w:r>
      <w:r w:rsidR="005F1929">
        <w:t>významu</w:t>
      </w:r>
      <w:r w:rsidR="005F1929" w:rsidRPr="00444D3C">
        <w:t xml:space="preserve"> </w:t>
      </w:r>
      <w:r w:rsidRPr="00444D3C">
        <w:t xml:space="preserve">pro fungování státu je třeba do ní soustavně a dlouhodobě efektivně investovat </w:t>
      </w:r>
      <w:r w:rsidR="005F1929">
        <w:t>dostatečné</w:t>
      </w:r>
      <w:r w:rsidR="005F1929" w:rsidRPr="00444D3C">
        <w:t xml:space="preserve"> </w:t>
      </w:r>
      <w:r w:rsidRPr="00444D3C">
        <w:t>množství finančních prostředků.</w:t>
      </w:r>
      <w:r w:rsidR="004D706E">
        <w:t xml:space="preserve"> Strategická infrastruktura </w:t>
      </w:r>
      <w:r w:rsidR="005F1929">
        <w:t xml:space="preserve">hraje významnou roli pro realizaci </w:t>
      </w:r>
      <w:r w:rsidR="004D706E">
        <w:rPr>
          <w:color w:val="auto"/>
          <w:szCs w:val="20"/>
        </w:rPr>
        <w:t>digitální a zelen</w:t>
      </w:r>
      <w:r w:rsidR="005F1929">
        <w:rPr>
          <w:color w:val="auto"/>
          <w:szCs w:val="20"/>
        </w:rPr>
        <w:t>é</w:t>
      </w:r>
      <w:r w:rsidR="004D706E">
        <w:rPr>
          <w:color w:val="auto"/>
          <w:szCs w:val="20"/>
        </w:rPr>
        <w:t xml:space="preserve"> transformac</w:t>
      </w:r>
      <w:r w:rsidR="005F1929">
        <w:rPr>
          <w:color w:val="auto"/>
          <w:szCs w:val="20"/>
        </w:rPr>
        <w:t>e</w:t>
      </w:r>
      <w:r w:rsidR="004D706E">
        <w:rPr>
          <w:color w:val="auto"/>
          <w:szCs w:val="20"/>
        </w:rPr>
        <w:t>,</w:t>
      </w:r>
      <w:r w:rsidR="004D706E">
        <w:t xml:space="preserve"> tzv. dvojí tranzic</w:t>
      </w:r>
      <w:r w:rsidR="005F1929">
        <w:t>e</w:t>
      </w:r>
      <w:r w:rsidR="004D706E">
        <w:t xml:space="preserve">, </w:t>
      </w:r>
      <w:r w:rsidR="005F1929">
        <w:t xml:space="preserve">k naplnění závazků v oblasti klimatu a ochrany životního prostředí </w:t>
      </w:r>
      <w:r w:rsidR="004D706E">
        <w:t>za pomoci digitálních řešení.</w:t>
      </w:r>
    </w:p>
    <w:p w14:paraId="5329BDF5" w14:textId="5F0F649E" w:rsidR="004D706E" w:rsidRDefault="001C453C" w:rsidP="00BB6F65">
      <w:r>
        <w:t>Mezi strategickou infrastrukturu lze zahrnout e</w:t>
      </w:r>
      <w:r w:rsidR="00BB6F65" w:rsidRPr="00547613">
        <w:t>nergetick</w:t>
      </w:r>
      <w:r>
        <w:t>ou, dopravní a digitální</w:t>
      </w:r>
      <w:r w:rsidR="00BB6F65" w:rsidRPr="00547613">
        <w:t xml:space="preserve"> infrastruktur</w:t>
      </w:r>
      <w:r>
        <w:t>u</w:t>
      </w:r>
      <w:r w:rsidR="00342AC3">
        <w:t>, které budou</w:t>
      </w:r>
      <w:r w:rsidR="005F1929" w:rsidRPr="00DE0059">
        <w:t xml:space="preserve"> </w:t>
      </w:r>
      <w:r w:rsidR="005F1929">
        <w:t>v návaznosti na výše uvedené požadavky</w:t>
      </w:r>
      <w:r w:rsidR="00342AC3">
        <w:t xml:space="preserve"> vyžadovat </w:t>
      </w:r>
      <w:r w:rsidR="00342AC3" w:rsidRPr="00342AC3">
        <w:t>velké finanční nároky</w:t>
      </w:r>
      <w:r>
        <w:t>.</w:t>
      </w:r>
      <w:r w:rsidR="00BB6F65">
        <w:t xml:space="preserve"> </w:t>
      </w:r>
      <w:r>
        <w:t xml:space="preserve">Energetická infrastruktura </w:t>
      </w:r>
      <w:r w:rsidR="00BB6F65">
        <w:t>zajišťuje stabilní a nepřetržité dodávky energií</w:t>
      </w:r>
      <w:r w:rsidR="00AA769C">
        <w:t>.</w:t>
      </w:r>
      <w:r>
        <w:t xml:space="preserve"> Česká republika by měla usilovat o r</w:t>
      </w:r>
      <w:r w:rsidR="00BB6F65">
        <w:t>ozmanit</w:t>
      </w:r>
      <w:r>
        <w:t>ou</w:t>
      </w:r>
      <w:r w:rsidR="00BB6F65">
        <w:t>, kvalitní a dobře fungující infrastruktur</w:t>
      </w:r>
      <w:r>
        <w:t>u, která bude</w:t>
      </w:r>
      <w:r w:rsidR="00BB6F65">
        <w:t xml:space="preserve"> sniž</w:t>
      </w:r>
      <w:r>
        <w:t>ovat</w:t>
      </w:r>
      <w:r w:rsidR="00BB6F65">
        <w:t xml:space="preserve"> závislost na dovozu energi</w:t>
      </w:r>
      <w:r>
        <w:t>í</w:t>
      </w:r>
      <w:r w:rsidR="00BB6F65">
        <w:t>, zvyš</w:t>
      </w:r>
      <w:r>
        <w:t>ovat</w:t>
      </w:r>
      <w:r w:rsidR="00BB6F65">
        <w:t xml:space="preserve"> odolnost vůči výpadkům a krizím,</w:t>
      </w:r>
      <w:r w:rsidR="00BB6F65" w:rsidRPr="003421D5">
        <w:t xml:space="preserve"> </w:t>
      </w:r>
      <w:r>
        <w:t xml:space="preserve">a která </w:t>
      </w:r>
      <w:r w:rsidR="00BB6F65">
        <w:t>přitahuje investice a podporuje inovace v</w:t>
      </w:r>
      <w:r w:rsidR="007633AA">
        <w:t> </w:t>
      </w:r>
      <w:r w:rsidR="00BB6F65">
        <w:t>oblasti energetiky</w:t>
      </w:r>
      <w:r>
        <w:t>.</w:t>
      </w:r>
      <w:r w:rsidR="00BB6F65">
        <w:t xml:space="preserve"> Investice do modernizace </w:t>
      </w:r>
      <w:r w:rsidR="00F72C73">
        <w:t xml:space="preserve">energetické </w:t>
      </w:r>
      <w:r w:rsidR="00BB6F65">
        <w:t xml:space="preserve">infrastruktury a přechod na čisté zdroje energie jsou klíčové pro </w:t>
      </w:r>
      <w:r w:rsidR="005F1929">
        <w:t>splnění závazku EU k dosažení klimatické neutrality do roku 2050</w:t>
      </w:r>
      <w:r w:rsidR="00BB6F65">
        <w:t>.</w:t>
      </w:r>
      <w:r w:rsidR="00F72C73">
        <w:t xml:space="preserve"> </w:t>
      </w:r>
    </w:p>
    <w:p w14:paraId="542018EE" w14:textId="193E337A" w:rsidR="004D706E" w:rsidRDefault="00431F42" w:rsidP="00431F42">
      <w:r w:rsidRPr="00547613">
        <w:t>Dopravní infrastruktura</w:t>
      </w:r>
      <w:r>
        <w:t xml:space="preserve"> je klíčovou součástí národního hospodářství</w:t>
      </w:r>
      <w:r w:rsidR="00F72C73">
        <w:t>, jelikož</w:t>
      </w:r>
      <w:r>
        <w:t xml:space="preserve"> zabezpečuj</w:t>
      </w:r>
      <w:r w:rsidR="00F72C73">
        <w:t>e</w:t>
      </w:r>
      <w:r>
        <w:t xml:space="preserve"> fungování celé společnosti. Efektivní a moderní dopravní sítě umožňují rychlý a levný pohyb zboží a osob, což je klíčové nejen pro fungování průmyslu a obchodu, ale i pro další odvětví národního hospodářství i mobilitu občanů. Zlepšuje přístup na trhy a zvyšuje konkurenceschopnost i kvalitu života obyvatel</w:t>
      </w:r>
      <w:r w:rsidR="00F72C73">
        <w:t xml:space="preserve"> a také z</w:t>
      </w:r>
      <w:r>
        <w:t>ajišťuje rovnoměrnější rozvoj a přístup k</w:t>
      </w:r>
      <w:r w:rsidR="007633AA">
        <w:t> </w:t>
      </w:r>
      <w:r>
        <w:t>příležitostem a službám. Moderní a efektivní dopravní infrastruktura napomáhá ke snížení spotřeby pohonných hmot a souběžně i emisí skleníkových plynů. Investice do veřejné dopravy snižují závislost na osobních automobilech a přispívají k udržitelnějším způsobům dopravy.</w:t>
      </w:r>
      <w:r w:rsidR="00F72C73">
        <w:t xml:space="preserve"> </w:t>
      </w:r>
    </w:p>
    <w:p w14:paraId="5CE350ED" w14:textId="31B19009" w:rsidR="00BB6F65" w:rsidRDefault="00BB6F65" w:rsidP="00BB6F65">
      <w:r w:rsidRPr="00547613">
        <w:t>Digitální infrastruktura</w:t>
      </w:r>
      <w:r>
        <w:t xml:space="preserve"> je základním pilířem moderní ekonomiky a společnosti. Zahrnuje technologické a fyzické komponenty, které umožňují elektronickou komunikaci a přenos dat. Podporuje inovace, optimalizace procesů a podnikání. Vytváří nové obchodní modely a startupy, automatizuje rutinní procesy, umožňuje práci na dálku a</w:t>
      </w:r>
      <w:r w:rsidR="00B671BB">
        <w:t> </w:t>
      </w:r>
      <w:r>
        <w:t>globální spolupráci, což zvyšuje produktivitu práce a flexibilitu pracovních procesů. Rozvíjí nová odvětí, jako je</w:t>
      </w:r>
      <w:r w:rsidR="007633AA">
        <w:t> </w:t>
      </w:r>
      <w:r>
        <w:t>E-</w:t>
      </w:r>
      <w:proofErr w:type="spellStart"/>
      <w:r>
        <w:t>commerce</w:t>
      </w:r>
      <w:proofErr w:type="spellEnd"/>
      <w:r>
        <w:t>, finanční technologie a digitální finance. Podílí se na snazším přístupu k informacím, podporuje a</w:t>
      </w:r>
      <w:r w:rsidR="00B671BB">
        <w:t> </w:t>
      </w:r>
      <w:r>
        <w:t>zlepšuje přístup ke vzdělání. Ve zdravotnictví zvyšuje dostupnost, koordinaci a kvalitu zdravotních služeb poskytováním zdravotní péče na dálku, digitalizaci zdravotních záznamů a zlepšuje kvalitu a koordinaci péče. Ve</w:t>
      </w:r>
      <w:r w:rsidR="007633AA">
        <w:t> </w:t>
      </w:r>
      <w:r>
        <w:t>společnosti umožnuje sociální interakce a občanské part</w:t>
      </w:r>
      <w:r w:rsidR="00F72C73">
        <w:t>i</w:t>
      </w:r>
      <w:r>
        <w:t>cipace, lepší přístup ke kulturním a zábavním službám a zdrojům. Investice do digitální infrastruktury jsou klíčové pro zajištění udržitelného ekonomického růstu a zlepšení kvality života ve společnosti.</w:t>
      </w:r>
    </w:p>
    <w:p w14:paraId="17A47B20" w14:textId="6C93E1F1" w:rsidR="00BB6F65" w:rsidRDefault="00F72C73" w:rsidP="00BB6F65">
      <w:r>
        <w:t>Důležitá je také e</w:t>
      </w:r>
      <w:r w:rsidR="00BB6F65" w:rsidRPr="00547613">
        <w:t>konomická bezpečnost a obchodní strategie</w:t>
      </w:r>
      <w:r>
        <w:t>, které</w:t>
      </w:r>
      <w:r w:rsidR="00BB6F65">
        <w:t xml:space="preserve"> napomáhají k udržení stability a prosperit</w:t>
      </w:r>
      <w:r w:rsidR="00FF4481">
        <w:t>y</w:t>
      </w:r>
      <w:r w:rsidR="00BB6F65">
        <w:t>. Zahrnují minimalizaci rizik spojených s ekonomickými krizemi a ochranu proti nežádoucím vlivům globálního trhu před riziky a hrozbami, které mohou negativně ovlivnit jejich finanční stabilitu a blahobyt. Správně nastavené obchodní strategie mohou přispět k tvorbě nových pracovních míst a udržení zaměstnanosti v dané oblasti. To</w:t>
      </w:r>
      <w:r w:rsidR="007633AA">
        <w:t> </w:t>
      </w:r>
      <w:r w:rsidR="00BB6F65">
        <w:t>působí kladně na místní ekonomiku a životní úroveň obyvatelstva. Firmám zajišťují konkurenceschopnost a</w:t>
      </w:r>
      <w:r w:rsidR="007633AA">
        <w:t> </w:t>
      </w:r>
      <w:r w:rsidR="00BB6F65">
        <w:t>přizpůsobení se změnám v</w:t>
      </w:r>
      <w:r w:rsidR="00B671BB">
        <w:t> </w:t>
      </w:r>
      <w:r w:rsidR="00BB6F65">
        <w:t>obchodním prostředí.</w:t>
      </w:r>
    </w:p>
    <w:p w14:paraId="6D7E1BF4" w14:textId="25F62AA1" w:rsidR="0031053E" w:rsidRDefault="00BB6F65" w:rsidP="00BB6F65">
      <w:r w:rsidRPr="00547613">
        <w:t>Surovinová bezpečnost</w:t>
      </w:r>
      <w:r w:rsidR="005F1929">
        <w:t xml:space="preserve"> a udržitelné využívání zdrojů</w:t>
      </w:r>
      <w:r>
        <w:t xml:space="preserve"> j</w:t>
      </w:r>
      <w:r w:rsidR="005F1929">
        <w:t>sou</w:t>
      </w:r>
      <w:r>
        <w:t xml:space="preserve"> </w:t>
      </w:r>
      <w:r w:rsidR="005F1929">
        <w:t xml:space="preserve">významnou součástí politiky </w:t>
      </w:r>
      <w:proofErr w:type="spellStart"/>
      <w:r w:rsidR="005F1929">
        <w:t>státu</w:t>
      </w:r>
      <w:r>
        <w:t>zahrnující</w:t>
      </w:r>
      <w:proofErr w:type="spellEnd"/>
      <w:r>
        <w:t xml:space="preserve"> dostupnost, stabilitu a udržitelnost zásob surovin, které jsou klíčové pro průmysl a ekonomiku</w:t>
      </w:r>
      <w:r w:rsidR="00F72C73">
        <w:t xml:space="preserve"> České republiky</w:t>
      </w:r>
      <w:r>
        <w:t>. Udržuje kontinuitu průmyslové výroby</w:t>
      </w:r>
      <w:r w:rsidR="00F72C73">
        <w:t>,</w:t>
      </w:r>
      <w:r>
        <w:t xml:space="preserve"> zajišťuje energetickou bezpečnost státu</w:t>
      </w:r>
      <w:r w:rsidR="00F72C73">
        <w:t xml:space="preserve"> a </w:t>
      </w:r>
      <w:r>
        <w:t xml:space="preserve">je </w:t>
      </w:r>
      <w:r w:rsidR="00F72C73">
        <w:t>nepostradatelná pro zajištění</w:t>
      </w:r>
      <w:r>
        <w:t xml:space="preserve"> stabilit</w:t>
      </w:r>
      <w:r w:rsidR="00F72C73">
        <w:t>y</w:t>
      </w:r>
      <w:r>
        <w:t>, prosperit</w:t>
      </w:r>
      <w:r w:rsidR="00F72C73">
        <w:t>y</w:t>
      </w:r>
      <w:r>
        <w:t xml:space="preserve"> a udržiteln</w:t>
      </w:r>
      <w:r w:rsidR="0059791D">
        <w:t>ého</w:t>
      </w:r>
      <w:r>
        <w:t xml:space="preserve"> rozvoj</w:t>
      </w:r>
      <w:r w:rsidR="0059791D">
        <w:t>e</w:t>
      </w:r>
      <w:r>
        <w:t xml:space="preserve"> ekonomiky a společnosti jako celku.</w:t>
      </w:r>
      <w:r w:rsidR="0031053E">
        <w:br w:type="page"/>
      </w:r>
    </w:p>
    <w:p w14:paraId="7448BC4A" w14:textId="77777777" w:rsidR="00B671BB" w:rsidRDefault="00B671BB" w:rsidP="004F1B00">
      <w:pPr>
        <w:pStyle w:val="HSNadpisIII2"/>
      </w:pPr>
      <w:bookmarkStart w:id="53" w:name="_Toc174703078"/>
      <w:r>
        <w:lastRenderedPageBreak/>
        <w:t>Energetická infrastruktura a dekarbonizace</w:t>
      </w:r>
      <w:bookmarkEnd w:id="53"/>
    </w:p>
    <w:p w14:paraId="77912948" w14:textId="492BEBA3" w:rsidR="007536DB" w:rsidRDefault="007536DB" w:rsidP="007536DB">
      <w:r>
        <w:t xml:space="preserve">Bezpečné (z hlediska stability a spolehlivosti), cenově dostupné a environmentálně udržitelné zásobování energií patří mezi klíčové podmínky pro chod ekonomiky. Tato trojice zásad tvoří </w:t>
      </w:r>
      <w:r w:rsidR="009468CF">
        <w:t>„</w:t>
      </w:r>
      <w:r>
        <w:t>energetické trilema</w:t>
      </w:r>
      <w:r w:rsidR="009468CF">
        <w:t>“</w:t>
      </w:r>
      <w:r>
        <w:t xml:space="preserve"> ve smyslu nemožnosti </w:t>
      </w:r>
      <w:r w:rsidR="004F1B00">
        <w:t xml:space="preserve">jejich </w:t>
      </w:r>
      <w:r>
        <w:t>současného dosažení v plné míře.</w:t>
      </w:r>
      <w:r w:rsidRPr="003D6085">
        <w:t xml:space="preserve"> Na jeho základě jsou pak vymezeny tři vrcholové strategické cíle, jimiž jsou: i) bezpečnost</w:t>
      </w:r>
      <w:r>
        <w:t xml:space="preserve"> dodávek energie</w:t>
      </w:r>
      <w:r w:rsidRPr="003D6085">
        <w:t xml:space="preserve">; </w:t>
      </w:r>
      <w:proofErr w:type="spellStart"/>
      <w:r w:rsidRPr="003D6085">
        <w:t>ii</w:t>
      </w:r>
      <w:proofErr w:type="spellEnd"/>
      <w:r w:rsidRPr="003D6085">
        <w:t xml:space="preserve">) konkurenceschopnost a sociální přijatelnost a </w:t>
      </w:r>
      <w:proofErr w:type="spellStart"/>
      <w:r w:rsidRPr="003D6085">
        <w:t>iii</w:t>
      </w:r>
      <w:proofErr w:type="spellEnd"/>
      <w:r w:rsidRPr="003D6085">
        <w:t>) udržitelnost nakládání s energií.</w:t>
      </w:r>
      <w:r>
        <w:t xml:space="preserve"> Hlavním smyslem energetické politiky je tedy vyvážení těchto tří vrcholových cílů, a to se zohledněním výchozího stavu. </w:t>
      </w:r>
      <w:r w:rsidRPr="000A6C9F">
        <w:t>K dosažení této vize je pak definováno především pět</w:t>
      </w:r>
      <w:r>
        <w:t xml:space="preserve"> strategických priorit, které zároveň </w:t>
      </w:r>
      <w:r w:rsidRPr="000A6C9F">
        <w:t xml:space="preserve">odpovídají evropským pilířům </w:t>
      </w:r>
      <w:r>
        <w:t>formulovaným</w:t>
      </w:r>
      <w:r w:rsidRPr="000A6C9F">
        <w:t xml:space="preserve"> pod hlavičkou</w:t>
      </w:r>
      <w:r>
        <w:t xml:space="preserve"> Energetické unie a kterými jsou i) energetická bezpečnost; </w:t>
      </w:r>
      <w:proofErr w:type="spellStart"/>
      <w:r>
        <w:t>ii</w:t>
      </w:r>
      <w:proofErr w:type="spellEnd"/>
      <w:r>
        <w:t xml:space="preserve">) dekarbonizace energetického mixu; </w:t>
      </w:r>
      <w:proofErr w:type="spellStart"/>
      <w:r>
        <w:t>iii</w:t>
      </w:r>
      <w:proofErr w:type="spellEnd"/>
      <w:r>
        <w:t xml:space="preserve">) energetická účinnost; </w:t>
      </w:r>
      <w:proofErr w:type="spellStart"/>
      <w:r>
        <w:t>iv</w:t>
      </w:r>
      <w:proofErr w:type="spellEnd"/>
      <w:r>
        <w:t>) mezinárodní spolupráce, vnitřní trh a infrastruktura a v) vzdělávání a výzkum, vývoj a inovace. S ohledem na aktuální vývoj jsou hlavními bezprostředními výzvami, které je třeba řešit</w:t>
      </w:r>
      <w:r w:rsidR="004F1B00">
        <w:t>:</w:t>
      </w:r>
      <w:r>
        <w:t xml:space="preserve"> naplňování evropských a mezinárodních závazků České republiky v oblasti energetiky a klimatu; řízený odklon od využívání uhlí a dalších fosilních paliv s respektováním potřebné míry soběstačnosti a zdrojové přiměřenosti; bezpečná dekarbonizace teplárenství s využitím zemního plynu jako tranzitního paliva a postupná náhrada zemního plynu nízkouhlíkovými a obnovitelnými plyny.</w:t>
      </w:r>
    </w:p>
    <w:p w14:paraId="16E99BCE" w14:textId="77777777" w:rsidR="007536DB" w:rsidRDefault="007536DB" w:rsidP="007536DB">
      <w:pPr>
        <w:pStyle w:val="HSNadpis4bezslovn"/>
      </w:pPr>
      <w:r>
        <w:t>Souhrnná analýza potenciálu ekonomiky České republiky v dané oblasti (SWOT analýza):</w:t>
      </w:r>
    </w:p>
    <w:p w14:paraId="1B0AF000" w14:textId="77777777" w:rsidR="007536DB" w:rsidRDefault="007536DB" w:rsidP="007536DB">
      <w:pPr>
        <w:pStyle w:val="HSNadpis5bezslovn"/>
      </w:pPr>
      <w:r>
        <w:t>Silné stránky:</w:t>
      </w:r>
    </w:p>
    <w:p w14:paraId="0DA5F264" w14:textId="77777777" w:rsidR="007536DB" w:rsidRDefault="007536DB" w:rsidP="007536DB">
      <w:pPr>
        <w:pStyle w:val="HSpodbod"/>
      </w:pPr>
      <w:r>
        <w:t>Robustní</w:t>
      </w:r>
      <w:r w:rsidRPr="005856CF">
        <w:t xml:space="preserve"> a průběžně modernizovaná</w:t>
      </w:r>
      <w:r>
        <w:t xml:space="preserve"> síťová energetická infrastruktura, včetně rozvinutých soustav zásobování tepelnou energií, </w:t>
      </w:r>
      <w:r w:rsidRPr="001142D5">
        <w:t>zajišťující vysokou míru kvality a spolehlivosti dodávek energi</w:t>
      </w:r>
      <w:r>
        <w:t>e.</w:t>
      </w:r>
    </w:p>
    <w:p w14:paraId="32509742" w14:textId="77777777" w:rsidR="007536DB" w:rsidRDefault="007536DB" w:rsidP="007536DB">
      <w:pPr>
        <w:pStyle w:val="HSpodbod"/>
      </w:pPr>
      <w:r>
        <w:t>Příznivá geografická poloha usnadňující dovoz energetických komodit</w:t>
      </w:r>
      <w:r w:rsidRPr="001142D5">
        <w:t xml:space="preserve"> a umožňující čerpat výhody z jejich tranzitu</w:t>
      </w:r>
      <w:r w:rsidRPr="00906DF2">
        <w:t xml:space="preserve"> </w:t>
      </w:r>
      <w:r>
        <w:t>a r</w:t>
      </w:r>
      <w:r w:rsidRPr="00906DF2">
        <w:t>elativně vysoká míra diverzifikace zdrojů a přepravních tras pro dovoz ropy a zemního plynu</w:t>
      </w:r>
      <w:r>
        <w:t>.</w:t>
      </w:r>
    </w:p>
    <w:p w14:paraId="58C789E7" w14:textId="77777777" w:rsidR="007536DB" w:rsidRDefault="007536DB" w:rsidP="007536DB">
      <w:pPr>
        <w:pStyle w:val="HSpodbod"/>
      </w:pPr>
      <w:r w:rsidRPr="001142D5">
        <w:t>Pokračující proces transformace zdrojové základny pro výrobu elektrické energie ve směru dekarbonizace elektroenergetického mixu při zachování stability a bezpečnosti dodávek.</w:t>
      </w:r>
    </w:p>
    <w:p w14:paraId="7A025555" w14:textId="77777777" w:rsidR="007536DB" w:rsidRDefault="007536DB" w:rsidP="007536DB">
      <w:pPr>
        <w:pStyle w:val="HSpodbod"/>
      </w:pPr>
      <w:r w:rsidRPr="00906DF2">
        <w:t>Kladná bilance výroby a spotřeby elektřiny a soběstačnost ve výrobě tepla.</w:t>
      </w:r>
    </w:p>
    <w:p w14:paraId="469085BB" w14:textId="77777777" w:rsidR="007536DB" w:rsidRDefault="007536DB" w:rsidP="007536DB">
      <w:pPr>
        <w:pStyle w:val="HSpodbod"/>
      </w:pPr>
      <w:r w:rsidRPr="001142D5">
        <w:t>Dlouhodobě fungující programy veřejné podpory v oblasti</w:t>
      </w:r>
      <w:r>
        <w:t xml:space="preserve"> renovace budov.</w:t>
      </w:r>
    </w:p>
    <w:p w14:paraId="3167277C" w14:textId="77777777" w:rsidR="007536DB" w:rsidRDefault="007536DB" w:rsidP="007536DB">
      <w:pPr>
        <w:pStyle w:val="HSpodbod"/>
      </w:pPr>
      <w:r>
        <w:t>Kompetence v oblasti jaderné energetiky vč. oblasti výzkumu a vývoje.</w:t>
      </w:r>
    </w:p>
    <w:p w14:paraId="5D627DA3" w14:textId="77777777" w:rsidR="007536DB" w:rsidRDefault="007536DB" w:rsidP="007536DB">
      <w:pPr>
        <w:pStyle w:val="HSpodbod"/>
      </w:pPr>
      <w:r>
        <w:t>Veřejná akceptace jaderné energetiky.</w:t>
      </w:r>
    </w:p>
    <w:p w14:paraId="267ABBE5" w14:textId="77777777" w:rsidR="007536DB" w:rsidRDefault="007536DB" w:rsidP="007536DB">
      <w:pPr>
        <w:pStyle w:val="HSNadpis5bezslovn"/>
      </w:pPr>
      <w:r>
        <w:t>Slabé stránky:</w:t>
      </w:r>
    </w:p>
    <w:p w14:paraId="4D870653" w14:textId="77777777" w:rsidR="007536DB" w:rsidRDefault="007536DB" w:rsidP="007536DB">
      <w:pPr>
        <w:pStyle w:val="HSpodbod"/>
      </w:pPr>
      <w:r>
        <w:t>Vysoká energetická náročnost hospodářství.</w:t>
      </w:r>
    </w:p>
    <w:p w14:paraId="500A7897" w14:textId="77777777" w:rsidR="007536DB" w:rsidRDefault="007536DB" w:rsidP="007536DB">
      <w:pPr>
        <w:pStyle w:val="HSpodbod"/>
      </w:pPr>
      <w:r>
        <w:t xml:space="preserve">Přetrvávající tržní deformace a pokřivené investiční signály v rámci </w:t>
      </w:r>
      <w:r w:rsidRPr="0067092A">
        <w:t>vnitřního</w:t>
      </w:r>
      <w:r>
        <w:t xml:space="preserve"> trhu s energií na úrovni EU, které negativně ovlivňují trh a obnovu zdrojové základny v České republice.</w:t>
      </w:r>
    </w:p>
    <w:p w14:paraId="3CC11BE9" w14:textId="77777777" w:rsidR="007536DB" w:rsidRDefault="007536DB" w:rsidP="007536DB">
      <w:pPr>
        <w:pStyle w:val="HSpodbod"/>
      </w:pPr>
      <w:r>
        <w:t>Stárnoucí zdrojová základna do značné míry založená na spotřebě uhlí.</w:t>
      </w:r>
    </w:p>
    <w:p w14:paraId="5758986D" w14:textId="77777777" w:rsidR="007536DB" w:rsidRDefault="007536DB" w:rsidP="007536DB">
      <w:pPr>
        <w:pStyle w:val="HSpodbod"/>
      </w:pPr>
      <w:r w:rsidRPr="000A0E7B">
        <w:t>Nedostatek odborných kapacit pro zajištění adekvátního rozsahu služeb energetického poradenství a rozvoje v oblastech instalace obnovitelných zdrojů energie a snižování energetické náročnosti budov.</w:t>
      </w:r>
    </w:p>
    <w:p w14:paraId="7CDC852E" w14:textId="77777777" w:rsidR="007536DB" w:rsidRDefault="007536DB" w:rsidP="007536DB">
      <w:pPr>
        <w:pStyle w:val="HSpodbod"/>
      </w:pPr>
      <w:r w:rsidRPr="000A0E7B">
        <w:t>Rostoucí nedostatek odborníků s vysokým stupněm technického vzdělání a kompetencí, hlavně v oblasti složitých technologických celků.</w:t>
      </w:r>
    </w:p>
    <w:p w14:paraId="32EE3205" w14:textId="77777777" w:rsidR="007536DB" w:rsidRDefault="007536DB" w:rsidP="007536DB">
      <w:pPr>
        <w:pStyle w:val="HSpodbod"/>
      </w:pPr>
      <w:r w:rsidRPr="000A0E7B">
        <w:t>Obecně nižší míra lokální akceptace pro rozvoj obnovitelných zdrojů ze strany veřejnosti.</w:t>
      </w:r>
    </w:p>
    <w:p w14:paraId="7701AA7A" w14:textId="4E7C1124" w:rsidR="007536DB" w:rsidRPr="000A0E7B" w:rsidRDefault="007536DB" w:rsidP="007536DB">
      <w:pPr>
        <w:pStyle w:val="HSpodbod"/>
      </w:pPr>
      <w:r>
        <w:t>Navyšování regulovaných složek cen energie vlivem zvyšování nákladů na provoz soustav a poplatků za tranzit pro dodávku energie a paliv do Č</w:t>
      </w:r>
      <w:r w:rsidR="001971A6">
        <w:t>eské republiky</w:t>
      </w:r>
      <w:r>
        <w:t>.</w:t>
      </w:r>
    </w:p>
    <w:p w14:paraId="15F60129" w14:textId="77777777" w:rsidR="007536DB" w:rsidRDefault="007536DB" w:rsidP="007536DB">
      <w:pPr>
        <w:pStyle w:val="HSNadpis5bezslovn"/>
      </w:pPr>
      <w:r>
        <w:t>Příležitosti:</w:t>
      </w:r>
    </w:p>
    <w:p w14:paraId="199738AB" w14:textId="77777777" w:rsidR="007536DB" w:rsidRDefault="007536DB" w:rsidP="007536DB">
      <w:pPr>
        <w:pStyle w:val="HSpodbod"/>
      </w:pPr>
      <w:r w:rsidRPr="00790CB2">
        <w:t>Využití dostupného potenciálu druhotných zdrojů energie včetně energetického využití odpadů v souladu s</w:t>
      </w:r>
      <w:r>
        <w:t> </w:t>
      </w:r>
      <w:r w:rsidRPr="00790CB2">
        <w:t>hierarchií nakládání s odpady.</w:t>
      </w:r>
    </w:p>
    <w:p w14:paraId="5965C97E" w14:textId="77777777" w:rsidR="007536DB" w:rsidRDefault="007536DB" w:rsidP="007536DB">
      <w:pPr>
        <w:pStyle w:val="HSpodbod"/>
      </w:pPr>
      <w:r w:rsidRPr="00790CB2">
        <w:t>Využití synergie zvyšování energetické účinnosti s optimalizací zdrojové základny pro pokrytí bilance mezi výrobou a spotřebou energie.</w:t>
      </w:r>
    </w:p>
    <w:p w14:paraId="30EFCAA7" w14:textId="77777777" w:rsidR="007536DB" w:rsidRPr="007536DB" w:rsidRDefault="007536DB" w:rsidP="007536DB">
      <w:pPr>
        <w:pStyle w:val="HSpodbod"/>
      </w:pPr>
      <w:r w:rsidRPr="00790CB2">
        <w:t>Snižování energetické náročnosti budov a zvyšování energetické účinnosti technologických procesů v prů</w:t>
      </w:r>
      <w:r w:rsidRPr="00164705">
        <w:t>myslu.</w:t>
      </w:r>
    </w:p>
    <w:p w14:paraId="59DAC744" w14:textId="77777777" w:rsidR="007536DB" w:rsidRPr="009D4661" w:rsidRDefault="007536DB" w:rsidP="007536DB">
      <w:pPr>
        <w:pStyle w:val="HSpodbod"/>
      </w:pPr>
      <w:r w:rsidRPr="007536DB">
        <w:lastRenderedPageBreak/>
        <w:t>Rozvoj technologií a řešení zvyšujících možnosti flexibility elektrizační soustavy a integrace obnovitelných zdrojů energie.</w:t>
      </w:r>
      <w:r w:rsidRPr="009D4661">
        <w:t xml:space="preserve"> </w:t>
      </w:r>
    </w:p>
    <w:p w14:paraId="42451E7E" w14:textId="77777777" w:rsidR="007536DB" w:rsidRDefault="007536DB" w:rsidP="007536DB">
      <w:pPr>
        <w:pStyle w:val="HSpodbod"/>
      </w:pPr>
      <w:r>
        <w:t>Transformace zdrojové základny pro výrobu elektřiny a tepla směrem k vysokoúčinným technologiím a nízkouhlíkovým palivům.</w:t>
      </w:r>
    </w:p>
    <w:p w14:paraId="70AFA1E9" w14:textId="77777777" w:rsidR="007536DB" w:rsidRDefault="007536DB" w:rsidP="007536DB">
      <w:pPr>
        <w:pStyle w:val="HSpodbod"/>
      </w:pPr>
      <w:r w:rsidRPr="00790CB2">
        <w:t>Využití možností nových technologií a paliv pro dosažení nákladově efektivní dekarbonizace.</w:t>
      </w:r>
    </w:p>
    <w:p w14:paraId="1CE35531" w14:textId="77777777" w:rsidR="007536DB" w:rsidRDefault="007536DB" w:rsidP="007536DB">
      <w:pPr>
        <w:pStyle w:val="HSpodbod"/>
      </w:pPr>
      <w:r>
        <w:t>M</w:t>
      </w:r>
      <w:r w:rsidRPr="00FF71D5">
        <w:t>ožnost</w:t>
      </w:r>
      <w:r>
        <w:t xml:space="preserve"> rychlé a efektivní</w:t>
      </w:r>
      <w:r w:rsidRPr="00FF71D5">
        <w:t xml:space="preserve"> přestavby </w:t>
      </w:r>
      <w:r>
        <w:t>plynovodů</w:t>
      </w:r>
      <w:r w:rsidRPr="00FF71D5">
        <w:t xml:space="preserve"> na </w:t>
      </w:r>
      <w:r>
        <w:t xml:space="preserve">dopravu </w:t>
      </w:r>
      <w:r w:rsidRPr="00FF71D5">
        <w:t>vodíku</w:t>
      </w:r>
      <w:r>
        <w:t>.</w:t>
      </w:r>
    </w:p>
    <w:p w14:paraId="34AC0EC9" w14:textId="77777777" w:rsidR="001F0338" w:rsidRDefault="001F0338" w:rsidP="001F0338">
      <w:pPr>
        <w:pStyle w:val="HSpodbod"/>
      </w:pPr>
      <w:r>
        <w:t>Urychlení výstavby jaderných zdrojů jako stabilních nízkoemisních zdrojů elektřiny a tepla, včetně malých a středních modulárních reaktorů.</w:t>
      </w:r>
    </w:p>
    <w:p w14:paraId="584801DB" w14:textId="77777777" w:rsidR="007536DB" w:rsidRDefault="007536DB" w:rsidP="007536DB">
      <w:pPr>
        <w:pStyle w:val="HSpodbod"/>
      </w:pPr>
      <w:r>
        <w:t>Využití potenciálu, zejména v podobě jaderné energetiky, pro výrobu nízkouhlíkového vodíku a implementace vodíkových údolí jako nástroje pro podporu výroby a využití nízkouhlíkového a obnovitelného vodíku.</w:t>
      </w:r>
    </w:p>
    <w:p w14:paraId="5D7C0C38" w14:textId="77777777" w:rsidR="007536DB" w:rsidRDefault="007536DB" w:rsidP="007536DB">
      <w:pPr>
        <w:pStyle w:val="HSNadpis5bezslovn"/>
      </w:pPr>
      <w:r>
        <w:t>Hrozby:</w:t>
      </w:r>
    </w:p>
    <w:p w14:paraId="7AED9C21" w14:textId="5D50A2EE" w:rsidR="007536DB" w:rsidRDefault="007536DB" w:rsidP="00160885">
      <w:pPr>
        <w:pStyle w:val="HSpodbod"/>
      </w:pPr>
      <w:r w:rsidRPr="00CB273D">
        <w:t xml:space="preserve">Prohlubování nestability právního rámce na úrovni </w:t>
      </w:r>
      <w:r w:rsidR="001971A6">
        <w:t>České republiky</w:t>
      </w:r>
      <w:r w:rsidRPr="00CB273D">
        <w:t xml:space="preserve"> ve vazbě na nadměrnou a často se měnící regulaci na úrovni EU (kladoucí vyšší důraz na formulaci a stanovování cílů než na návaznou implementaci) mající negativní dopad na stabilitu prostředí pro realizaci významnějších investic</w:t>
      </w:r>
      <w:r w:rsidR="001F0338">
        <w:t>, podmínek veřejné podpory a využívání finančních zdrojů z EU</w:t>
      </w:r>
      <w:r w:rsidR="00160885" w:rsidRPr="00160885">
        <w:t xml:space="preserve"> (snahy o vylučování jaderné energetiky z možnosti financování a podpory, aj.)</w:t>
      </w:r>
      <w:r w:rsidRPr="00CB273D">
        <w:t>.</w:t>
      </w:r>
    </w:p>
    <w:p w14:paraId="088B8B63" w14:textId="77777777" w:rsidR="007536DB" w:rsidRDefault="007536DB" w:rsidP="007536DB">
      <w:pPr>
        <w:pStyle w:val="HSpodbod"/>
      </w:pPr>
      <w:r w:rsidRPr="00CB273D">
        <w:t>Nedostatečné finanční zdroje pro zajištění plnění cílů souvisejících s politikou EU potenciálně vedoucí k jejich nesplnění a souvisejícím sankcím.</w:t>
      </w:r>
    </w:p>
    <w:p w14:paraId="6C6F0FEE" w14:textId="77777777" w:rsidR="007536DB" w:rsidRDefault="007536DB" w:rsidP="007536DB">
      <w:pPr>
        <w:pStyle w:val="HSpodbod"/>
      </w:pPr>
      <w:r w:rsidRPr="00CB273D">
        <w:t>Jednostranné a nekoordinované zavádění mechanismů veřejné podpory v sektoru energetiky na úrovni jednotlivých členských států, včetně snah o regulaci velkoobchodních cen energie.</w:t>
      </w:r>
    </w:p>
    <w:p w14:paraId="7BC31BC9" w14:textId="77777777" w:rsidR="007536DB" w:rsidRDefault="007536DB" w:rsidP="007536DB">
      <w:pPr>
        <w:pStyle w:val="HSpodbod"/>
      </w:pPr>
      <w:r>
        <w:t>Časová náročnost zavádění schémat veřejné podpory v energetice v návaznosti na evropská pravidla a proces notifikace u Evropské komise, časová a administrativní náročnost postupu souvisejícího s povolováním výstavby nových zdrojů energie a energetické infrastruktury</w:t>
      </w:r>
      <w:r w:rsidRPr="00CB273D">
        <w:t xml:space="preserve"> a časová náročnost postupu výstavby moderních vysokoúčinných výroben elektřiny a tepla a jaderných zdrojů nahrazujících stávající zdroje</w:t>
      </w:r>
      <w:r>
        <w:t>.</w:t>
      </w:r>
    </w:p>
    <w:p w14:paraId="070DF7D1" w14:textId="77777777" w:rsidR="007536DB" w:rsidRDefault="007536DB" w:rsidP="007536DB">
      <w:pPr>
        <w:pStyle w:val="HSpodbod"/>
      </w:pPr>
      <w:r w:rsidRPr="00CB273D">
        <w:t xml:space="preserve">Dřívější (než očekávaný) útlum a „nekoordinované“ ukončení výroby elektřiny a tepla z uhelných zdrojů </w:t>
      </w:r>
      <w:r>
        <w:t>a n</w:t>
      </w:r>
      <w:r w:rsidRPr="00CB273D">
        <w:t>eplnění parametrů zdrojové přiměřenosti vlivem odstavování stabilních zdrojů elektřiny bez adekvátní náhrady</w:t>
      </w:r>
      <w:r>
        <w:t>.</w:t>
      </w:r>
    </w:p>
    <w:p w14:paraId="3DE8C1E7" w14:textId="77777777" w:rsidR="007536DB" w:rsidRDefault="007536DB" w:rsidP="007536DB">
      <w:pPr>
        <w:pStyle w:val="HSpodbod"/>
      </w:pPr>
      <w:r w:rsidRPr="00FE5B16">
        <w:t>Potřeba relativně vysokých investic do síťové infrastruktury umožňující dynamický rozvoj intermitentních zdrojů, případně přepravu alternativních plynných paliv.</w:t>
      </w:r>
    </w:p>
    <w:p w14:paraId="25637E81" w14:textId="52F2CDC0" w:rsidR="007536DB" w:rsidRDefault="007536DB" w:rsidP="007536DB">
      <w:pPr>
        <w:pStyle w:val="HSpodbod"/>
      </w:pPr>
      <w:r w:rsidRPr="00FE5B16">
        <w:t>Zhoršení spolehlivosti elektrizační soustavy vlivem rychlejšího rozvoje intermitentních zdrojů, a to jak v</w:t>
      </w:r>
      <w:r w:rsidR="00BC2E34">
        <w:t> </w:t>
      </w:r>
      <w:r w:rsidR="001971A6">
        <w:t>České republice</w:t>
      </w:r>
      <w:r w:rsidRPr="00FE5B16">
        <w:t>, tak i v sousedních státech, v porovnání s relativně pomalejším rozvojem síťové infrastruktury včetně prvků řízení a flexibility, především na nižších napěťových hladinách</w:t>
      </w:r>
      <w:r w:rsidRPr="00663CD2">
        <w:t>.</w:t>
      </w:r>
    </w:p>
    <w:p w14:paraId="74F8EE8E" w14:textId="77777777" w:rsidR="007536DB" w:rsidRDefault="007536DB" w:rsidP="007536DB">
      <w:pPr>
        <w:pStyle w:val="HSpodbod"/>
      </w:pPr>
      <w:r w:rsidRPr="00FE5B16">
        <w:t>Zvyšující se obtížnost zajištění bezpečnosti a spolehlivosti zásobování energií v rámci nouzových stavů vlivem rostoucí dynamiky změn, ale také organizační a ekonomické náročnosti.</w:t>
      </w:r>
    </w:p>
    <w:p w14:paraId="0CE4B9AC" w14:textId="77777777" w:rsidR="007536DB" w:rsidRPr="00663CD2" w:rsidRDefault="007536DB" w:rsidP="007536DB">
      <w:pPr>
        <w:pStyle w:val="HSpodbod"/>
      </w:pPr>
      <w:r w:rsidRPr="001A25CF">
        <w:t>Negativní dopady dekarbonizace na energetickou chudobu v České republice.</w:t>
      </w:r>
    </w:p>
    <w:p w14:paraId="3DB3A72B" w14:textId="77777777" w:rsidR="007536DB" w:rsidRPr="00663CD2" w:rsidRDefault="007536DB" w:rsidP="007536DB">
      <w:pPr>
        <w:pStyle w:val="HSNadpis4bezslovn"/>
      </w:pPr>
      <w:r w:rsidRPr="00663CD2">
        <w:t>Strategické cíle:</w:t>
      </w:r>
    </w:p>
    <w:p w14:paraId="3020F27D" w14:textId="77777777" w:rsidR="007536DB" w:rsidRDefault="007536DB" w:rsidP="007536DB">
      <w:pPr>
        <w:pStyle w:val="HSpodbod"/>
      </w:pPr>
      <w:r>
        <w:t>Udržet vysokou míru energetické bezpečnosti.</w:t>
      </w:r>
    </w:p>
    <w:p w14:paraId="7B038564" w14:textId="172197CD" w:rsidR="007536DB" w:rsidRDefault="007536DB" w:rsidP="007536DB">
      <w:pPr>
        <w:pStyle w:val="HSpodbod"/>
        <w:numPr>
          <w:ilvl w:val="0"/>
          <w:numId w:val="0"/>
        </w:numPr>
        <w:ind w:left="360"/>
      </w:pPr>
      <w:r>
        <w:t xml:space="preserve">Ukazatel: </w:t>
      </w:r>
      <w:r w:rsidR="004F1B00">
        <w:t>Energetická d</w:t>
      </w:r>
      <w:r>
        <w:t>ovozní závislost</w:t>
      </w:r>
    </w:p>
    <w:p w14:paraId="51214151" w14:textId="77777777" w:rsidR="007536DB" w:rsidRDefault="007536DB" w:rsidP="007536DB">
      <w:pPr>
        <w:pStyle w:val="HSpodbod"/>
      </w:pPr>
      <w:r>
        <w:t>Zvyšovat míru dekarbonizace energetického mixu.</w:t>
      </w:r>
    </w:p>
    <w:p w14:paraId="03D3A12A" w14:textId="77777777" w:rsidR="007536DB" w:rsidRDefault="007536DB" w:rsidP="007536DB">
      <w:pPr>
        <w:pStyle w:val="HSpodbod"/>
        <w:numPr>
          <w:ilvl w:val="0"/>
          <w:numId w:val="0"/>
        </w:numPr>
        <w:ind w:left="360"/>
      </w:pPr>
      <w:r>
        <w:t>Ukazatel: Podíl fosilních paliv na spotřebě primárních energetických zdrojů</w:t>
      </w:r>
    </w:p>
    <w:p w14:paraId="68DA687A" w14:textId="77777777" w:rsidR="007536DB" w:rsidRPr="00663CD2" w:rsidRDefault="007536DB" w:rsidP="007536DB">
      <w:pPr>
        <w:pStyle w:val="HSpodbod"/>
      </w:pPr>
      <w:r>
        <w:t>Snižovat energetickou náročnost ekonomiky.</w:t>
      </w:r>
    </w:p>
    <w:p w14:paraId="1DE6EE35" w14:textId="77777777" w:rsidR="007536DB" w:rsidRPr="00663CD2" w:rsidRDefault="007536DB" w:rsidP="007536DB">
      <w:pPr>
        <w:pStyle w:val="HSpodbod"/>
        <w:numPr>
          <w:ilvl w:val="0"/>
          <w:numId w:val="0"/>
        </w:numPr>
        <w:ind w:left="360"/>
      </w:pPr>
      <w:r w:rsidRPr="00663CD2">
        <w:t xml:space="preserve">Ukazatel: </w:t>
      </w:r>
      <w:r>
        <w:t>Energetická náročnost tvorby hrubé přidané hodnoty</w:t>
      </w:r>
    </w:p>
    <w:p w14:paraId="3F4D3195" w14:textId="77777777" w:rsidR="007536DB" w:rsidRPr="00DB50F0" w:rsidRDefault="007536DB" w:rsidP="007536DB">
      <w:pPr>
        <w:pStyle w:val="HSpodbod"/>
      </w:pPr>
      <w:r w:rsidRPr="00DB50F0">
        <w:t>Snižovat emise skleníkových plynů</w:t>
      </w:r>
      <w:r>
        <w:t>.</w:t>
      </w:r>
    </w:p>
    <w:p w14:paraId="0F74022A" w14:textId="77777777" w:rsidR="007536DB" w:rsidRDefault="007536DB" w:rsidP="007536DB">
      <w:pPr>
        <w:pStyle w:val="HSpodbod"/>
        <w:numPr>
          <w:ilvl w:val="0"/>
          <w:numId w:val="0"/>
        </w:numPr>
        <w:ind w:left="360"/>
      </w:pPr>
      <w:r w:rsidRPr="00DB50F0">
        <w:t xml:space="preserve">Ukazatel: Emise </w:t>
      </w:r>
      <w:r>
        <w:t>skleníkových plynů</w:t>
      </w:r>
    </w:p>
    <w:p w14:paraId="7083C159" w14:textId="77777777" w:rsidR="007536DB" w:rsidRPr="00DB50F0" w:rsidRDefault="007536DB" w:rsidP="007536DB">
      <w:pPr>
        <w:pStyle w:val="HSNadpis4bezslovn"/>
      </w:pPr>
      <w:r w:rsidRPr="006C2504">
        <w:lastRenderedPageBreak/>
        <w:t>S</w:t>
      </w:r>
      <w:r>
        <w:t xml:space="preserve">pecifické </w:t>
      </w:r>
      <w:r w:rsidRPr="006C2504">
        <w:t>cíle:</w:t>
      </w:r>
    </w:p>
    <w:p w14:paraId="099D671A" w14:textId="29B48F29" w:rsidR="007536DB" w:rsidRDefault="007536DB" w:rsidP="007536DB">
      <w:pPr>
        <w:pStyle w:val="HSpodbod"/>
      </w:pPr>
      <w:r>
        <w:t xml:space="preserve">Udržet </w:t>
      </w:r>
      <w:r w:rsidR="009468CF">
        <w:t xml:space="preserve">energetickou </w:t>
      </w:r>
      <w:r>
        <w:t>dovozní závislost na úrovni nepřesahující 65 % do roku 2030 a 70 % do roku 2040 při uvažování jaderného paliva jako dovozového zdroje.</w:t>
      </w:r>
    </w:p>
    <w:p w14:paraId="7688F5FB" w14:textId="77777777" w:rsidR="007536DB" w:rsidRPr="008124B3" w:rsidRDefault="007536DB" w:rsidP="007536DB">
      <w:pPr>
        <w:pStyle w:val="HSpodbod"/>
      </w:pPr>
      <w:r w:rsidRPr="00317BBB">
        <w:t>Udržet míru soběstačnosti v dodávkách elektřiny na dostatečné úrovni ve vztahu k dostupnosti jejího dovozu s ohledem na technická omezení i situaci v regionu.</w:t>
      </w:r>
    </w:p>
    <w:p w14:paraId="1272C6C2" w14:textId="63F4324E" w:rsidR="001F0338" w:rsidRDefault="001F0338" w:rsidP="001F0338">
      <w:pPr>
        <w:pStyle w:val="HSpodbod"/>
      </w:pPr>
      <w:r>
        <w:t>Výstavba nových jaderných zdrojů jako klíčový nástroj pro zajištění bezpečnosti, stability elektrizační soustavy, dekarbonizace a přínosu pro národní hospodářství.</w:t>
      </w:r>
    </w:p>
    <w:p w14:paraId="7F519E75" w14:textId="77777777" w:rsidR="007536DB" w:rsidRPr="008124B3" w:rsidRDefault="007536DB" w:rsidP="007536DB">
      <w:pPr>
        <w:pStyle w:val="HSpodbod"/>
      </w:pPr>
      <w:r>
        <w:t>Zajistit plnění kritérií N-1 v provozu elektrizační a plynárenské soustavy a udržet spolehlivost dodávky elektřiny pod úrovní normy spolehlivosti stanovené podle platné metodiky.</w:t>
      </w:r>
    </w:p>
    <w:p w14:paraId="7938ED81" w14:textId="77777777" w:rsidR="007536DB" w:rsidRDefault="007536DB" w:rsidP="007536DB">
      <w:pPr>
        <w:pStyle w:val="HSpodbod"/>
      </w:pPr>
      <w:r>
        <w:t>S</w:t>
      </w:r>
      <w:r w:rsidRPr="001A25CF">
        <w:t>níž</w:t>
      </w:r>
      <w:r>
        <w:t>it</w:t>
      </w:r>
      <w:r w:rsidRPr="001A25CF">
        <w:t xml:space="preserve"> konečn</w:t>
      </w:r>
      <w:r>
        <w:t>ou</w:t>
      </w:r>
      <w:r w:rsidRPr="001A25CF">
        <w:t xml:space="preserve"> spotřeb</w:t>
      </w:r>
      <w:r>
        <w:t>u</w:t>
      </w:r>
      <w:r w:rsidRPr="001A25CF">
        <w:t xml:space="preserve"> energie o 11,7 % do roku 2030 oproti referenčnímu scénáři z roku 2020</w:t>
      </w:r>
      <w:r>
        <w:t>, což pro</w:t>
      </w:r>
      <w:r w:rsidRPr="001A25CF">
        <w:t xml:space="preserve"> Česk</w:t>
      </w:r>
      <w:r>
        <w:t>ou</w:t>
      </w:r>
      <w:r w:rsidRPr="001A25CF">
        <w:t xml:space="preserve"> republik</w:t>
      </w:r>
      <w:r>
        <w:t>u</w:t>
      </w:r>
      <w:r w:rsidRPr="001A25CF">
        <w:t xml:space="preserve"> </w:t>
      </w:r>
      <w:r>
        <w:t>znamená ne</w:t>
      </w:r>
      <w:r w:rsidRPr="001A25CF">
        <w:t>překro</w:t>
      </w:r>
      <w:r>
        <w:t>čit velikost</w:t>
      </w:r>
      <w:r w:rsidRPr="001A25CF">
        <w:t xml:space="preserve"> </w:t>
      </w:r>
      <w:r>
        <w:t xml:space="preserve">konečné </w:t>
      </w:r>
      <w:r w:rsidRPr="001A25CF">
        <w:t>spotřeb</w:t>
      </w:r>
      <w:r>
        <w:t xml:space="preserve">y </w:t>
      </w:r>
      <w:r w:rsidRPr="001A25CF">
        <w:t>energie</w:t>
      </w:r>
      <w:r>
        <w:t xml:space="preserve"> na úrovni</w:t>
      </w:r>
      <w:r w:rsidRPr="001A25CF">
        <w:t xml:space="preserve"> 852 PJ</w:t>
      </w:r>
      <w:r>
        <w:t xml:space="preserve"> v roce 2030</w:t>
      </w:r>
      <w:r w:rsidRPr="001A25CF">
        <w:t>.</w:t>
      </w:r>
    </w:p>
    <w:p w14:paraId="17FC6993" w14:textId="77777777" w:rsidR="007536DB" w:rsidRDefault="007536DB" w:rsidP="007536DB">
      <w:pPr>
        <w:pStyle w:val="HSpodbod"/>
      </w:pPr>
      <w:r>
        <w:t>Snížit energetickou náročnost tvorby hrubé přidané hodnoty na hladinu průměru zemí Evropské unie.</w:t>
      </w:r>
    </w:p>
    <w:p w14:paraId="496ADBAF" w14:textId="77777777" w:rsidR="007536DB" w:rsidRDefault="007536DB" w:rsidP="007536DB">
      <w:pPr>
        <w:pStyle w:val="HSpodbod"/>
      </w:pPr>
      <w:r>
        <w:t>S</w:t>
      </w:r>
      <w:r w:rsidRPr="00317BBB">
        <w:t xml:space="preserve">nížit hladiny </w:t>
      </w:r>
      <w:r>
        <w:t xml:space="preserve">konečných </w:t>
      </w:r>
      <w:r w:rsidRPr="00317BBB">
        <w:t>cen energie na úroveň průměru zemí Evropské unie a následně tento stav bez významných odchylek udržet.</w:t>
      </w:r>
    </w:p>
    <w:p w14:paraId="237A93A8" w14:textId="77777777" w:rsidR="007536DB" w:rsidRPr="008124B3" w:rsidRDefault="007536DB" w:rsidP="007536DB">
      <w:pPr>
        <w:pStyle w:val="HSpodbod"/>
      </w:pPr>
      <w:r>
        <w:t>Zvyšovat veřejné výdaje na podporu výzkumu a vývoje v energetice při současném udržení jejich podílu na celkových veřejných výdajích na výzkum a vývoj alespoň na 5 % úrovni.</w:t>
      </w:r>
    </w:p>
    <w:p w14:paraId="307F47A8" w14:textId="77777777" w:rsidR="007536DB" w:rsidRPr="008124B3" w:rsidRDefault="007536DB" w:rsidP="007536DB">
      <w:pPr>
        <w:pStyle w:val="HSpodbod"/>
      </w:pPr>
      <w:r>
        <w:t>Snižovat emise znečišťujících látek a skleníkových plynů v souladu s příslušnými strategiemi státu v těchto oblastech, a to jmenovitě s Národním programem snižování emisí ČR a Politikou ochrany klimatu v ČR a mezinárodními závazky České republiky, včetně dosažení klimatické neutrality do roku 2050.</w:t>
      </w:r>
    </w:p>
    <w:p w14:paraId="1DECD7A4" w14:textId="2E1B3A9A" w:rsidR="007536DB" w:rsidRDefault="007536DB" w:rsidP="007536DB">
      <w:pPr>
        <w:pStyle w:val="HSpodbod"/>
      </w:pPr>
      <w:r>
        <w:t>Snižovat podíl fosilních paliv využívaných bez technologie zachytávání oxidu uhličitého na spotřebě primární energie na 50 % do roku 2030 a 0 % do roku 2050</w:t>
      </w:r>
      <w:r w:rsidRPr="00555CA9">
        <w:t xml:space="preserve"> a zcela utlumit využití uhlí pro výrobu elektřiny a tepla do roku 2033</w:t>
      </w:r>
      <w:r>
        <w:t>.</w:t>
      </w:r>
    </w:p>
    <w:p w14:paraId="65A3E4A9" w14:textId="5B880282" w:rsidR="001F0338" w:rsidRPr="008124B3" w:rsidRDefault="001F0338" w:rsidP="007536DB">
      <w:pPr>
        <w:pStyle w:val="HSpodbod"/>
      </w:pPr>
      <w:r>
        <w:t>Zachovat a rozvíjet využití jaderných zdrojů pro výrobu tepla.</w:t>
      </w:r>
    </w:p>
    <w:p w14:paraId="22197FBA" w14:textId="77777777" w:rsidR="007536DB" w:rsidRPr="008124B3" w:rsidRDefault="007536DB" w:rsidP="007536DB">
      <w:pPr>
        <w:pStyle w:val="HSpodbod"/>
      </w:pPr>
      <w:r>
        <w:t>Zvyšovat podíl obnovitelných zdrojů energie na hrubé konečné spotřebě energie v souladu s adekvátním příspěvkem České republiky k naplnění cíle Evropské unie do roku 2030 a také s dosažením klimatické neutrality do roku 2050.</w:t>
      </w:r>
    </w:p>
    <w:p w14:paraId="2B806436" w14:textId="173BA550" w:rsidR="007536DB" w:rsidRPr="008124B3" w:rsidRDefault="007536DB" w:rsidP="007536DB">
      <w:pPr>
        <w:pStyle w:val="HSpodbod"/>
      </w:pPr>
      <w:r>
        <w:t>Zvyšovat využití nízkouhlíkového a obnovitelného vodíku a jeho sloučenin jako náhrady za fosilní paliva v dopravě, průmyslu a energetice a jako nosiče pro dovoz energie.</w:t>
      </w:r>
    </w:p>
    <w:p w14:paraId="56ED5B4E" w14:textId="66CD94AB" w:rsidR="00B671BB" w:rsidRDefault="00B671BB" w:rsidP="00B671BB">
      <w:pPr>
        <w:pStyle w:val="HSNadpis4bezslovn"/>
      </w:pPr>
      <w:r>
        <w:t>Hlavní opatření:</w:t>
      </w:r>
    </w:p>
    <w:p w14:paraId="6AD4A310" w14:textId="11C9146D" w:rsidR="00B671BB" w:rsidRDefault="00B671BB" w:rsidP="00B671BB">
      <w:pPr>
        <w:pStyle w:val="HSpodbod"/>
      </w:pPr>
      <w:r>
        <w:t>Implementovat (mimo jiné ve smyslu dopracování sekundární legislativy)</w:t>
      </w:r>
      <w:r w:rsidR="007103F0">
        <w:t xml:space="preserve"> strategický rámec</w:t>
      </w:r>
      <w:r>
        <w:t xml:space="preserve"> v oblasti energetiky. Dokonč</w:t>
      </w:r>
      <w:r w:rsidR="00F71082">
        <w:t>it</w:t>
      </w:r>
      <w:r>
        <w:t xml:space="preserve"> proces novelizace energetického zákona z</w:t>
      </w:r>
      <w:r w:rsidR="00AE039C">
        <w:t>a</w:t>
      </w:r>
      <w:r>
        <w:t xml:space="preserve">měřeného </w:t>
      </w:r>
      <w:r w:rsidR="00F71082">
        <w:t xml:space="preserve">především </w:t>
      </w:r>
      <w:r>
        <w:t>na ukotvení akumulace, flexibility a agregace a </w:t>
      </w:r>
      <w:r w:rsidR="007103F0">
        <w:t xml:space="preserve">jeho </w:t>
      </w:r>
      <w:r>
        <w:t>následn</w:t>
      </w:r>
      <w:r w:rsidR="006C6854">
        <w:t>á</w:t>
      </w:r>
      <w:r>
        <w:t xml:space="preserve"> implementace. </w:t>
      </w:r>
      <w:r w:rsidR="00F71082">
        <w:t xml:space="preserve">Přijmout </w:t>
      </w:r>
      <w:r>
        <w:t>nov</w:t>
      </w:r>
      <w:r w:rsidR="00F71082">
        <w:t>ý</w:t>
      </w:r>
      <w:r>
        <w:t xml:space="preserve"> </w:t>
      </w:r>
      <w:r w:rsidR="00F71082">
        <w:t xml:space="preserve">energetický </w:t>
      </w:r>
      <w:r>
        <w:t>zákon, který bude vytvářet přehledný legislativní a regulatorní rámec pro nový model energetického trhu s důrazem na plnění závazných cílů v oblasti dekarbonizace. Dále jednoznačně definovat práva a povinnosti jednotlivých subjektů vystupujících na trhu s elektřinou a plynem a v teplárenství a nastav</w:t>
      </w:r>
      <w:r w:rsidR="00F71082">
        <w:t>it</w:t>
      </w:r>
      <w:r>
        <w:t xml:space="preserve"> jejich vzájemné interakce; zjednodušovat, systematicky propojovat a jasně definovat činnosti a další instituty, které mají být zákonem upravovány a regulovány; </w:t>
      </w:r>
      <w:r w:rsidR="00F71082">
        <w:t>vy</w:t>
      </w:r>
      <w:r>
        <w:t xml:space="preserve">řešit některé problematické situace dosud ne zcela uspokojivě řešené stávající legislativní úpravou a </w:t>
      </w:r>
      <w:r w:rsidR="00F71082">
        <w:t xml:space="preserve">vypořádat se s </w:t>
      </w:r>
      <w:r>
        <w:t>prolínání</w:t>
      </w:r>
      <w:r w:rsidR="00F71082">
        <w:t>m</w:t>
      </w:r>
      <w:r>
        <w:t xml:space="preserve"> ustanovení energetického zákona a dalších právních předpisů v oblasti energetiky.</w:t>
      </w:r>
    </w:p>
    <w:p w14:paraId="7A8093F2" w14:textId="01232B72" w:rsidR="00B671BB" w:rsidRDefault="00B671BB" w:rsidP="00B671BB">
      <w:pPr>
        <w:pStyle w:val="HSpodbod"/>
      </w:pPr>
      <w:r>
        <w:t>Legislativn</w:t>
      </w:r>
      <w:r w:rsidR="00F71082">
        <w:t>ě</w:t>
      </w:r>
      <w:r>
        <w:t xml:space="preserve"> ukotv</w:t>
      </w:r>
      <w:r w:rsidR="00F71082">
        <w:t>it</w:t>
      </w:r>
      <w:r>
        <w:t xml:space="preserve"> termín </w:t>
      </w:r>
      <w:r w:rsidR="00827F6C">
        <w:t>odklonu</w:t>
      </w:r>
      <w:r>
        <w:t xml:space="preserve"> od uhlí ve smyslu ukotvení příspěvku </w:t>
      </w:r>
      <w:r w:rsidR="0019214C">
        <w:t xml:space="preserve">České republiky </w:t>
      </w:r>
      <w:r>
        <w:t>k deklarovanému cíli EU dosáhnout do roku 2050 klimatické neutrality a stanovení ukotvení cílů, termínů a podmínek odklonu od využívání uhlí pro energetické účely za účelem jeho dosažení nejpozději v roce 2033. Zaji</w:t>
      </w:r>
      <w:r w:rsidR="00F71082">
        <w:t>stit</w:t>
      </w:r>
      <w:r>
        <w:t xml:space="preserve"> zdrojov</w:t>
      </w:r>
      <w:r w:rsidR="00F71082">
        <w:t>ou</w:t>
      </w:r>
      <w:r>
        <w:t xml:space="preserve"> přiměřenost a bezpečnost provozu elektrizační soustavy </w:t>
      </w:r>
      <w:r w:rsidR="0019214C">
        <w:t xml:space="preserve">České republiky </w:t>
      </w:r>
      <w:r>
        <w:t>v</w:t>
      </w:r>
      <w:r w:rsidR="00655668">
        <w:t> </w:t>
      </w:r>
      <w:r>
        <w:t>podmínkách řízeného odchodu od uhlí ve smyslu stanovení harmonogramu a postupu pro ukončení využívání uhlí pro energetické účely v</w:t>
      </w:r>
      <w:r w:rsidR="00565483">
        <w:t> </w:t>
      </w:r>
      <w:r>
        <w:t>návaznosti na stanovení a legislativní ukotvení příslušných cílů, termínů a</w:t>
      </w:r>
      <w:r w:rsidR="00655668">
        <w:t> </w:t>
      </w:r>
      <w:r>
        <w:t>podmínek a příprav</w:t>
      </w:r>
      <w:r w:rsidR="00F71082">
        <w:t>y</w:t>
      </w:r>
      <w:r>
        <w:t xml:space="preserve"> nástrojů k</w:t>
      </w:r>
      <w:r w:rsidR="00565483">
        <w:t> </w:t>
      </w:r>
      <w:r>
        <w:t xml:space="preserve">zajištění zdrojové přiměřenosti a bezpečného provozu elektrizační soustavy </w:t>
      </w:r>
      <w:r w:rsidR="0019214C">
        <w:t>České republiky</w:t>
      </w:r>
      <w:r>
        <w:t>.</w:t>
      </w:r>
    </w:p>
    <w:p w14:paraId="31B8A3ED" w14:textId="626FFA3A" w:rsidR="00B671BB" w:rsidRDefault="00B671BB" w:rsidP="00B671BB">
      <w:pPr>
        <w:pStyle w:val="HSpodbod"/>
      </w:pPr>
      <w:r>
        <w:lastRenderedPageBreak/>
        <w:t xml:space="preserve">Vymezit v Politice územního rozvoje ČR oblasti nezbytné pro příspěvek </w:t>
      </w:r>
      <w:r w:rsidR="0019214C">
        <w:t xml:space="preserve">České republiky </w:t>
      </w:r>
      <w:r>
        <w:t>k celkovému cíli EU v rozvoji obnovitelných zdrojů energie do roku 2030 a stanovit úkol vymezit oblasti pro zrychlené zavádění obnovitelných zdrojů energie v zásadách územního rozvoje, územních plánech nebo územním rozvojovém plánu.</w:t>
      </w:r>
    </w:p>
    <w:p w14:paraId="13757C10" w14:textId="11B8D6DC" w:rsidR="00B671BB" w:rsidRDefault="00B671BB" w:rsidP="00B671BB">
      <w:pPr>
        <w:pStyle w:val="HSpodbod"/>
      </w:pPr>
      <w:r>
        <w:t>Prověřit možnost vymezení oblastí pro rozvoj doprovodné infrastruktury a pro akumulaci</w:t>
      </w:r>
      <w:r w:rsidR="00827F6C">
        <w:t>,</w:t>
      </w:r>
      <w:r>
        <w:t xml:space="preserve"> a případně stanovit úkol jejich rozvoje ve výše uvedených územně-plánovacích dokumentech.</w:t>
      </w:r>
    </w:p>
    <w:p w14:paraId="1D2537CC" w14:textId="77777777" w:rsidR="00B671BB" w:rsidRDefault="00B671BB" w:rsidP="00B671BB">
      <w:pPr>
        <w:pStyle w:val="HSpodbod"/>
      </w:pPr>
      <w:r>
        <w:t>Vytvořit vhodné územně-plánovací a legislativní podmínky pro rozvoj technologií zachytávání, přepravy, využívání a ukládání oxidu uhličitého.</w:t>
      </w:r>
    </w:p>
    <w:p w14:paraId="37DA599D" w14:textId="50F56889" w:rsidR="00B671BB" w:rsidRDefault="00F71082" w:rsidP="00B671BB">
      <w:pPr>
        <w:pStyle w:val="HSpodbod"/>
      </w:pPr>
      <w:r>
        <w:t>Realizovat o</w:t>
      </w:r>
      <w:r w:rsidR="00B671BB">
        <w:t>patření směřující k postupné náhradě zemního plynu nízkouhlíkovými a obnovitelnými plyny. V</w:t>
      </w:r>
      <w:r w:rsidR="00565483">
        <w:t> </w:t>
      </w:r>
      <w:r w:rsidR="00B671BB">
        <w:t>tomto ohledu je třeba zajistit postupnou dekarbonizaci sektoru plynárenství prostřednictvím nahrazování zemního plynu nízkouhlíkovými a obnovitelnými plyny, aby tento sektor mohl sehrávat svou dekarbonizační roli nejen ve střednědobém období, ale také v dlouhodobém horizontu.</w:t>
      </w:r>
    </w:p>
    <w:p w14:paraId="2591272F" w14:textId="3E4DB519" w:rsidR="00B87B81" w:rsidRDefault="00B87B81" w:rsidP="00F71082">
      <w:pPr>
        <w:pStyle w:val="HSpodbod"/>
      </w:pPr>
      <w:r>
        <w:t>Posílení role státu v oblasti přenosových soustav v energetice.</w:t>
      </w:r>
    </w:p>
    <w:p w14:paraId="10F8994F" w14:textId="3634E064" w:rsidR="00F71082" w:rsidRDefault="00F71082" w:rsidP="00F71082">
      <w:pPr>
        <w:pStyle w:val="HSpodbod"/>
      </w:pPr>
      <w:r>
        <w:t>Realizovat opatření pro rozvoj jaderné energetiky v oblastech zajišťování bezpečného provozu stávajících jaderných zdrojů a přípravy a výstavby nových jaderných zdrojů včetně malých a středních modulárních reaktorů</w:t>
      </w:r>
      <w:r w:rsidR="009965F0">
        <w:t>, a to jak na národní úrovni, tak v EU.</w:t>
      </w:r>
    </w:p>
    <w:p w14:paraId="4FA82821" w14:textId="5C306C94" w:rsidR="00B671BB" w:rsidRDefault="00F71082" w:rsidP="00F71082">
      <w:pPr>
        <w:pStyle w:val="HSpodbod"/>
      </w:pPr>
      <w:r>
        <w:t>Rozšířit povinnost energetických auditů a energetického managementu za účelem zvýšení energetických úspor v průmyslu, podnicích a veřejném sektoru.</w:t>
      </w:r>
    </w:p>
    <w:p w14:paraId="01185242" w14:textId="1FF4D851" w:rsidR="00B671BB" w:rsidRDefault="00B671BB" w:rsidP="00B671BB">
      <w:pPr>
        <w:pStyle w:val="HSNadpis4bezslovn"/>
      </w:pPr>
      <w:r>
        <w:t>Naplňující strategie:</w:t>
      </w:r>
    </w:p>
    <w:p w14:paraId="1D186068" w14:textId="3042882D" w:rsidR="00B671BB" w:rsidRDefault="00B671BB" w:rsidP="00B671BB">
      <w:pPr>
        <w:pStyle w:val="HSpodbod"/>
      </w:pPr>
      <w:r>
        <w:t>Státní energetická koncepce ČR</w:t>
      </w:r>
    </w:p>
    <w:p w14:paraId="4B3732A0" w14:textId="036EE704" w:rsidR="00B671BB" w:rsidRDefault="00B671BB" w:rsidP="00B671BB">
      <w:pPr>
        <w:pStyle w:val="HSpodbod"/>
      </w:pPr>
      <w:r>
        <w:t>Politika ochrany klimatu v ČR</w:t>
      </w:r>
    </w:p>
    <w:p w14:paraId="1C93FC74" w14:textId="50A12E90" w:rsidR="00B671BB" w:rsidRDefault="00B671BB" w:rsidP="00B671BB">
      <w:pPr>
        <w:pStyle w:val="HSpodbod"/>
      </w:pPr>
      <w:r>
        <w:t>Vnitrostátní plán ČR v oblasti energetiky a klimatu</w:t>
      </w:r>
    </w:p>
    <w:p w14:paraId="0647DE71" w14:textId="77777777" w:rsidR="00C56142" w:rsidRDefault="000E40A6" w:rsidP="00C56142">
      <w:pPr>
        <w:pStyle w:val="HSpodbod"/>
      </w:pPr>
      <w:r>
        <w:t>Vodíková strategie České republiky aktualizace 2024</w:t>
      </w:r>
    </w:p>
    <w:p w14:paraId="0834A4C9" w14:textId="0E2D4CCD" w:rsidR="000E40A6" w:rsidRDefault="00C56142" w:rsidP="00C56142">
      <w:pPr>
        <w:pStyle w:val="HSpodbod"/>
      </w:pPr>
      <w:r>
        <w:t>Národní akční plán rozvoje jaderné energetiky v ČR</w:t>
      </w:r>
    </w:p>
    <w:p w14:paraId="3A338A0B" w14:textId="280730E2" w:rsidR="0031053E" w:rsidRDefault="0031053E" w:rsidP="0031053E">
      <w:pPr>
        <w:pStyle w:val="HSpodbod"/>
        <w:numPr>
          <w:ilvl w:val="0"/>
          <w:numId w:val="0"/>
        </w:numPr>
      </w:pPr>
      <w:r>
        <w:br w:type="page"/>
      </w:r>
    </w:p>
    <w:p w14:paraId="3300A038" w14:textId="7D7F6D60" w:rsidR="00BB6F65" w:rsidRPr="00F5548D" w:rsidRDefault="00BB6F65" w:rsidP="004F1B00">
      <w:pPr>
        <w:pStyle w:val="HSNadpisIII2"/>
      </w:pPr>
      <w:bookmarkStart w:id="54" w:name="_Toc174703079"/>
      <w:r>
        <w:lastRenderedPageBreak/>
        <w:t>Dopravní infrastruktura</w:t>
      </w:r>
      <w:bookmarkEnd w:id="54"/>
    </w:p>
    <w:p w14:paraId="3A0F57E4" w14:textId="2990C23B" w:rsidR="00BB6F65" w:rsidRDefault="00BB6F65" w:rsidP="00BB6F65">
      <w:r w:rsidRPr="00354331">
        <w:t>Jedním z cílů územního rozvoje státu je zapojení celé plochy území do společného systému tvorby a spotřeby hodnot. Cestou k tomu je vytvoření polycentrické struktury osídlení. Nástrojem k zapojení celé plochy území do aktivního hospodářského života je komunikace. Ta má dvě formy – přenos informací a přepravu osob a věcí. První forma komunikace, šíření informací, doznala v posledních l</w:t>
      </w:r>
      <w:r w:rsidR="009E2401">
        <w:t>e</w:t>
      </w:r>
      <w:r w:rsidRPr="00354331">
        <w:t xml:space="preserve">tech zásadní pokrok. Druhá forma komunikace, doprava osob a věcí, je </w:t>
      </w:r>
      <w:r w:rsidR="00127B36">
        <w:t xml:space="preserve">však </w:t>
      </w:r>
      <w:r w:rsidRPr="00354331">
        <w:t xml:space="preserve">dosud většinově založena na technologiích dvacátého století </w:t>
      </w:r>
      <w:r w:rsidR="00127B36">
        <w:t xml:space="preserve">a </w:t>
      </w:r>
      <w:r w:rsidRPr="00354331">
        <w:t>pokračování jejího extenzivního rozvoje je již v horizontu nejbližších let n</w:t>
      </w:r>
      <w:r w:rsidRPr="00F0389C">
        <w:t>eudržitelné. Kvalitní dopravní infrastruktura je ovšem jednou z důležitých podmínek konkurenceschopnosti jak státu, tak jednotlivých regionů</w:t>
      </w:r>
      <w:r w:rsidR="00AE7C11">
        <w:t>, přinášející</w:t>
      </w:r>
      <w:r w:rsidRPr="00F0389C">
        <w:t xml:space="preserve"> významné celospolečenské benefity.</w:t>
      </w:r>
    </w:p>
    <w:p w14:paraId="79AB8D9B" w14:textId="49D7F053" w:rsidR="00BB6F65" w:rsidRDefault="00BB6F65" w:rsidP="00BB6F65">
      <w:r w:rsidRPr="00354331">
        <w:t>Vize dopravní soustavy České republiky z dlouhodobého hlediska předpokládá, že Česká republika a její jednotlivé regiony budou vybaveny dopravní soustavou, která uspokojí požadavky přepravních potřeb jak v osobní, tak nákladní dopravě</w:t>
      </w:r>
      <w:r>
        <w:t>.</w:t>
      </w:r>
      <w:r w:rsidRPr="00354331">
        <w:t xml:space="preserve"> </w:t>
      </w:r>
      <w:r>
        <w:t>B</w:t>
      </w:r>
      <w:r w:rsidRPr="00354331">
        <w:t>ude podporovat udržitelný vývoj ekonomiky, a zároveň inkluzivní politiku namířenou na</w:t>
      </w:r>
      <w:r w:rsidR="007633AA">
        <w:t> </w:t>
      </w:r>
      <w:r w:rsidRPr="00354331">
        <w:t xml:space="preserve">strukturálně znevýhodněné regiony a jejich obyvatele. </w:t>
      </w:r>
      <w:r w:rsidR="00AE7C11">
        <w:t>D</w:t>
      </w:r>
      <w:r w:rsidRPr="00354331">
        <w:t>opravní systém</w:t>
      </w:r>
      <w:r w:rsidR="00AE7C11">
        <w:t xml:space="preserve"> má</w:t>
      </w:r>
      <w:r w:rsidRPr="00354331">
        <w:t xml:space="preserve"> zároveň splňovat požadavky udržitelnosti, což znamená, že bude neutrální z hlediska vlivu na globální (nejen klimatické) změny (z</w:t>
      </w:r>
      <w:r w:rsidR="00AE7C11">
        <w:t> </w:t>
      </w:r>
      <w:r w:rsidRPr="00354331">
        <w:t xml:space="preserve">hlediska </w:t>
      </w:r>
      <w:proofErr w:type="spellStart"/>
      <w:r w:rsidRPr="00354331">
        <w:t>mitigace</w:t>
      </w:r>
      <w:proofErr w:type="spellEnd"/>
      <w:r w:rsidRPr="00354331">
        <w:t xml:space="preserve"> i adaptace), bude mít co nejmenší </w:t>
      </w:r>
      <w:r w:rsidR="0073651B">
        <w:t xml:space="preserve">negativní </w:t>
      </w:r>
      <w:r w:rsidRPr="00354331">
        <w:t>vliv na veřejné zdraví, bude jen minimálně ovlivňovat biodiverzitu, přírodu a krajinu a bude vyváženě využívat přírodní zdroje</w:t>
      </w:r>
      <w:r>
        <w:t>.</w:t>
      </w:r>
      <w:r w:rsidRPr="00354331">
        <w:t xml:space="preserve"> Bude proto nutné uspokojovat potřebu po mobilitě osob a věcí, </w:t>
      </w:r>
      <w:r>
        <w:t>na principu</w:t>
      </w:r>
      <w:r w:rsidRPr="00354331">
        <w:t xml:space="preserve"> udržitelnost</w:t>
      </w:r>
      <w:r>
        <w:t>i</w:t>
      </w:r>
      <w:r w:rsidRPr="00354331">
        <w:t xml:space="preserve"> ve vztahu k dalšímu ekonomickému vývoji. Cílem je</w:t>
      </w:r>
      <w:r w:rsidR="007633AA">
        <w:t> </w:t>
      </w:r>
      <w:r w:rsidR="00AE7C11">
        <w:t>rozvíjet</w:t>
      </w:r>
      <w:r w:rsidRPr="00354331">
        <w:t xml:space="preserve"> dopravu, nikoliv v její současné extenzivní podobě se silnou závislostí na</w:t>
      </w:r>
      <w:r w:rsidR="007633AA">
        <w:t> </w:t>
      </w:r>
      <w:r w:rsidRPr="00354331">
        <w:t xml:space="preserve">vysoké spotřebě zejména fosilních paliv, </w:t>
      </w:r>
      <w:r w:rsidR="002D14D5">
        <w:t>ale</w:t>
      </w:r>
      <w:r w:rsidRPr="00354331">
        <w:t xml:space="preserve"> v energeticky nenáročné a environmentálně</w:t>
      </w:r>
      <w:r w:rsidR="002D14D5">
        <w:t>,</w:t>
      </w:r>
      <w:r w:rsidR="0073651B">
        <w:t xml:space="preserve"> vůči zdraví obyvatel</w:t>
      </w:r>
      <w:r w:rsidRPr="00354331">
        <w:t xml:space="preserve"> šetrné podobě.</w:t>
      </w:r>
    </w:p>
    <w:p w14:paraId="456473F6" w14:textId="5D80F229" w:rsidR="00BB6F65" w:rsidRDefault="00BB6F65" w:rsidP="00BB6F65">
      <w:pPr>
        <w:rPr>
          <w:szCs w:val="20"/>
        </w:rPr>
      </w:pPr>
      <w:r>
        <w:t>Rostoucí nároky globální ekonomiky nutí k rozvoji a zkvalitňování dopravy. Kvalitní doprava je klíčová pro prosperitu firem, investic a celkovou konkurenceschopnost země. Je nutné dokončit základní síť dálnic a železnic pro kvalitní dostupnost regionů, tzn. zajistit napojení všech regionů</w:t>
      </w:r>
      <w:r w:rsidR="002D14D5">
        <w:t>,</w:t>
      </w:r>
      <w:r>
        <w:t xml:space="preserve"> včetně přeshraničních spojení na páteřní síť.  Modernizace a rozvoj infrastruktury </w:t>
      </w:r>
      <w:r w:rsidR="002D14D5">
        <w:t xml:space="preserve">hromadné dopravy </w:t>
      </w:r>
      <w:r>
        <w:t xml:space="preserve">ve větších městech je nezbytná. Je nutné podporovat udržitelnou mobilitu a přechod na nízkouhlíkovou dopravu, zavádět alternativní paliva ve všech druzích dopravy, napojit Českou republiku na evropskou </w:t>
      </w:r>
      <w:r w:rsidR="009E2401">
        <w:t xml:space="preserve">dopravní </w:t>
      </w:r>
      <w:r>
        <w:t>síť, zlepšovat infrastrukturu a vybudovat "chytrý dopravní systém" pro větší bezpečnost a plynulost provozu</w:t>
      </w:r>
      <w:r w:rsidRPr="00582E7B">
        <w:rPr>
          <w:szCs w:val="20"/>
        </w:rPr>
        <w:t>.</w:t>
      </w:r>
    </w:p>
    <w:p w14:paraId="39C17990" w14:textId="01EC19E8" w:rsidR="00BB6F65" w:rsidRPr="00F0389C" w:rsidRDefault="00BB6F65" w:rsidP="00BB6F65">
      <w:r w:rsidRPr="00F0389C">
        <w:t>V rámci rozvoje dopravní infrastruktury je důležitým cílem splnění požadavků nařízení o transevropských dopravních sítích TEN-T, tedy dokončit hlavní síť TEN-T do roku 2030, rozšířenou hlavní síť do roku 2040 a globální síť do roku 2050 s tím, že zároveň s dokončením sítě TEN-T se počítá s dobudováním kvalitní silniční a železniční sítě do všech aglomerací České republiky definovaných ve Strategii regionálního rozvoje.</w:t>
      </w:r>
    </w:p>
    <w:p w14:paraId="4E6150F2" w14:textId="3ECDCDA0" w:rsidR="00BB6F65" w:rsidRPr="006C2504" w:rsidRDefault="00BB6F65" w:rsidP="00BB6F65">
      <w:pPr>
        <w:pStyle w:val="HSNadpis4bezslovn"/>
      </w:pPr>
      <w:r w:rsidRPr="006C2504">
        <w:t>Souhrnná analýza potenciálu ekonomiky České republiky v dané oblasti (SWOT analýza):</w:t>
      </w:r>
    </w:p>
    <w:p w14:paraId="066B2045" w14:textId="77777777" w:rsidR="00BB6F65" w:rsidRPr="00F0389C" w:rsidRDefault="00BB6F65" w:rsidP="00BB6F65">
      <w:pPr>
        <w:pStyle w:val="HSNadpis5bezslovn"/>
      </w:pPr>
      <w:r w:rsidRPr="00F0389C">
        <w:t>Silné stránky:</w:t>
      </w:r>
    </w:p>
    <w:p w14:paraId="56C1AE10" w14:textId="77777777" w:rsidR="00BB6F65" w:rsidRPr="00F0389C" w:rsidRDefault="00BB6F65" w:rsidP="00BB6F65">
      <w:pPr>
        <w:pStyle w:val="HSpodbod"/>
      </w:pPr>
      <w:r w:rsidRPr="00F0389C">
        <w:t>Kvalitní a rozsáhlá veřejná doprava umožňuje efektivní pohyb osob i zboží v rámci země i mezinárodně, což přispívá mimo jiné k udržitelnému rozvoji a snižuje dopady na životní prostředí.</w:t>
      </w:r>
    </w:p>
    <w:p w14:paraId="5F3F8217" w14:textId="77777777" w:rsidR="00BB6F65" w:rsidRPr="00F0389C" w:rsidRDefault="00BB6F65" w:rsidP="00BB6F65">
      <w:pPr>
        <w:pStyle w:val="HSpodbod"/>
      </w:pPr>
      <w:r w:rsidRPr="00F0389C">
        <w:t>Zvyšující se využití druhotných surovin v dopravní infrastruktuře snižuje zátěž na životní prostředí a přispívá k udržitelnému hospodaření s přírodními zdroji.</w:t>
      </w:r>
    </w:p>
    <w:p w14:paraId="226E83E0" w14:textId="6E62BF91" w:rsidR="00BB6F65" w:rsidRPr="00F0389C" w:rsidRDefault="00BB6F65" w:rsidP="00BB6F65">
      <w:pPr>
        <w:pStyle w:val="HSpodbod"/>
      </w:pPr>
      <w:r w:rsidRPr="00F0389C">
        <w:t>Nadprůměrně hustá železniční síť a modernizované železniční koridory.</w:t>
      </w:r>
    </w:p>
    <w:p w14:paraId="04C5E1D9" w14:textId="77777777" w:rsidR="00BB6F65" w:rsidRPr="00F0389C" w:rsidRDefault="00BB6F65" w:rsidP="00BB6F65">
      <w:pPr>
        <w:pStyle w:val="HSpodbod"/>
      </w:pPr>
      <w:r w:rsidRPr="00F0389C">
        <w:t>Dobrá dopravní obslužnost metropolitních regionů a provázanost městské dopravy s dopravou regionální/příměstskou v metropolitních regionech.</w:t>
      </w:r>
    </w:p>
    <w:p w14:paraId="36760186" w14:textId="77777777" w:rsidR="00BB6F65" w:rsidRPr="00F0389C" w:rsidRDefault="00BB6F65" w:rsidP="00BB6F65">
      <w:pPr>
        <w:pStyle w:val="HSNadpis5bezslovn"/>
      </w:pPr>
      <w:r w:rsidRPr="00F0389C">
        <w:t>Slabé stránky:</w:t>
      </w:r>
    </w:p>
    <w:p w14:paraId="6825344A" w14:textId="77777777" w:rsidR="00BB6F65" w:rsidRDefault="00BB6F65" w:rsidP="00BB6F65">
      <w:pPr>
        <w:pStyle w:val="HSpodbod"/>
      </w:pPr>
      <w:r>
        <w:t>Pomalá rychlost přípravy nových staveb dopravní infrastruktury vlivem zapojení mnoha subjektů v procesu.</w:t>
      </w:r>
    </w:p>
    <w:p w14:paraId="7653E714" w14:textId="59AA90E0" w:rsidR="00BB6F65" w:rsidRPr="00F0389C" w:rsidRDefault="00BB6F65">
      <w:pPr>
        <w:pStyle w:val="HSpodbod"/>
      </w:pPr>
      <w:r>
        <w:t>Nedokončená dálniční síť</w:t>
      </w:r>
      <w:r w:rsidR="00490E2C">
        <w:t xml:space="preserve"> a</w:t>
      </w:r>
      <w:r>
        <w:t xml:space="preserve"> síť páteřních komunikací</w:t>
      </w:r>
      <w:r w:rsidR="00490E2C">
        <w:t>, nedobudované obchvaty velkých měst</w:t>
      </w:r>
      <w:r>
        <w:t>, nedokončená modernizace železničních uzlů a absence rychlých železničních spojení snižují efektivitu dopravy.</w:t>
      </w:r>
    </w:p>
    <w:p w14:paraId="0BD4CF33" w14:textId="00E097E5" w:rsidR="00BB6F65" w:rsidRPr="00F0389C" w:rsidRDefault="00BB6F65" w:rsidP="00BB6F65">
      <w:pPr>
        <w:pStyle w:val="HSpodbod"/>
      </w:pPr>
      <w:r w:rsidRPr="00F0389C">
        <w:t>Nízká kvalita silnic</w:t>
      </w:r>
      <w:r w:rsidR="005916BE">
        <w:t>, zejména nižších tříd,</w:t>
      </w:r>
      <w:r w:rsidRPr="00F0389C">
        <w:t xml:space="preserve"> zvyšuje náklady na údržbu vozidel, způsobuje častější opravy a ztrátu času kvůli opravám.</w:t>
      </w:r>
    </w:p>
    <w:p w14:paraId="7E1D7E69" w14:textId="0870A68E" w:rsidR="00BB6F65" w:rsidRDefault="002D14D5" w:rsidP="00BB6F65">
      <w:pPr>
        <w:pStyle w:val="HSpodbod"/>
      </w:pPr>
      <w:r>
        <w:t>V</w:t>
      </w:r>
      <w:r w:rsidR="00BB6F65" w:rsidRPr="00F0389C">
        <w:t>ysoké průměrné stáří automobilů.</w:t>
      </w:r>
    </w:p>
    <w:p w14:paraId="64B23D39" w14:textId="7D0A636D" w:rsidR="002D14D5" w:rsidRPr="00F0389C" w:rsidRDefault="002D14D5" w:rsidP="002D14D5">
      <w:pPr>
        <w:pStyle w:val="HSpodbod"/>
      </w:pPr>
      <w:r w:rsidRPr="00F0389C">
        <w:t>Vysoká závislost na fosilních palivech v</w:t>
      </w:r>
      <w:r>
        <w:t> </w:t>
      </w:r>
      <w:r w:rsidRPr="00F0389C">
        <w:t>dopravě</w:t>
      </w:r>
      <w:r>
        <w:t>.</w:t>
      </w:r>
    </w:p>
    <w:p w14:paraId="4C878CC3" w14:textId="77777777" w:rsidR="00BB6F65" w:rsidRPr="00F0389C" w:rsidRDefault="00BB6F65" w:rsidP="00BB6F65">
      <w:pPr>
        <w:pStyle w:val="HSpodbod"/>
      </w:pPr>
      <w:r w:rsidRPr="00F0389C">
        <w:t>Slabá společenská a tržní motivace k přechodu na nízkouhlíkové hospodářství v dopravě.</w:t>
      </w:r>
    </w:p>
    <w:p w14:paraId="072FF02E" w14:textId="77777777" w:rsidR="00BB6F65" w:rsidRPr="00F0389C" w:rsidRDefault="00BB6F65" w:rsidP="00BB6F65">
      <w:pPr>
        <w:pStyle w:val="HSNadpis5bezslovn"/>
      </w:pPr>
      <w:r w:rsidRPr="00F0389C">
        <w:lastRenderedPageBreak/>
        <w:t>Příležitosti:</w:t>
      </w:r>
    </w:p>
    <w:p w14:paraId="551DD84C" w14:textId="19D9DB4D" w:rsidR="00BB6F65" w:rsidRPr="00F0389C" w:rsidRDefault="00BB6F65" w:rsidP="00BB6F65">
      <w:pPr>
        <w:pStyle w:val="HSpodbod"/>
      </w:pPr>
      <w:r w:rsidRPr="00F0389C">
        <w:t xml:space="preserve">Zapojení </w:t>
      </w:r>
      <w:r w:rsidR="0019214C">
        <w:t>České republiky</w:t>
      </w:r>
      <w:r w:rsidR="0019214C" w:rsidRPr="00F0389C">
        <w:t xml:space="preserve"> </w:t>
      </w:r>
      <w:r w:rsidRPr="00F0389C">
        <w:t>do pokrytí rychle rostoucí potřeby EU pro kapacitní dopravní, datové a energetické propojení.</w:t>
      </w:r>
    </w:p>
    <w:p w14:paraId="74FFAF4D" w14:textId="77777777" w:rsidR="00BB6F65" w:rsidRPr="00F0389C" w:rsidRDefault="00BB6F65" w:rsidP="00BB6F65">
      <w:pPr>
        <w:pStyle w:val="HSpodbod"/>
      </w:pPr>
      <w:r w:rsidRPr="00F0389C">
        <w:t>Využití nového Dopravního a energetického stavebního úřadu urychlí povolovací procesy výstavby infrastruktury.</w:t>
      </w:r>
    </w:p>
    <w:p w14:paraId="0FF5190F" w14:textId="19B19AFC" w:rsidR="00BB6F65" w:rsidRPr="00F0389C" w:rsidRDefault="00BB6F65" w:rsidP="00BB6F65">
      <w:pPr>
        <w:pStyle w:val="HSpodbod"/>
      </w:pPr>
      <w:r w:rsidRPr="00F0389C">
        <w:t xml:space="preserve">Geografická poloha </w:t>
      </w:r>
      <w:r w:rsidR="0019214C">
        <w:t>České republiky</w:t>
      </w:r>
      <w:r w:rsidR="0019214C" w:rsidRPr="00F0389C">
        <w:t xml:space="preserve"> </w:t>
      </w:r>
      <w:r w:rsidRPr="00F0389C">
        <w:t>včetně příjmů z transitu a možností využití v multimodální dopravě</w:t>
      </w:r>
      <w:r w:rsidR="005916BE">
        <w:t>, s důrazem na železnici</w:t>
      </w:r>
      <w:r w:rsidRPr="00F0389C">
        <w:t>.</w:t>
      </w:r>
    </w:p>
    <w:p w14:paraId="48CF0022" w14:textId="77777777" w:rsidR="00BB6F65" w:rsidRPr="00F0389C" w:rsidRDefault="00BB6F65" w:rsidP="00BB6F65">
      <w:pPr>
        <w:pStyle w:val="HSpodbod"/>
      </w:pPr>
      <w:r w:rsidRPr="00F0389C">
        <w:t>Efektivní využití husté regionální železniční sítě pro lepší dostupnost regionálních center a snížení závislosti na automobilové dopravě.</w:t>
      </w:r>
    </w:p>
    <w:p w14:paraId="4844EE38" w14:textId="6451FA8D" w:rsidR="00BB6F65" w:rsidRPr="00F0389C" w:rsidRDefault="00BB6F65" w:rsidP="00BB6F65">
      <w:pPr>
        <w:pStyle w:val="HSpodbod"/>
      </w:pPr>
      <w:r w:rsidRPr="00F0389C">
        <w:t xml:space="preserve">Rozvoj ekosystému nízkoemisní </w:t>
      </w:r>
      <w:r w:rsidR="00AE039C">
        <w:t xml:space="preserve">a bezemisní </w:t>
      </w:r>
      <w:r w:rsidRPr="00F0389C">
        <w:t>mobility.</w:t>
      </w:r>
    </w:p>
    <w:p w14:paraId="1773BA54" w14:textId="77777777" w:rsidR="00BB6F65" w:rsidRPr="00F0389C" w:rsidRDefault="00BB6F65" w:rsidP="00BB6F65">
      <w:pPr>
        <w:pStyle w:val="HSpodbod"/>
      </w:pPr>
      <w:r w:rsidRPr="00F0389C">
        <w:rPr>
          <w:rFonts w:eastAsia="Times New Roman" w:cs="Calibri"/>
          <w:color w:val="000000"/>
          <w:lang w:eastAsia="cs-CZ"/>
        </w:rPr>
        <w:t>Zvyšování energetické účinnosti v dopravě a snižování přepravních nároků zaváděním nových technologií, včetně chytrého řízení dopravy.</w:t>
      </w:r>
    </w:p>
    <w:p w14:paraId="4DBFF624" w14:textId="77777777" w:rsidR="00BB6F65" w:rsidRPr="008124B3" w:rsidRDefault="00BB6F65" w:rsidP="00BB6F65">
      <w:pPr>
        <w:pStyle w:val="HSpodbod"/>
      </w:pPr>
      <w:r w:rsidRPr="00F0389C">
        <w:t>Strategická geografická poloha v centru Evropy poskytuje přístup ke klíčovým trhům a obchodním příležitostem.</w:t>
      </w:r>
    </w:p>
    <w:p w14:paraId="5852A3CF" w14:textId="77777777" w:rsidR="00BB6F65" w:rsidRPr="00F0389C" w:rsidRDefault="00BB6F65" w:rsidP="00BB6F65">
      <w:pPr>
        <w:pStyle w:val="HSNadpis5bezslovn"/>
      </w:pPr>
      <w:r w:rsidRPr="00F0389C">
        <w:t>Hrozby:</w:t>
      </w:r>
    </w:p>
    <w:p w14:paraId="75632924" w14:textId="77777777" w:rsidR="00BB6F65" w:rsidRPr="008124B3" w:rsidRDefault="00BB6F65" w:rsidP="00BB6F65">
      <w:pPr>
        <w:pStyle w:val="HSpodbod"/>
      </w:pPr>
      <w:r w:rsidRPr="00F0389C">
        <w:t>Zanedbání přípravy infrastruktury pro čistou mobilitu (nedostatek dobíjecích stanic pro elektromobily) a nedos</w:t>
      </w:r>
      <w:r w:rsidRPr="008124B3">
        <w:t>tatečné pokrytí infrastrukturou pro alternativní pohony.</w:t>
      </w:r>
    </w:p>
    <w:p w14:paraId="782E4E53" w14:textId="57FC02C2" w:rsidR="00BB6F65" w:rsidRPr="008124B3" w:rsidRDefault="005916BE" w:rsidP="00BB6F65">
      <w:pPr>
        <w:pStyle w:val="HSpodbod"/>
      </w:pPr>
      <w:r>
        <w:rPr>
          <w:color w:val="auto"/>
        </w:rPr>
        <w:t xml:space="preserve">Snížení role </w:t>
      </w:r>
      <w:r w:rsidR="00BB6F65" w:rsidRPr="008124B3">
        <w:t xml:space="preserve">České republiky </w:t>
      </w:r>
      <w:r>
        <w:rPr>
          <w:color w:val="auto"/>
        </w:rPr>
        <w:t>z hlediska nákladní železniční dopravy v případě nízké kapacity sítě</w:t>
      </w:r>
      <w:r w:rsidR="00BB6F65" w:rsidRPr="008124B3">
        <w:t>.</w:t>
      </w:r>
    </w:p>
    <w:p w14:paraId="75993D72" w14:textId="77777777" w:rsidR="00BB6F65" w:rsidRPr="008124B3" w:rsidRDefault="00BB6F65" w:rsidP="00BB6F65">
      <w:pPr>
        <w:pStyle w:val="HSpodbod"/>
      </w:pPr>
      <w:r w:rsidRPr="008124B3">
        <w:t>Zvýšení produkce odpadu z baterií, zejm. v důsledku rozvoje e-mobility.</w:t>
      </w:r>
    </w:p>
    <w:p w14:paraId="12D723B8" w14:textId="77777777" w:rsidR="00BB6F65" w:rsidRPr="008124B3" w:rsidRDefault="00BB6F65" w:rsidP="00BB6F65">
      <w:pPr>
        <w:pStyle w:val="HSpodbod"/>
      </w:pPr>
      <w:r w:rsidRPr="008124B3">
        <w:t>Nedobudování páteřní dopravní infrastruktury (silniční i železniční).</w:t>
      </w:r>
    </w:p>
    <w:p w14:paraId="6282137F" w14:textId="63412E3D" w:rsidR="00BB6F65" w:rsidRDefault="00BB6F65" w:rsidP="00BB6F65">
      <w:pPr>
        <w:pStyle w:val="HSNadpis4bezslovn"/>
      </w:pPr>
      <w:r w:rsidRPr="006C2504">
        <w:t>Strategické cíle:</w:t>
      </w:r>
    </w:p>
    <w:p w14:paraId="181D106E" w14:textId="38BAC758" w:rsidR="00BC2C52" w:rsidRPr="00DB50F0" w:rsidRDefault="00F760BD" w:rsidP="00DB50F0">
      <w:pPr>
        <w:pStyle w:val="HSpodbod"/>
      </w:pPr>
      <w:r w:rsidRPr="00DB50F0">
        <w:t>Dobudovat h</w:t>
      </w:r>
      <w:r w:rsidR="00BC2C52" w:rsidRPr="00DB50F0">
        <w:t>ustější dálniční síť</w:t>
      </w:r>
      <w:r w:rsidR="007633AA">
        <w:t>.</w:t>
      </w:r>
    </w:p>
    <w:p w14:paraId="2E0C0163" w14:textId="77777777" w:rsidR="00BC2C52" w:rsidRPr="00DB50F0" w:rsidRDefault="00BC2C52" w:rsidP="00DB50F0">
      <w:pPr>
        <w:pStyle w:val="HSpodbod"/>
        <w:numPr>
          <w:ilvl w:val="0"/>
          <w:numId w:val="0"/>
        </w:numPr>
        <w:ind w:left="360"/>
      </w:pPr>
      <w:r w:rsidRPr="00DB50F0">
        <w:t>Ukazatel: Počet kilometrů dálnic</w:t>
      </w:r>
    </w:p>
    <w:p w14:paraId="5E3BC8BA" w14:textId="675968A1" w:rsidR="00BC2C52" w:rsidRPr="00DB50F0" w:rsidRDefault="00F760BD" w:rsidP="00DB50F0">
      <w:pPr>
        <w:pStyle w:val="HSpodbod"/>
      </w:pPr>
      <w:r w:rsidRPr="00DB50F0">
        <w:t xml:space="preserve">Rozvoj </w:t>
      </w:r>
      <w:r w:rsidR="00DF6224">
        <w:t xml:space="preserve">kapacity </w:t>
      </w:r>
      <w:r w:rsidRPr="00DB50F0">
        <w:t>vysokorychlostní ž</w:t>
      </w:r>
      <w:r w:rsidR="00BC2C52" w:rsidRPr="00DB50F0">
        <w:t>elezniční doprav</w:t>
      </w:r>
      <w:r w:rsidRPr="00DB50F0">
        <w:t>y</w:t>
      </w:r>
      <w:r w:rsidR="007633AA">
        <w:t>.</w:t>
      </w:r>
    </w:p>
    <w:p w14:paraId="36907B43" w14:textId="77777777" w:rsidR="00BC2C52" w:rsidRPr="00DB50F0" w:rsidRDefault="00BC2C52" w:rsidP="00DB50F0">
      <w:pPr>
        <w:pStyle w:val="HSpodbod"/>
        <w:numPr>
          <w:ilvl w:val="0"/>
          <w:numId w:val="0"/>
        </w:numPr>
        <w:ind w:left="360"/>
      </w:pPr>
      <w:r w:rsidRPr="00DB50F0">
        <w:t>Ukazatel: Počet kilometrů vysokorychlostních tratí</w:t>
      </w:r>
    </w:p>
    <w:p w14:paraId="4AFCA7EC" w14:textId="1279D7D3" w:rsidR="00BC2C52" w:rsidRPr="00DB50F0" w:rsidRDefault="00F760BD" w:rsidP="00DB50F0">
      <w:pPr>
        <w:pStyle w:val="HSpodbod"/>
      </w:pPr>
      <w:r w:rsidRPr="00DB50F0">
        <w:t>Vybudovat i</w:t>
      </w:r>
      <w:r w:rsidR="00BC2C52" w:rsidRPr="00DB50F0">
        <w:t>nfrastruktur</w:t>
      </w:r>
      <w:r w:rsidRPr="00DB50F0">
        <w:t>u</w:t>
      </w:r>
      <w:r w:rsidR="00BC2C52" w:rsidRPr="00DB50F0">
        <w:t xml:space="preserve"> pro alternativní dopravu</w:t>
      </w:r>
      <w:r w:rsidRPr="00DB50F0">
        <w:t>,</w:t>
      </w:r>
      <w:r w:rsidR="00BC2C52" w:rsidRPr="00DB50F0">
        <w:t xml:space="preserve"> nabíjecí stanic</w:t>
      </w:r>
      <w:r w:rsidRPr="00DB50F0">
        <w:t>e</w:t>
      </w:r>
      <w:r w:rsidR="00BC2C52" w:rsidRPr="00DB50F0">
        <w:t xml:space="preserve">, </w:t>
      </w:r>
      <w:r w:rsidRPr="00DB50F0">
        <w:t xml:space="preserve">včetně </w:t>
      </w:r>
      <w:r w:rsidR="00BC2C52" w:rsidRPr="00DB50F0">
        <w:t>H, CNG</w:t>
      </w:r>
      <w:r w:rsidR="007633AA">
        <w:t>.</w:t>
      </w:r>
    </w:p>
    <w:p w14:paraId="37C0281C" w14:textId="77777777" w:rsidR="00BC2C52" w:rsidRPr="00DB50F0" w:rsidRDefault="00BC2C52" w:rsidP="00DB50F0">
      <w:pPr>
        <w:pStyle w:val="HSpodbod"/>
        <w:numPr>
          <w:ilvl w:val="0"/>
          <w:numId w:val="0"/>
        </w:numPr>
        <w:ind w:left="360"/>
      </w:pPr>
      <w:r w:rsidRPr="00DB50F0">
        <w:t xml:space="preserve">Ukazatel: Počet nabíjecích stanic </w:t>
      </w:r>
    </w:p>
    <w:p w14:paraId="74756335" w14:textId="77777777" w:rsidR="00DB50F0" w:rsidRPr="00DB50F0" w:rsidRDefault="00DB50F0" w:rsidP="00DB50F0">
      <w:pPr>
        <w:pStyle w:val="HSNadpis4bezslovn"/>
      </w:pPr>
      <w:r w:rsidRPr="006C2504">
        <w:t>S</w:t>
      </w:r>
      <w:r>
        <w:t xml:space="preserve">pecifické </w:t>
      </w:r>
      <w:r w:rsidRPr="006C2504">
        <w:t>cíle:</w:t>
      </w:r>
    </w:p>
    <w:p w14:paraId="3332DE2E" w14:textId="34893E99" w:rsidR="00BB6F65" w:rsidRPr="00036E89" w:rsidRDefault="00BB6F65" w:rsidP="00BB6F65">
      <w:pPr>
        <w:pStyle w:val="HSpodbod"/>
      </w:pPr>
      <w:r>
        <w:t>Dobudovat základní sítě dopravní infrastruktury</w:t>
      </w:r>
      <w:r w:rsidR="00B671BB">
        <w:t>.</w:t>
      </w:r>
    </w:p>
    <w:p w14:paraId="41826BE5" w14:textId="684EEB64" w:rsidR="00BB6F65" w:rsidRDefault="00BB6F65" w:rsidP="00BB6F65">
      <w:pPr>
        <w:pStyle w:val="HSpodbod"/>
      </w:pPr>
      <w:r>
        <w:t>Zavádět moderní technologie v</w:t>
      </w:r>
      <w:r w:rsidR="00B671BB">
        <w:t> </w:t>
      </w:r>
      <w:r>
        <w:t>dopravě</w:t>
      </w:r>
      <w:r w:rsidR="00B671BB">
        <w:t>.</w:t>
      </w:r>
    </w:p>
    <w:p w14:paraId="4371FA38" w14:textId="36A940A2" w:rsidR="00BB6F65" w:rsidRPr="00D72F81" w:rsidRDefault="00BB6F65" w:rsidP="00BB6F65">
      <w:pPr>
        <w:pStyle w:val="HSpodbod"/>
      </w:pPr>
      <w:r w:rsidRPr="00D72F81">
        <w:t>Sníž</w:t>
      </w:r>
      <w:r>
        <w:t>it</w:t>
      </w:r>
      <w:r w:rsidRPr="00D72F81">
        <w:t xml:space="preserve"> energetick</w:t>
      </w:r>
      <w:r>
        <w:t>ou</w:t>
      </w:r>
      <w:r w:rsidRPr="00D72F81">
        <w:t xml:space="preserve"> náročnost a vliv dopravy na životní prostředí a zdraví</w:t>
      </w:r>
      <w:r w:rsidR="00B671BB">
        <w:t>.</w:t>
      </w:r>
    </w:p>
    <w:p w14:paraId="069921DF" w14:textId="16215082" w:rsidR="00BB6F65" w:rsidRDefault="00BB6F65" w:rsidP="00BB6F65">
      <w:pPr>
        <w:pStyle w:val="HSpodbod"/>
      </w:pPr>
      <w:r w:rsidRPr="00635510">
        <w:t>Zvýš</w:t>
      </w:r>
      <w:r>
        <w:t>it</w:t>
      </w:r>
      <w:r w:rsidRPr="00635510">
        <w:t xml:space="preserve"> efektivit</w:t>
      </w:r>
      <w:r>
        <w:t>u</w:t>
      </w:r>
      <w:r w:rsidRPr="00635510">
        <w:t xml:space="preserve"> služeb v oblasti osobní dopravy</w:t>
      </w:r>
      <w:r w:rsidR="00B671BB">
        <w:t>.</w:t>
      </w:r>
    </w:p>
    <w:p w14:paraId="3BB50E3A" w14:textId="171A53E9" w:rsidR="00BB6F65" w:rsidRDefault="00BB6F65" w:rsidP="00BB6F65">
      <w:pPr>
        <w:pStyle w:val="HSpodbod"/>
      </w:pPr>
      <w:r w:rsidRPr="00635510">
        <w:t>Zvýš</w:t>
      </w:r>
      <w:r>
        <w:t>it</w:t>
      </w:r>
      <w:r w:rsidRPr="00635510">
        <w:t xml:space="preserve"> efektivit</w:t>
      </w:r>
      <w:r>
        <w:t>u</w:t>
      </w:r>
      <w:r w:rsidRPr="00635510">
        <w:t xml:space="preserve"> služeb v oblasti nákladní dopravy</w:t>
      </w:r>
      <w:r w:rsidR="00B671BB">
        <w:t>.</w:t>
      </w:r>
    </w:p>
    <w:p w14:paraId="3A73F927" w14:textId="77777777" w:rsidR="00BB6F65" w:rsidRDefault="00BB6F65" w:rsidP="00BB6F65">
      <w:pPr>
        <w:pStyle w:val="HSNadpis4bezslovn"/>
      </w:pPr>
      <w:r w:rsidRPr="006C2504">
        <w:t>Hlavní opatření:</w:t>
      </w:r>
    </w:p>
    <w:p w14:paraId="0E2A2271" w14:textId="54CCFDB6" w:rsidR="00BB6F65" w:rsidRDefault="005916BE" w:rsidP="00BB6F65">
      <w:pPr>
        <w:pStyle w:val="HSpodbod"/>
      </w:pPr>
      <w:r>
        <w:t>Zapojit i do dalších projektů výstavby dopravní infrastruktury systém financování formou PPP</w:t>
      </w:r>
      <w:r w:rsidR="00BB6F65" w:rsidRPr="00FE11A5">
        <w:t>.</w:t>
      </w:r>
      <w:r w:rsidR="00BB6F65" w:rsidRPr="00FE11A5">
        <w:rPr>
          <w:b/>
          <w:bCs/>
        </w:rPr>
        <w:t xml:space="preserve"> #NERV</w:t>
      </w:r>
    </w:p>
    <w:p w14:paraId="0177F14B" w14:textId="704A0113" w:rsidR="00BB6F65" w:rsidRPr="00056AC1" w:rsidRDefault="00BB6F65" w:rsidP="00BB6F65">
      <w:pPr>
        <w:pStyle w:val="HSpodbod"/>
      </w:pPr>
      <w:bookmarkStart w:id="55" w:name="_Hlk171411994"/>
      <w:r w:rsidRPr="00F0389C">
        <w:t>Dostatečn</w:t>
      </w:r>
      <w:r>
        <w:t>ě</w:t>
      </w:r>
      <w:r w:rsidRPr="00F0389C">
        <w:t xml:space="preserve"> a plynul</w:t>
      </w:r>
      <w:r>
        <w:t>e</w:t>
      </w:r>
      <w:r w:rsidRPr="00F0389C">
        <w:t xml:space="preserve"> financov</w:t>
      </w:r>
      <w:r>
        <w:t>at</w:t>
      </w:r>
      <w:r w:rsidRPr="00F0389C">
        <w:t xml:space="preserve"> rozvoj a údržb</w:t>
      </w:r>
      <w:r>
        <w:t>u</w:t>
      </w:r>
      <w:r w:rsidRPr="00F0389C">
        <w:t xml:space="preserve"> infrastruktury; vybudov</w:t>
      </w:r>
      <w:r>
        <w:t>at</w:t>
      </w:r>
      <w:r w:rsidRPr="00F0389C">
        <w:t xml:space="preserve"> kvalitní </w:t>
      </w:r>
      <w:r>
        <w:t xml:space="preserve">a bezpečné </w:t>
      </w:r>
      <w:r w:rsidRPr="00F0389C">
        <w:t>silniční a</w:t>
      </w:r>
      <w:r w:rsidR="00B671BB">
        <w:t> </w:t>
      </w:r>
      <w:r w:rsidRPr="00F0389C">
        <w:t>železniční sítě do všech aglomerací České republiky</w:t>
      </w:r>
      <w:r>
        <w:t>,</w:t>
      </w:r>
      <w:r w:rsidRPr="00056AC1">
        <w:t xml:space="preserve"> včetně kvalitní a dostatečně kapacitní sí</w:t>
      </w:r>
      <w:r>
        <w:t>tě</w:t>
      </w:r>
      <w:r w:rsidRPr="00056AC1">
        <w:t xml:space="preserve"> silnic I.</w:t>
      </w:r>
      <w:r w:rsidR="00B671BB">
        <w:t> </w:t>
      </w:r>
      <w:r w:rsidRPr="00056AC1">
        <w:t>třídy zabezpečující propojení jednotlivých regionů a jejich napojení na dálnice</w:t>
      </w:r>
      <w:r>
        <w:t>.</w:t>
      </w:r>
    </w:p>
    <w:p w14:paraId="71706C1C" w14:textId="77777777" w:rsidR="00BB6F65" w:rsidRPr="00056AC1" w:rsidRDefault="00BB6F65" w:rsidP="00BB6F65">
      <w:pPr>
        <w:pStyle w:val="HSpodbod"/>
      </w:pPr>
      <w:r>
        <w:t>Z</w:t>
      </w:r>
      <w:r w:rsidRPr="00056AC1">
        <w:t>aji</w:t>
      </w:r>
      <w:r>
        <w:t>stit</w:t>
      </w:r>
      <w:r w:rsidRPr="00056AC1">
        <w:t xml:space="preserve"> a udrže</w:t>
      </w:r>
      <w:r>
        <w:t>t</w:t>
      </w:r>
      <w:r w:rsidRPr="00056AC1">
        <w:t xml:space="preserve"> optimální technick</w:t>
      </w:r>
      <w:r>
        <w:t xml:space="preserve">ý </w:t>
      </w:r>
      <w:r w:rsidRPr="00056AC1">
        <w:t>stav stávající i nové silniční sítě</w:t>
      </w:r>
      <w:r>
        <w:t>.</w:t>
      </w:r>
    </w:p>
    <w:p w14:paraId="00F07247" w14:textId="77777777" w:rsidR="00BB6F65" w:rsidRPr="00CD5FC1" w:rsidRDefault="00BB6F65" w:rsidP="00BB6F65">
      <w:pPr>
        <w:pStyle w:val="HSpodbod"/>
      </w:pPr>
      <w:r w:rsidRPr="00BA00B0">
        <w:t xml:space="preserve">Regulovat silniční dopravu a zajistit části prostředků pro údržbu a rozvoj infrastruktury přímo </w:t>
      </w:r>
      <w:r w:rsidRPr="00CD5FC1">
        <w:t>od jej</w:t>
      </w:r>
      <w:r>
        <w:t>i</w:t>
      </w:r>
      <w:r w:rsidRPr="00CD5FC1">
        <w:t>ch uživatelů</w:t>
      </w:r>
      <w:r>
        <w:t>.</w:t>
      </w:r>
    </w:p>
    <w:p w14:paraId="235CAF70" w14:textId="77777777" w:rsidR="00BB6F65" w:rsidRPr="00F0389C" w:rsidRDefault="00BB6F65" w:rsidP="00BB6F65">
      <w:pPr>
        <w:pStyle w:val="HSpodbod"/>
      </w:pPr>
      <w:r>
        <w:t>P</w:t>
      </w:r>
      <w:r w:rsidRPr="00056AC1">
        <w:t>řizpůsobit se výzvám autonomní mobility a dimenzovat silniční síť s ohledem na reálné potřeby uživatelů</w:t>
      </w:r>
      <w:r>
        <w:t>.</w:t>
      </w:r>
    </w:p>
    <w:p w14:paraId="35C32485" w14:textId="37564FE9" w:rsidR="00BB6F65" w:rsidRPr="00F0389C" w:rsidRDefault="002D14D5" w:rsidP="00BB6F65">
      <w:pPr>
        <w:pStyle w:val="HSpodbod"/>
      </w:pPr>
      <w:r>
        <w:t>D</w:t>
      </w:r>
      <w:r w:rsidR="00BB6F65" w:rsidRPr="00F0389C">
        <w:t>okončení sítě TEN-T a páteřní národní sítě</w:t>
      </w:r>
      <w:r w:rsidR="00BB6F65" w:rsidRPr="00056AC1">
        <w:t xml:space="preserve"> dálnic</w:t>
      </w:r>
      <w:r w:rsidR="00BB6F65">
        <w:t>, zlepšit</w:t>
      </w:r>
      <w:r w:rsidR="00BB6F65" w:rsidRPr="00056AC1">
        <w:t xml:space="preserve"> vnitrostátní propojení a napojení na okolní státy</w:t>
      </w:r>
      <w:r w:rsidR="00BB6F65">
        <w:t>.</w:t>
      </w:r>
    </w:p>
    <w:p w14:paraId="1A5CD693" w14:textId="77777777" w:rsidR="00BB6F65" w:rsidRPr="00F0389C" w:rsidRDefault="00BB6F65" w:rsidP="00BB6F65">
      <w:pPr>
        <w:pStyle w:val="HSpodbod"/>
      </w:pPr>
      <w:r w:rsidRPr="00F0389C">
        <w:t>Zavádě</w:t>
      </w:r>
      <w:r>
        <w:t>t</w:t>
      </w:r>
      <w:r w:rsidRPr="00F0389C">
        <w:t xml:space="preserve"> inteligentní dopravní systém</w:t>
      </w:r>
      <w:r>
        <w:t>y</w:t>
      </w:r>
      <w:r w:rsidRPr="00F0389C">
        <w:t xml:space="preserve"> (ITS) i s ohledem na postupný rozvoj automatizované dopravy</w:t>
      </w:r>
      <w:r>
        <w:t>.</w:t>
      </w:r>
    </w:p>
    <w:p w14:paraId="76A095DF" w14:textId="77777777" w:rsidR="00BB6F65" w:rsidRPr="00F0389C" w:rsidRDefault="00BB6F65" w:rsidP="00BB6F65">
      <w:pPr>
        <w:pStyle w:val="HSpodbod"/>
      </w:pPr>
      <w:r w:rsidRPr="00F0389C">
        <w:lastRenderedPageBreak/>
        <w:t>Elektriz</w:t>
      </w:r>
      <w:r>
        <w:t>ovat</w:t>
      </w:r>
      <w:r w:rsidRPr="00F0389C">
        <w:t xml:space="preserve"> železnic</w:t>
      </w:r>
      <w:r>
        <w:t>e</w:t>
      </w:r>
      <w:r w:rsidRPr="00F0389C">
        <w:t xml:space="preserve"> a městsk</w:t>
      </w:r>
      <w:r>
        <w:t>ou</w:t>
      </w:r>
      <w:r w:rsidRPr="00F0389C">
        <w:t xml:space="preserve"> hromad</w:t>
      </w:r>
      <w:r>
        <w:t>nou</w:t>
      </w:r>
      <w:r w:rsidRPr="00F0389C">
        <w:t xml:space="preserve"> doprav</w:t>
      </w:r>
      <w:r>
        <w:t>u</w:t>
      </w:r>
      <w:r w:rsidRPr="00F0389C">
        <w:t xml:space="preserve"> a konver</w:t>
      </w:r>
      <w:r>
        <w:t>tovat</w:t>
      </w:r>
      <w:r w:rsidRPr="00F0389C">
        <w:t xml:space="preserve"> trakční soustavy; implement</w:t>
      </w:r>
      <w:r>
        <w:t>ovat</w:t>
      </w:r>
      <w:r w:rsidRPr="00F0389C">
        <w:t xml:space="preserve"> plán</w:t>
      </w:r>
      <w:r>
        <w:t>y</w:t>
      </w:r>
      <w:r w:rsidRPr="00F0389C">
        <w:t xml:space="preserve"> udržitelné městské mobility</w:t>
      </w:r>
      <w:r w:rsidRPr="00056AC1">
        <w:t xml:space="preserve"> a zlepš</w:t>
      </w:r>
      <w:r>
        <w:t>it</w:t>
      </w:r>
      <w:r w:rsidRPr="00056AC1">
        <w:t xml:space="preserve"> její infrastruktur</w:t>
      </w:r>
      <w:r>
        <w:t>u</w:t>
      </w:r>
      <w:r w:rsidRPr="00F0389C">
        <w:t>; dobudov</w:t>
      </w:r>
      <w:r>
        <w:t>at</w:t>
      </w:r>
      <w:r w:rsidRPr="00F0389C">
        <w:t xml:space="preserve"> veřejn</w:t>
      </w:r>
      <w:r>
        <w:t>é</w:t>
      </w:r>
      <w:r w:rsidRPr="00F0389C">
        <w:t xml:space="preserve"> stanic</w:t>
      </w:r>
      <w:r>
        <w:t>e</w:t>
      </w:r>
      <w:r w:rsidRPr="00F0389C">
        <w:t xml:space="preserve"> pro alternativní energie</w:t>
      </w:r>
      <w:r>
        <w:t>.</w:t>
      </w:r>
    </w:p>
    <w:p w14:paraId="09A28F5D" w14:textId="449274DC" w:rsidR="00BB6F65" w:rsidRPr="00F0389C" w:rsidRDefault="00BB6F65" w:rsidP="00BB6F65">
      <w:pPr>
        <w:pStyle w:val="HSpodbod"/>
      </w:pPr>
      <w:r w:rsidRPr="00F0389C">
        <w:t xml:space="preserve">Uplatňovat adaptační opatření a zajistit funkčnost dopravní infrastruktury v důsledku zvýšeného výskytu extrémních </w:t>
      </w:r>
      <w:r w:rsidR="00114304">
        <w:t>enviro</w:t>
      </w:r>
      <w:r w:rsidR="00966BFC">
        <w:t>n</w:t>
      </w:r>
      <w:r w:rsidR="00114304">
        <w:t xml:space="preserve">mentálních </w:t>
      </w:r>
      <w:r w:rsidRPr="00F0389C">
        <w:t>projevů</w:t>
      </w:r>
      <w:r>
        <w:t>.</w:t>
      </w:r>
    </w:p>
    <w:p w14:paraId="40CFADD5" w14:textId="2DE09ED5" w:rsidR="00C77CEB" w:rsidRPr="00C77CEB" w:rsidRDefault="00C77CEB" w:rsidP="00C77CEB">
      <w:pPr>
        <w:pStyle w:val="HSpodbod"/>
      </w:pPr>
      <w:r>
        <w:t>R</w:t>
      </w:r>
      <w:r w:rsidRPr="00C77CEB">
        <w:t>ozv</w:t>
      </w:r>
      <w:r>
        <w:t>íjet</w:t>
      </w:r>
      <w:r w:rsidRPr="00C77CEB">
        <w:t xml:space="preserve"> alternativní infrastruktur</w:t>
      </w:r>
      <w:r>
        <w:t>u.</w:t>
      </w:r>
    </w:p>
    <w:p w14:paraId="3C62A64C" w14:textId="77777777" w:rsidR="00BB6F65" w:rsidRPr="00F0389C" w:rsidRDefault="00BB6F65" w:rsidP="00BB6F65">
      <w:pPr>
        <w:pStyle w:val="HSpodbod"/>
      </w:pPr>
      <w:r>
        <w:t>Integrovat existující</w:t>
      </w:r>
      <w:r w:rsidRPr="00F0389C">
        <w:t xml:space="preserve"> dopravní systémy fungující na území jednotlivých krajů a </w:t>
      </w:r>
      <w:r>
        <w:t xml:space="preserve">provázat je </w:t>
      </w:r>
      <w:r w:rsidRPr="00F0389C">
        <w:t xml:space="preserve">v rámci sousedních krajů i s dálkovou dopravou; </w:t>
      </w:r>
      <w:r>
        <w:t>podporovat</w:t>
      </w:r>
      <w:r w:rsidRPr="00F0389C">
        <w:t xml:space="preserve"> aktivní doprav</w:t>
      </w:r>
      <w:r>
        <w:t>u</w:t>
      </w:r>
      <w:r w:rsidRPr="00F0389C">
        <w:t xml:space="preserve"> ve městech</w:t>
      </w:r>
      <w:r>
        <w:t>.</w:t>
      </w:r>
    </w:p>
    <w:p w14:paraId="2F927E56" w14:textId="77777777" w:rsidR="00BB6F65" w:rsidRPr="00F0389C" w:rsidRDefault="00BB6F65" w:rsidP="00BB6F65">
      <w:pPr>
        <w:pStyle w:val="HSpodbod"/>
      </w:pPr>
      <w:r w:rsidRPr="00F0389C">
        <w:t>Zaji</w:t>
      </w:r>
      <w:r>
        <w:t>s</w:t>
      </w:r>
      <w:r w:rsidRPr="00F0389C">
        <w:t>t</w:t>
      </w:r>
      <w:r>
        <w:t xml:space="preserve">it </w:t>
      </w:r>
      <w:r w:rsidRPr="00F0389C">
        <w:t>spolehlivost železniční, vodní a silniční dopravy v rámci logistického procesu a zaji</w:t>
      </w:r>
      <w:r>
        <w:t>s</w:t>
      </w:r>
      <w:r w:rsidRPr="00F0389C">
        <w:t>t</w:t>
      </w:r>
      <w:r>
        <w:t>it</w:t>
      </w:r>
      <w:r w:rsidRPr="00F0389C">
        <w:t xml:space="preserve"> nediskriminační trh v nákladní dopravě (internalizace externalit)</w:t>
      </w:r>
      <w:r>
        <w:t>.</w:t>
      </w:r>
    </w:p>
    <w:p w14:paraId="22058315" w14:textId="77777777" w:rsidR="00BB6F65" w:rsidRDefault="00BB6F65" w:rsidP="00BB6F65">
      <w:pPr>
        <w:pStyle w:val="HSpodbod"/>
      </w:pPr>
      <w:r w:rsidRPr="00F0389C">
        <w:t>Rozv</w:t>
      </w:r>
      <w:r>
        <w:t xml:space="preserve">íjet </w:t>
      </w:r>
      <w:r w:rsidRPr="00F0389C">
        <w:t>moderní trend</w:t>
      </w:r>
      <w:r>
        <w:t>y</w:t>
      </w:r>
      <w:r w:rsidRPr="00F0389C">
        <w:t xml:space="preserve"> a služb</w:t>
      </w:r>
      <w:r>
        <w:t>y</w:t>
      </w:r>
      <w:r w:rsidRPr="00F0389C">
        <w:t xml:space="preserve"> v nákladní dopravě, logistice a městské logistice</w:t>
      </w:r>
      <w:r>
        <w:t>.</w:t>
      </w:r>
    </w:p>
    <w:p w14:paraId="48828E4D" w14:textId="77777777" w:rsidR="00BB6F65" w:rsidRPr="00056AC1" w:rsidRDefault="00BB6F65" w:rsidP="00BB6F65">
      <w:pPr>
        <w:pStyle w:val="HSpodbod"/>
      </w:pPr>
      <w:r>
        <w:t xml:space="preserve">Podporovat </w:t>
      </w:r>
      <w:r w:rsidRPr="00056AC1">
        <w:t>kombinované dopravy pro zvýšení role nákladní železniční dopravy</w:t>
      </w:r>
      <w:r>
        <w:t>.</w:t>
      </w:r>
    </w:p>
    <w:p w14:paraId="5399F95C" w14:textId="1000864F" w:rsidR="00BB6F65" w:rsidRPr="00056AC1" w:rsidRDefault="00BB6F65" w:rsidP="00BB6F65">
      <w:pPr>
        <w:pStyle w:val="HSpodbod"/>
      </w:pPr>
      <w:r>
        <w:t>Připravovat</w:t>
      </w:r>
      <w:r w:rsidRPr="00056AC1">
        <w:t xml:space="preserve"> zásadní novostav</w:t>
      </w:r>
      <w:r>
        <w:t xml:space="preserve">by </w:t>
      </w:r>
      <w:r w:rsidRPr="00056AC1">
        <w:t>na úseku modernizace železniční dopravní cesty, stavb</w:t>
      </w:r>
      <w:r>
        <w:t>y</w:t>
      </w:r>
      <w:r w:rsidRPr="00056AC1">
        <w:t xml:space="preserve"> v uzlech umožňující navýšení provozu, včetně provozu v konceptu rychlých spojení a obnov</w:t>
      </w:r>
      <w:r>
        <w:t xml:space="preserve">ovat </w:t>
      </w:r>
      <w:r w:rsidRPr="00056AC1">
        <w:t>železniční stanic</w:t>
      </w:r>
      <w:r>
        <w:t>e</w:t>
      </w:r>
      <w:r w:rsidRPr="00056AC1">
        <w:t xml:space="preserve"> a</w:t>
      </w:r>
      <w:r w:rsidR="00B671BB">
        <w:t> </w:t>
      </w:r>
      <w:r w:rsidRPr="00056AC1">
        <w:t>zastáv</w:t>
      </w:r>
      <w:r>
        <w:t>ky.</w:t>
      </w:r>
    </w:p>
    <w:p w14:paraId="55003302" w14:textId="77777777" w:rsidR="00BB6F65" w:rsidRPr="00056AC1" w:rsidRDefault="00BB6F65" w:rsidP="00BB6F65">
      <w:pPr>
        <w:pStyle w:val="HSpodbod"/>
      </w:pPr>
      <w:r>
        <w:t xml:space="preserve">Zajistit </w:t>
      </w:r>
      <w:r w:rsidRPr="00056AC1">
        <w:t>využitelnosti dopravní cesty formou financování odůvodněných potřeb veřejné dopravy</w:t>
      </w:r>
      <w:r>
        <w:t xml:space="preserve"> a optimalizovat poplatky za použití dopravní cesty pro nákladní i osobní dopravu.</w:t>
      </w:r>
    </w:p>
    <w:bookmarkEnd w:id="55"/>
    <w:p w14:paraId="03B1C5D9" w14:textId="77777777" w:rsidR="00BB6F65" w:rsidRPr="006C2504" w:rsidRDefault="00BB6F65" w:rsidP="00BB6F65">
      <w:pPr>
        <w:pStyle w:val="HSNadpis4bezslovn"/>
      </w:pPr>
      <w:r w:rsidRPr="006C2504">
        <w:t>Naplňující strategie:</w:t>
      </w:r>
    </w:p>
    <w:p w14:paraId="55FFBB72" w14:textId="71DEFC16" w:rsidR="00BB6F65" w:rsidRPr="007050D0" w:rsidRDefault="00BB6F65" w:rsidP="00BB6F65">
      <w:pPr>
        <w:pStyle w:val="HSpodbod"/>
      </w:pPr>
      <w:r w:rsidRPr="007050D0">
        <w:t>Dopravní politika České republiky pro období 2021–2027 s výhledem do roku 2050</w:t>
      </w:r>
    </w:p>
    <w:p w14:paraId="4EC6E54C" w14:textId="21F5E856" w:rsidR="00BB6F65" w:rsidRPr="007050D0" w:rsidRDefault="00BB6F65" w:rsidP="00BB6F65">
      <w:pPr>
        <w:pStyle w:val="HSpodbod"/>
      </w:pPr>
      <w:r w:rsidRPr="007050D0">
        <w:t>Dopravní sektorové strategie 3. fáze – Střednědobý plán údržby, rozvoje a financování dopravní infrastruktury pro období 2024–2033 s výhledem do roku 2050</w:t>
      </w:r>
    </w:p>
    <w:p w14:paraId="3F576921" w14:textId="700C4668" w:rsidR="00BB6F65" w:rsidRPr="007050D0" w:rsidRDefault="00BB6F65" w:rsidP="00BB6F65">
      <w:pPr>
        <w:pStyle w:val="HSpodbod"/>
      </w:pPr>
      <w:r w:rsidRPr="007050D0">
        <w:t>Koncepce městské a aktivní mobility pro období 2021–2030</w:t>
      </w:r>
    </w:p>
    <w:p w14:paraId="1768ECA2" w14:textId="64E63F03" w:rsidR="00BB6F65" w:rsidRPr="007050D0" w:rsidRDefault="00BB6F65" w:rsidP="00BB6F65">
      <w:pPr>
        <w:pStyle w:val="HSpodbod"/>
      </w:pPr>
      <w:r w:rsidRPr="007050D0">
        <w:t>Koncepce nákladní dopravy pro období 2024–2035</w:t>
      </w:r>
    </w:p>
    <w:p w14:paraId="2F4ACDEE" w14:textId="70BEDB0C" w:rsidR="00BB6F65" w:rsidRPr="007050D0" w:rsidRDefault="00BB6F65" w:rsidP="00BB6F65">
      <w:pPr>
        <w:pStyle w:val="HSpodbod"/>
      </w:pPr>
      <w:r w:rsidRPr="007050D0">
        <w:t>Koncepce veřejné dopravy 2020–2025 s výhledem do roku 2030</w:t>
      </w:r>
    </w:p>
    <w:p w14:paraId="63CAFD73" w14:textId="644CC8C3" w:rsidR="00BB6F65" w:rsidRPr="007050D0" w:rsidRDefault="00BB6F65" w:rsidP="00BB6F65">
      <w:pPr>
        <w:pStyle w:val="HSpodbod"/>
      </w:pPr>
      <w:r w:rsidRPr="007050D0">
        <w:t>Národní akční plán čisté mobility</w:t>
      </w:r>
    </w:p>
    <w:p w14:paraId="7D6A0462" w14:textId="1C7F8CE4" w:rsidR="00BB6F65" w:rsidRDefault="00BB6F65" w:rsidP="00BB6F65">
      <w:pPr>
        <w:pStyle w:val="HSpodbod"/>
      </w:pPr>
      <w:r w:rsidRPr="007050D0">
        <w:t>Strategie rozvoje inteligentních dopravních systémů 2021–2027 s výhledem do roku 2050</w:t>
      </w:r>
    </w:p>
    <w:p w14:paraId="67371B1C" w14:textId="245CF068" w:rsidR="00BB6F65" w:rsidRPr="00F0389C" w:rsidRDefault="00BB6F65" w:rsidP="00BB6F65">
      <w:pPr>
        <w:pStyle w:val="HSpodbod"/>
      </w:pPr>
      <w:r w:rsidRPr="00F0389C">
        <w:t>Politika transevropské dopravní sítě (TEN-T)</w:t>
      </w:r>
    </w:p>
    <w:p w14:paraId="6F286B6C" w14:textId="07781226" w:rsidR="0031053E" w:rsidRDefault="00BB6F65" w:rsidP="00BB6F65">
      <w:pPr>
        <w:pStyle w:val="HSpodbod"/>
      </w:pPr>
      <w:r w:rsidRPr="00F0389C">
        <w:t>Strategie regionálního rozvoje ČR 2021+</w:t>
      </w:r>
    </w:p>
    <w:p w14:paraId="013AA9CF" w14:textId="77777777" w:rsidR="00AE039C" w:rsidRDefault="00AE039C" w:rsidP="00AE039C">
      <w:pPr>
        <w:pStyle w:val="HSpodbod"/>
      </w:pPr>
      <w:r>
        <w:t>Státní politika ŽP ČR do roku 2030 s výhledem do roku 2050</w:t>
      </w:r>
    </w:p>
    <w:p w14:paraId="05226D33" w14:textId="00756583" w:rsidR="00AE039C" w:rsidRDefault="00AE039C" w:rsidP="00AE039C">
      <w:pPr>
        <w:pStyle w:val="HSpodbod"/>
      </w:pPr>
      <w:r>
        <w:t>Politika ochrany klimatu</w:t>
      </w:r>
    </w:p>
    <w:p w14:paraId="32C411D5" w14:textId="4C480DEA" w:rsidR="0083097F" w:rsidRDefault="0083097F" w:rsidP="00AE039C">
      <w:pPr>
        <w:pStyle w:val="HSpodbod"/>
      </w:pPr>
      <w:r w:rsidRPr="0083097F">
        <w:t>Sociálně klimatický plán</w:t>
      </w:r>
    </w:p>
    <w:p w14:paraId="4817F696" w14:textId="28520F79" w:rsidR="0031053E" w:rsidRDefault="0031053E" w:rsidP="0031053E">
      <w:pPr>
        <w:pStyle w:val="HSpodbod"/>
        <w:numPr>
          <w:ilvl w:val="0"/>
          <w:numId w:val="0"/>
        </w:numPr>
      </w:pPr>
      <w:r>
        <w:br w:type="page"/>
      </w:r>
    </w:p>
    <w:p w14:paraId="4A8A19FF" w14:textId="77777777" w:rsidR="00BB6F65" w:rsidRPr="00F5548D" w:rsidRDefault="00BB6F65" w:rsidP="004F1B00">
      <w:pPr>
        <w:pStyle w:val="HSNadpisIII2"/>
      </w:pPr>
      <w:bookmarkStart w:id="56" w:name="_Toc174703080"/>
      <w:r>
        <w:lastRenderedPageBreak/>
        <w:t>Digitální infrastruktura, ekonomika a společnost</w:t>
      </w:r>
      <w:bookmarkEnd w:id="56"/>
    </w:p>
    <w:p w14:paraId="2F143BA8" w14:textId="32BF03BF" w:rsidR="00BB6F65" w:rsidRPr="003C3221" w:rsidRDefault="00BB6F65" w:rsidP="00BB6F65">
      <w:r>
        <w:t>Digitální infrastruktura je klíčová pro</w:t>
      </w:r>
      <w:r w:rsidRPr="00A910B8">
        <w:rPr>
          <w:b/>
          <w:bCs/>
        </w:rPr>
        <w:t xml:space="preserve"> </w:t>
      </w:r>
      <w:r w:rsidRPr="003C3221">
        <w:t xml:space="preserve">zvýšení produktivity a konkurenceschopnosti firem. </w:t>
      </w:r>
      <w:r w:rsidRPr="002D03FB">
        <w:t>Digitální</w:t>
      </w:r>
      <w:r>
        <w:t xml:space="preserve"> technologie pronikají do všech odvětví průmyslu, napomáhají efektivitě práce a otevírají podnikům nové příležitosti, vč. nových obchodních modelů a možnosti proniknout na nové trhy. Zapojení technologií např.</w:t>
      </w:r>
      <w:r w:rsidR="00AF3364">
        <w:t xml:space="preserve"> pro tvorbu</w:t>
      </w:r>
      <w:r>
        <w:t xml:space="preserve"> inteligentní</w:t>
      </w:r>
      <w:r w:rsidR="00AF3364">
        <w:t>ch</w:t>
      </w:r>
      <w:r>
        <w:t xml:space="preserve"> smluv automatizuje transakční proces</w:t>
      </w:r>
      <w:r w:rsidR="00AF3364">
        <w:t>y</w:t>
      </w:r>
      <w:r>
        <w:t>, kter</w:t>
      </w:r>
      <w:r w:rsidR="00AF3364">
        <w:t>é</w:t>
      </w:r>
      <w:r>
        <w:t xml:space="preserve"> se tak stan</w:t>
      </w:r>
      <w:r w:rsidR="00AF3364">
        <w:t>ou</w:t>
      </w:r>
      <w:r>
        <w:t xml:space="preserve"> pro české podniky nejen rychlejším</w:t>
      </w:r>
      <w:r w:rsidR="00724D3F">
        <w:t>i</w:t>
      </w:r>
      <w:r>
        <w:t xml:space="preserve"> a</w:t>
      </w:r>
      <w:r w:rsidR="007633AA">
        <w:t> </w:t>
      </w:r>
      <w:r>
        <w:t>jednodušším</w:t>
      </w:r>
      <w:r w:rsidR="00724D3F">
        <w:t>i</w:t>
      </w:r>
      <w:r>
        <w:t>, ale také důvěryhodnějším</w:t>
      </w:r>
      <w:r w:rsidR="00724D3F">
        <w:t>i</w:t>
      </w:r>
      <w:r>
        <w:t xml:space="preserve">. Rovněž </w:t>
      </w:r>
      <w:bookmarkStart w:id="57" w:name="_Hlk169096054"/>
      <w:r>
        <w:t xml:space="preserve">technologie </w:t>
      </w:r>
      <w:bookmarkEnd w:id="57"/>
      <w:r>
        <w:t xml:space="preserve">jako umělá inteligence, </w:t>
      </w:r>
      <w:r w:rsidR="001116E1">
        <w:t>distribuované výpočty</w:t>
      </w:r>
      <w:r w:rsidR="00AF3364">
        <w:t xml:space="preserve">, </w:t>
      </w:r>
      <w:r>
        <w:t xml:space="preserve">cloudové služby nebo analýza </w:t>
      </w:r>
      <w:r w:rsidR="004B5B05">
        <w:t xml:space="preserve">velkých </w:t>
      </w:r>
      <w:r>
        <w:t>dat umožní českým firmám naplno zužitkovat svá data a optimalizovat procesy pro dosažení úspor či zdokonalení výrobních procesů.</w:t>
      </w:r>
    </w:p>
    <w:p w14:paraId="364164B6" w14:textId="14AC16E1" w:rsidR="00BB6F65" w:rsidRPr="00487AE9" w:rsidRDefault="00BB6F65" w:rsidP="00BB6F65">
      <w:pPr>
        <w:rPr>
          <w:szCs w:val="20"/>
        </w:rPr>
      </w:pPr>
      <w:r w:rsidRPr="003C3221">
        <w:t>V současnosti má Česká republika n</w:t>
      </w:r>
      <w:r>
        <w:t>edostatečnou dostupnost gigabitové konektivity v některých regionech, nízkou úroveň digitální gramotnosti a dovedností u části populace, nedostatek kvalifikovaných pracovníků v</w:t>
      </w:r>
      <w:r w:rsidR="00AF55AB">
        <w:t> </w:t>
      </w:r>
      <w:r>
        <w:t>digitálním sektoru</w:t>
      </w:r>
      <w:r w:rsidR="004B5B05">
        <w:t xml:space="preserve"> a</w:t>
      </w:r>
      <w:r>
        <w:t xml:space="preserve"> průměrnou kvalitu infrastruktury v porovnání s vyspělými zeměmi</w:t>
      </w:r>
      <w:r w:rsidR="004B5B05">
        <w:t>. Současně</w:t>
      </w:r>
      <w:r>
        <w:t xml:space="preserve"> existují velké rozdíly v</w:t>
      </w:r>
      <w:r w:rsidR="004B5B05">
        <w:t xml:space="preserve">e vyspělosti </w:t>
      </w:r>
      <w:r>
        <w:t>mezi jednotlivými regiony. Je třeba dále posílit rozvoj gigabitové konektivity, 5G sítí a chytrých měst, nepolevit v podpoře inovací a startupů v digitálním sektoru, podpořit růst digitálního obchodu a</w:t>
      </w:r>
      <w:r w:rsidR="007633AA">
        <w:t> </w:t>
      </w:r>
      <w:r>
        <w:t>služeb, posilovat kybernetickou bezpečnost a ochranu osobních údajů, zvyšovat digitální gramotnost a dovednosti občanů a pracovník</w:t>
      </w:r>
      <w:r w:rsidRPr="00487AE9">
        <w:t>ů</w:t>
      </w:r>
      <w:r w:rsidRPr="00487AE9">
        <w:rPr>
          <w:szCs w:val="20"/>
        </w:rPr>
        <w:t>.</w:t>
      </w:r>
    </w:p>
    <w:p w14:paraId="6AA40300" w14:textId="6ACAFF65" w:rsidR="00BB6F65" w:rsidRDefault="00BB6F65" w:rsidP="00BB6F65">
      <w:pPr>
        <w:rPr>
          <w:szCs w:val="20"/>
        </w:rPr>
      </w:pPr>
      <w:r w:rsidRPr="008A54B7">
        <w:t>S ohledem na trend zrychlující se a všudypřítomné digitalizace je podpora digitální transformace ekonomiky pro</w:t>
      </w:r>
      <w:r w:rsidR="001116E1">
        <w:t> </w:t>
      </w:r>
      <w:r w:rsidRPr="008A54B7">
        <w:t xml:space="preserve">Českou republiku prioritou. </w:t>
      </w:r>
      <w:r w:rsidR="001116E1">
        <w:t>Hospodářská strategie vnímá</w:t>
      </w:r>
      <w:r w:rsidRPr="008A54B7">
        <w:t xml:space="preserve"> digitalizaci jako důležitý faktor pro posílení své konkurenceschopnosti a vzhledem k tomu, že malé a střední podniky jsou hlavními tahouny inovací, podporuje využití digitálních technologií v jejich výrobě a procesech. </w:t>
      </w:r>
      <w:r w:rsidR="0019214C">
        <w:t>Česk</w:t>
      </w:r>
      <w:r w:rsidR="001116E1">
        <w:t>á</w:t>
      </w:r>
      <w:r w:rsidR="0019214C">
        <w:t xml:space="preserve"> republika</w:t>
      </w:r>
      <w:r w:rsidR="0019214C" w:rsidRPr="008A54B7">
        <w:t xml:space="preserve"> </w:t>
      </w:r>
      <w:r w:rsidRPr="008A54B7">
        <w:t>se</w:t>
      </w:r>
      <w:r w:rsidR="007633AA">
        <w:t> </w:t>
      </w:r>
      <w:r w:rsidRPr="008A54B7">
        <w:t>zaměřuje na tři hlavní úrovně rozvoje digitálního ekosystému a datové ekonomiky. Jedná se o tvorbu politiky a</w:t>
      </w:r>
      <w:r w:rsidR="00655668">
        <w:t> </w:t>
      </w:r>
      <w:r w:rsidRPr="008A54B7">
        <w:t>strategií, finanční podporou</w:t>
      </w:r>
      <w:r w:rsidR="0005542F" w:rsidRPr="008A54B7">
        <w:t>, spojenou také s budováním digitálního prostředí s funkčními sítěmi</w:t>
      </w:r>
      <w:r w:rsidR="0005542F">
        <w:t>,</w:t>
      </w:r>
      <w:r w:rsidRPr="008A54B7">
        <w:t xml:space="preserve"> a vytváření transparentního a uživatelsky přívětivého regulatorního rámce v digitální oblasti.  </w:t>
      </w:r>
    </w:p>
    <w:p w14:paraId="31140286" w14:textId="77777777" w:rsidR="00BB6F65" w:rsidRPr="006C2504" w:rsidRDefault="00BB6F65" w:rsidP="00BB6F65">
      <w:pPr>
        <w:pStyle w:val="HSNadpis4bezslovn"/>
      </w:pPr>
      <w:r w:rsidRPr="006C2504">
        <w:t>Souhrnná analýza potenciálu ekonomiky České republiky v dané oblasti (SWOT analýza):</w:t>
      </w:r>
    </w:p>
    <w:p w14:paraId="67B19B41" w14:textId="77777777" w:rsidR="00BB6F65" w:rsidRPr="00DE56AF" w:rsidRDefault="00BB6F65" w:rsidP="00BB6F65">
      <w:pPr>
        <w:pStyle w:val="HSNadpis5bezslovn"/>
      </w:pPr>
      <w:r w:rsidRPr="00DE56AF">
        <w:t>Silné stránky:</w:t>
      </w:r>
    </w:p>
    <w:p w14:paraId="239DFEE2" w14:textId="5756C238" w:rsidR="00BB6F65" w:rsidRPr="006161B3" w:rsidRDefault="00BB6F65" w:rsidP="00BB6F65">
      <w:pPr>
        <w:pStyle w:val="HSpodbod"/>
      </w:pPr>
      <w:r w:rsidRPr="006161B3">
        <w:t>Regulační rámec v sektoru elektronických komunikací je mezi nejpřátelštějšími k soutěži v</w:t>
      </w:r>
      <w:r w:rsidR="001116E1">
        <w:t> </w:t>
      </w:r>
      <w:r w:rsidRPr="006161B3">
        <w:t>OECD</w:t>
      </w:r>
      <w:r w:rsidR="001116E1">
        <w:t>,</w:t>
      </w:r>
      <w:r w:rsidRPr="006161B3">
        <w:t xml:space="preserve"> s omezeným státním vlastnictvím a </w:t>
      </w:r>
      <w:r w:rsidR="001116E1">
        <w:t xml:space="preserve">s </w:t>
      </w:r>
      <w:r w:rsidRPr="006161B3">
        <w:t>regulacemi odpovídajícími mezinárodním standardům.</w:t>
      </w:r>
    </w:p>
    <w:p w14:paraId="7F47D7A6" w14:textId="6810648A" w:rsidR="00BB6F65" w:rsidRDefault="00BB6F65" w:rsidP="00BB6F65">
      <w:pPr>
        <w:pStyle w:val="HSpodbod"/>
      </w:pPr>
      <w:r w:rsidRPr="006161B3">
        <w:t>Existence úspěšných firem v kybernetické bezpečnosti</w:t>
      </w:r>
      <w:r>
        <w:t>,</w:t>
      </w:r>
      <w:r w:rsidRPr="008B6A5E">
        <w:t xml:space="preserve"> </w:t>
      </w:r>
      <w:r>
        <w:t>umělé inteligenci</w:t>
      </w:r>
      <w:r w:rsidRPr="006161B3">
        <w:t xml:space="preserve"> a herním průmyslu poskytuje platformu pro inovaci a</w:t>
      </w:r>
      <w:r>
        <w:t> </w:t>
      </w:r>
      <w:r w:rsidRPr="006161B3">
        <w:t>růst v digitálních oblastech.</w:t>
      </w:r>
    </w:p>
    <w:p w14:paraId="0228FA50" w14:textId="217721CB" w:rsidR="00BB6F65" w:rsidRDefault="00BB6F65" w:rsidP="00BB6F65">
      <w:pPr>
        <w:pStyle w:val="HSpodbod"/>
      </w:pPr>
      <w:r w:rsidRPr="0093784A">
        <w:t>Úspěchy v oblasti rozvoje umělé inteligence v</w:t>
      </w:r>
      <w:r>
        <w:t> oborech</w:t>
      </w:r>
      <w:r w:rsidRPr="0093784A">
        <w:t xml:space="preserve"> </w:t>
      </w:r>
      <w:r>
        <w:t>k</w:t>
      </w:r>
      <w:r w:rsidRPr="0093784A">
        <w:t xml:space="preserve">ybernetická bezpečnost, </w:t>
      </w:r>
      <w:r>
        <w:t>s</w:t>
      </w:r>
      <w:r w:rsidRPr="0093784A">
        <w:t>trojové uvažování</w:t>
      </w:r>
      <w:r w:rsidRPr="002D6AB5">
        <w:t xml:space="preserve">, </w:t>
      </w:r>
      <w:r>
        <w:t>p</w:t>
      </w:r>
      <w:r w:rsidRPr="002D6AB5">
        <w:t xml:space="preserve">očítačové vidění, </w:t>
      </w:r>
      <w:r>
        <w:t>r</w:t>
      </w:r>
      <w:r w:rsidRPr="002D6AB5">
        <w:t xml:space="preserve">obotika, výroba, </w:t>
      </w:r>
      <w:r w:rsidR="00AF3364">
        <w:t>P</w:t>
      </w:r>
      <w:r w:rsidRPr="002D6AB5">
        <w:t xml:space="preserve">růmysl 4.0, </w:t>
      </w:r>
      <w:r>
        <w:t>j</w:t>
      </w:r>
      <w:r w:rsidRPr="002D6AB5">
        <w:t>azykové a řečové technologie</w:t>
      </w:r>
      <w:r>
        <w:t>.</w:t>
      </w:r>
    </w:p>
    <w:p w14:paraId="79177E0A" w14:textId="77777777" w:rsidR="00BB6F65" w:rsidRPr="006161B3" w:rsidRDefault="00BB6F65" w:rsidP="00BB6F65">
      <w:pPr>
        <w:pStyle w:val="HSpodbod"/>
      </w:pPr>
      <w:r w:rsidRPr="006161B3">
        <w:t>Růst počtu ICT podniků a posilování jejich silné pozice v mezinárodním srovnání.</w:t>
      </w:r>
    </w:p>
    <w:p w14:paraId="5EEF244C" w14:textId="277E8FD9" w:rsidR="00BB6F65" w:rsidRPr="00573852" w:rsidRDefault="00BB6F65" w:rsidP="00BB6F65">
      <w:pPr>
        <w:pStyle w:val="HSpodbod"/>
      </w:pPr>
      <w:r w:rsidRPr="0093784A">
        <w:t>V</w:t>
      </w:r>
      <w:r w:rsidR="0059791D">
        <w:t>ýzkumné</w:t>
      </w:r>
      <w:r w:rsidRPr="0093784A">
        <w:t xml:space="preserve"> organizace zřídily centra transferu technologií</w:t>
      </w:r>
      <w:r w:rsidR="0059791D">
        <w:t>;</w:t>
      </w:r>
      <w:r>
        <w:t xml:space="preserve"> </w:t>
      </w:r>
      <w:r w:rsidRPr="00573852">
        <w:t xml:space="preserve">aplikace </w:t>
      </w:r>
      <w:r w:rsidR="0059791D">
        <w:t xml:space="preserve">výzkumu a vývoje </w:t>
      </w:r>
      <w:r w:rsidRPr="00573852">
        <w:t xml:space="preserve">míří do oborů s největším dopadem </w:t>
      </w:r>
      <w:r w:rsidR="0059791D">
        <w:t>umělé inteligence</w:t>
      </w:r>
      <w:r w:rsidRPr="00573852">
        <w:t>.</w:t>
      </w:r>
    </w:p>
    <w:p w14:paraId="1750538D" w14:textId="77777777" w:rsidR="00BB6F65" w:rsidRDefault="00BB6F65" w:rsidP="00BB6F65">
      <w:pPr>
        <w:pStyle w:val="HSpodbod"/>
      </w:pPr>
      <w:r w:rsidRPr="006161B3">
        <w:t xml:space="preserve">Rozsáhlé pokrytí České republiky signálem </w:t>
      </w:r>
      <w:r>
        <w:t>5</w:t>
      </w:r>
      <w:r w:rsidRPr="006161B3">
        <w:t>G.</w:t>
      </w:r>
    </w:p>
    <w:p w14:paraId="7FA20DD4" w14:textId="7BAF81ED" w:rsidR="00BB6F65" w:rsidRPr="00F41811" w:rsidRDefault="00BB6F65" w:rsidP="00BB6F65">
      <w:pPr>
        <w:pStyle w:val="HSpodbod"/>
      </w:pPr>
      <w:r>
        <w:t>Modernizace</w:t>
      </w:r>
      <w:r w:rsidR="00AF3364">
        <w:t xml:space="preserve"> a</w:t>
      </w:r>
      <w:r>
        <w:t xml:space="preserve"> rozšiřování stávající infrastruktury a zřizování nových sítí pro vysokorychlostní přístup k internetu (typicky sítě s velmi vysokou kapacitou) zajistí plnohodnotný rozvoj digitálních procesů firem.</w:t>
      </w:r>
    </w:p>
    <w:p w14:paraId="06F97468" w14:textId="562E6BB2" w:rsidR="00BB6F65" w:rsidRPr="00342316" w:rsidRDefault="00BB6F65" w:rsidP="00BB6F65">
      <w:pPr>
        <w:pStyle w:val="HSpodbod"/>
      </w:pPr>
      <w:r>
        <w:t xml:space="preserve">Podpora vývoje a nasazování aplikací </w:t>
      </w:r>
      <w:r w:rsidR="00AF3364">
        <w:t xml:space="preserve">ve </w:t>
      </w:r>
      <w:r>
        <w:t>vertikál</w:t>
      </w:r>
      <w:r w:rsidR="00AF3364" w:rsidRPr="00AF3364">
        <w:t xml:space="preserve">ách </w:t>
      </w:r>
      <w:r>
        <w:t xml:space="preserve">ekosystému sítí 5G pro města </w:t>
      </w:r>
      <w:r w:rsidR="00AF3364">
        <w:t xml:space="preserve">a průmysl </w:t>
      </w:r>
      <w:r>
        <w:t>se záměrem podpořit koncept</w:t>
      </w:r>
      <w:r w:rsidR="00AF3364">
        <w:t>y</w:t>
      </w:r>
      <w:r>
        <w:t xml:space="preserve"> Smart </w:t>
      </w:r>
      <w:proofErr w:type="spellStart"/>
      <w:r>
        <w:t>Cities</w:t>
      </w:r>
      <w:proofErr w:type="spellEnd"/>
      <w:r w:rsidR="00AF3364">
        <w:t xml:space="preserve"> a Průmysl 4.0</w:t>
      </w:r>
      <w:r>
        <w:t>.</w:t>
      </w:r>
    </w:p>
    <w:p w14:paraId="2AF36CF5" w14:textId="77777777" w:rsidR="00BB6F65" w:rsidRPr="00DE56AF" w:rsidRDefault="00BB6F65" w:rsidP="00BB6F65">
      <w:pPr>
        <w:pStyle w:val="HSNadpis5bezslovn"/>
      </w:pPr>
      <w:r w:rsidRPr="00DE56AF">
        <w:t>Slabé stránky:</w:t>
      </w:r>
    </w:p>
    <w:p w14:paraId="57A7CF2A" w14:textId="77777777" w:rsidR="00BB6F65" w:rsidRPr="006161B3" w:rsidRDefault="00BB6F65" w:rsidP="00BB6F65">
      <w:pPr>
        <w:pStyle w:val="HSpodbod"/>
      </w:pPr>
      <w:r w:rsidRPr="006161B3">
        <w:t>Vysoké ceny za mobilní služby v mezinárodním srovnání.</w:t>
      </w:r>
    </w:p>
    <w:p w14:paraId="5BC36821" w14:textId="77777777" w:rsidR="00BB6F65" w:rsidRPr="006161B3" w:rsidRDefault="00BB6F65" w:rsidP="00BB6F65">
      <w:pPr>
        <w:pStyle w:val="HSpodbod"/>
      </w:pPr>
      <w:r w:rsidRPr="006161B3">
        <w:t>Vysoce rozdílné schopnosti adopce digitálních technologií mezi podniky domácími a pod zahraniční kontrolou a mezi malými a velkými podniky.</w:t>
      </w:r>
    </w:p>
    <w:p w14:paraId="727EAD13" w14:textId="3665C213" w:rsidR="00BB6F65" w:rsidRDefault="00BB6F65" w:rsidP="00BB6F65">
      <w:pPr>
        <w:pStyle w:val="HSpodbod"/>
      </w:pPr>
      <w:r w:rsidRPr="006161B3">
        <w:t>Neadekvátní dostupnost vysokorychlostního internetu pro domácnosti, firmy a školy.</w:t>
      </w:r>
    </w:p>
    <w:p w14:paraId="00C2B21C" w14:textId="57EDEBA1" w:rsidR="00BB6F65" w:rsidRPr="0018206F" w:rsidRDefault="00BB6F65" w:rsidP="00BB6F65">
      <w:pPr>
        <w:pStyle w:val="HSpodbod"/>
      </w:pPr>
      <w:r>
        <w:t>Nedostatečné plánování a špatná koordinace výstavby sítí s velmi vysokou kapacitou.</w:t>
      </w:r>
    </w:p>
    <w:p w14:paraId="4837878E" w14:textId="77777777" w:rsidR="00BB6F65" w:rsidRDefault="00BB6F65" w:rsidP="00BB6F65">
      <w:pPr>
        <w:pStyle w:val="HSpodbod"/>
      </w:pPr>
      <w:r>
        <w:t xml:space="preserve">Nedostatečná poptávka po službách umožňujících alespoň 1 </w:t>
      </w:r>
      <w:proofErr w:type="spellStart"/>
      <w:r>
        <w:t>Gbit</w:t>
      </w:r>
      <w:proofErr w:type="spellEnd"/>
      <w:r>
        <w:t>/s.</w:t>
      </w:r>
    </w:p>
    <w:p w14:paraId="155832F3" w14:textId="4E5C0A38" w:rsidR="00BB6F65" w:rsidRDefault="00BB6F65" w:rsidP="00BB6F65">
      <w:pPr>
        <w:pStyle w:val="HSpodbod"/>
      </w:pPr>
      <w:r w:rsidRPr="0093784A">
        <w:t xml:space="preserve">Nedostatečné dlouhodobé financování výzkumu, vývoje a inovací </w:t>
      </w:r>
      <w:r w:rsidR="00127B36">
        <w:t xml:space="preserve">v </w:t>
      </w:r>
      <w:r w:rsidRPr="0093784A">
        <w:t>oblast</w:t>
      </w:r>
      <w:r w:rsidR="00127B36">
        <w:t>i</w:t>
      </w:r>
      <w:r w:rsidRPr="0093784A">
        <w:t xml:space="preserve"> umělé inteligence</w:t>
      </w:r>
      <w:r w:rsidR="00AF55AB">
        <w:t>.</w:t>
      </w:r>
    </w:p>
    <w:p w14:paraId="73A7437B" w14:textId="235C1DBC" w:rsidR="00BB6F65" w:rsidRPr="0093784A" w:rsidRDefault="00BB6F65" w:rsidP="00BB6F65">
      <w:pPr>
        <w:pStyle w:val="HSpodbod"/>
      </w:pPr>
      <w:r w:rsidRPr="0093784A">
        <w:t xml:space="preserve">Spolupráce startupů s univerzitami a </w:t>
      </w:r>
      <w:proofErr w:type="spellStart"/>
      <w:r w:rsidRPr="0093784A">
        <w:t>VaV</w:t>
      </w:r>
      <w:proofErr w:type="spellEnd"/>
      <w:r w:rsidRPr="0093784A">
        <w:t xml:space="preserve"> centry se teprve rozvíjí</w:t>
      </w:r>
      <w:r w:rsidR="00AF55AB">
        <w:t>.</w:t>
      </w:r>
    </w:p>
    <w:p w14:paraId="72D4B027" w14:textId="6370765B" w:rsidR="00BB6F65" w:rsidRPr="0093784A" w:rsidRDefault="0019214C" w:rsidP="00BB6F65">
      <w:pPr>
        <w:pStyle w:val="HSpodbod"/>
      </w:pPr>
      <w:r>
        <w:lastRenderedPageBreak/>
        <w:t>České republika</w:t>
      </w:r>
      <w:r w:rsidRPr="0093784A">
        <w:t xml:space="preserve"> </w:t>
      </w:r>
      <w:r w:rsidR="00BB6F65" w:rsidRPr="0093784A">
        <w:t>je malým trhem pro start-upy</w:t>
      </w:r>
      <w:r w:rsidR="0059791D">
        <w:t xml:space="preserve"> v oblasti umělé inteligence</w:t>
      </w:r>
      <w:r w:rsidR="00BB6F65">
        <w:t>.</w:t>
      </w:r>
    </w:p>
    <w:p w14:paraId="6476CCB7" w14:textId="7711A560" w:rsidR="00BB6F65" w:rsidRPr="00573852" w:rsidRDefault="00BB6F65" w:rsidP="00BB6F65">
      <w:pPr>
        <w:pStyle w:val="HSpodbod"/>
      </w:pPr>
      <w:r w:rsidRPr="0093784A">
        <w:t xml:space="preserve">Velké podniky, odběratelé </w:t>
      </w:r>
      <w:r w:rsidR="0059791D">
        <w:t>umělé inteligence</w:t>
      </w:r>
      <w:r w:rsidRPr="0093784A">
        <w:t>, jsou většinou pod zahraniční kontrolou a AI implementují zahraniční mateřské společnosti</w:t>
      </w:r>
      <w:r>
        <w:t>.</w:t>
      </w:r>
    </w:p>
    <w:p w14:paraId="3C986EC2" w14:textId="41410D59" w:rsidR="00BB6F65" w:rsidRPr="00DE56AF" w:rsidRDefault="00BB6F65" w:rsidP="00BB6F65">
      <w:pPr>
        <w:pStyle w:val="HSNadpis5bezslovn"/>
      </w:pPr>
      <w:r w:rsidRPr="00DE56AF">
        <w:t>Příležitosti:</w:t>
      </w:r>
    </w:p>
    <w:p w14:paraId="3EDDDFFE" w14:textId="6C796E14" w:rsidR="00BB6F65" w:rsidRPr="006161B3" w:rsidRDefault="00BB6F65" w:rsidP="00BB6F65">
      <w:pPr>
        <w:pStyle w:val="HSpodbod"/>
      </w:pPr>
      <w:r w:rsidRPr="006161B3">
        <w:t>Exist</w:t>
      </w:r>
      <w:r>
        <w:t>ence</w:t>
      </w:r>
      <w:r w:rsidRPr="006161B3">
        <w:t xml:space="preserve"> potenciál</w:t>
      </w:r>
      <w:r>
        <w:t>u</w:t>
      </w:r>
      <w:r w:rsidRPr="006161B3">
        <w:t xml:space="preserve"> pro rozvoj sítí.</w:t>
      </w:r>
    </w:p>
    <w:p w14:paraId="60E6F31B" w14:textId="2B33291D" w:rsidR="00BB6F65" w:rsidRPr="006161B3" w:rsidRDefault="00BB6F65" w:rsidP="00BB6F65">
      <w:pPr>
        <w:pStyle w:val="HSpodbod"/>
      </w:pPr>
      <w:r w:rsidRPr="006161B3">
        <w:t>Podpor</w:t>
      </w:r>
      <w:r>
        <w:t xml:space="preserve">ovat </w:t>
      </w:r>
      <w:r w:rsidRPr="006161B3">
        <w:t>konkurenční prostředí a minimaliz</w:t>
      </w:r>
      <w:r>
        <w:t>ovat</w:t>
      </w:r>
      <w:r w:rsidRPr="006161B3">
        <w:t xml:space="preserve"> tržní bariér</w:t>
      </w:r>
      <w:r w:rsidR="0005542F">
        <w:t>y</w:t>
      </w:r>
      <w:r w:rsidRPr="006161B3">
        <w:t>.</w:t>
      </w:r>
    </w:p>
    <w:p w14:paraId="170938DD" w14:textId="3FD2996D" w:rsidR="00BB6F65" w:rsidRPr="006161B3" w:rsidRDefault="00BB6F65" w:rsidP="00BB6F65">
      <w:pPr>
        <w:pStyle w:val="HSpodbod"/>
      </w:pPr>
      <w:r w:rsidRPr="006161B3">
        <w:t>Vznik firem zaměřených na využívání digitálních technologií a nových trendů jako</w:t>
      </w:r>
      <w:r w:rsidR="0005542F">
        <w:t xml:space="preserve"> umělá inteligence,</w:t>
      </w:r>
      <w:r w:rsidRPr="006161B3">
        <w:t xml:space="preserve"> blockchain nebo datová analýza.</w:t>
      </w:r>
    </w:p>
    <w:p w14:paraId="57D738E5" w14:textId="77777777" w:rsidR="00BB6F65" w:rsidRPr="006161B3" w:rsidRDefault="00BB6F65" w:rsidP="00BB6F65">
      <w:pPr>
        <w:pStyle w:val="HSpodbod"/>
      </w:pPr>
      <w:r w:rsidRPr="006161B3">
        <w:t>Podpor</w:t>
      </w:r>
      <w:r>
        <w:t>ovat</w:t>
      </w:r>
      <w:r w:rsidRPr="006161B3">
        <w:t xml:space="preserve"> inovační a digitální infrastruktury z evropských i národních zdrojů </w:t>
      </w:r>
      <w:r>
        <w:t xml:space="preserve">a </w:t>
      </w:r>
      <w:r w:rsidRPr="006161B3">
        <w:t>umožň</w:t>
      </w:r>
      <w:r>
        <w:t>ovat</w:t>
      </w:r>
      <w:r w:rsidRPr="006161B3">
        <w:t xml:space="preserve"> rozvoj digitálních inovačních center.</w:t>
      </w:r>
    </w:p>
    <w:p w14:paraId="76AE9563" w14:textId="77777777" w:rsidR="00BB6F65" w:rsidRPr="006161B3" w:rsidRDefault="00BB6F65" w:rsidP="00BB6F65">
      <w:pPr>
        <w:pStyle w:val="HSpodbod"/>
      </w:pPr>
      <w:r w:rsidRPr="006161B3">
        <w:t>Rozvoj digitálního vzdělávání.</w:t>
      </w:r>
    </w:p>
    <w:p w14:paraId="22A5DBE5" w14:textId="77777777" w:rsidR="00BB6F65" w:rsidRPr="00594B77" w:rsidRDefault="00BB6F65" w:rsidP="00BB6F65">
      <w:pPr>
        <w:pStyle w:val="HSpodbod"/>
      </w:pPr>
      <w:r w:rsidRPr="006161B3">
        <w:t>Posilov</w:t>
      </w:r>
      <w:r>
        <w:t>at</w:t>
      </w:r>
      <w:r w:rsidRPr="006161B3">
        <w:t xml:space="preserve"> implementace digitálních technologií a infrastruktury v malých a středních podnicích</w:t>
      </w:r>
      <w:r w:rsidRPr="006161B3">
        <w:rPr>
          <w:rFonts w:eastAsia="Times New Roman" w:cs="Calibri"/>
          <w:color w:val="000000"/>
          <w:lang w:eastAsia="cs-CZ"/>
        </w:rPr>
        <w:t>.</w:t>
      </w:r>
    </w:p>
    <w:p w14:paraId="7B1D7AFE" w14:textId="77777777" w:rsidR="00032036" w:rsidRPr="006161B3" w:rsidRDefault="00032036" w:rsidP="00032036">
      <w:pPr>
        <w:pStyle w:val="HSpodbod"/>
      </w:pPr>
      <w:r w:rsidRPr="006161B3">
        <w:t>Transformace výrobních řetězců díky rostoucí digitalizaci a automatizaci</w:t>
      </w:r>
      <w:r>
        <w:t>.</w:t>
      </w:r>
    </w:p>
    <w:p w14:paraId="0597AC4F" w14:textId="1B41DA1F" w:rsidR="00BB6F65" w:rsidRPr="00062D5C" w:rsidRDefault="00CB4EBC" w:rsidP="00BB6F65">
      <w:pPr>
        <w:pStyle w:val="HSpodbod"/>
      </w:pPr>
      <w:r>
        <w:t>K</w:t>
      </w:r>
      <w:r w:rsidR="00BB6F65">
        <w:t>ontinuální zlepšování podnikatelského prostředí a posílení konkurence na trhu pevných i mobilních služeb. Cílem je podpoření vyšší dostupnosti služeb za lepší ceny.</w:t>
      </w:r>
    </w:p>
    <w:p w14:paraId="26BA0787" w14:textId="7A2321B3" w:rsidR="00BB6F65" w:rsidRPr="00342316" w:rsidRDefault="00BB6F65" w:rsidP="00BB6F65">
      <w:pPr>
        <w:pStyle w:val="HSpodbod"/>
      </w:pPr>
      <w:r>
        <w:t>Vytv</w:t>
      </w:r>
      <w:r w:rsidR="00CB4EBC">
        <w:t>ářet</w:t>
      </w:r>
      <w:r>
        <w:t xml:space="preserve"> podmínky pro efektivní, transparentní a odpovědné využití dotačních prostředků na výstavbu sítí s velmi vysokou kapacitou.</w:t>
      </w:r>
    </w:p>
    <w:p w14:paraId="49BF7BB1" w14:textId="77777777" w:rsidR="00BB6F65" w:rsidRPr="00DE56AF" w:rsidRDefault="00BB6F65" w:rsidP="00BB6F65">
      <w:pPr>
        <w:pStyle w:val="HSNadpis5bezslovn"/>
      </w:pPr>
      <w:r w:rsidRPr="00DE56AF">
        <w:t>Hrozby:</w:t>
      </w:r>
    </w:p>
    <w:p w14:paraId="51F9113D" w14:textId="77777777" w:rsidR="00BB6F65" w:rsidRPr="006161B3" w:rsidRDefault="00BB6F65" w:rsidP="00FE6868">
      <w:pPr>
        <w:pStyle w:val="HSpodbod"/>
      </w:pPr>
      <w:r w:rsidRPr="006161B3">
        <w:t xml:space="preserve">Zvyšující se </w:t>
      </w:r>
      <w:bookmarkStart w:id="58" w:name="_Hlk171595308"/>
      <w:r w:rsidRPr="006161B3">
        <w:t>rizika v oblasti kyber</w:t>
      </w:r>
      <w:r>
        <w:t xml:space="preserve">netické </w:t>
      </w:r>
      <w:r w:rsidRPr="006161B3">
        <w:t xml:space="preserve">bezpečnosti a </w:t>
      </w:r>
      <w:proofErr w:type="spellStart"/>
      <w:r w:rsidRPr="006161B3">
        <w:t>kyberkriminality</w:t>
      </w:r>
      <w:bookmarkEnd w:id="58"/>
      <w:proofErr w:type="spellEnd"/>
      <w:r w:rsidRPr="006161B3">
        <w:t>.</w:t>
      </w:r>
    </w:p>
    <w:p w14:paraId="207915EE" w14:textId="43A5CAD9" w:rsidR="004D706E" w:rsidRDefault="00BB6F65" w:rsidP="00FE6868">
      <w:pPr>
        <w:pStyle w:val="HSpodbod"/>
      </w:pPr>
      <w:r w:rsidRPr="008124B3">
        <w:t xml:space="preserve">Legislativní bariéry s ohledem </w:t>
      </w:r>
      <w:r w:rsidR="00AE039C">
        <w:t xml:space="preserve">na </w:t>
      </w:r>
      <w:r w:rsidRPr="008124B3">
        <w:t>nově vzni</w:t>
      </w:r>
      <w:r w:rsidRPr="00663CD2">
        <w:t>kající právní předpisy.</w:t>
      </w:r>
    </w:p>
    <w:p w14:paraId="4A63AE5A" w14:textId="60004551" w:rsidR="00FF3092" w:rsidRDefault="00FF3092" w:rsidP="00FE6868">
      <w:pPr>
        <w:pStyle w:val="HSpodbod"/>
      </w:pPr>
      <w:r w:rsidRPr="00FF3092">
        <w:t>Vysoká míra protekcionismu v digitální oblasti znesnadňující digitální obchod.</w:t>
      </w:r>
    </w:p>
    <w:p w14:paraId="05701F5A" w14:textId="4E1571B7" w:rsidR="00F13C2A" w:rsidRPr="00663CD2" w:rsidRDefault="00F13C2A" w:rsidP="00FE6868">
      <w:pPr>
        <w:pStyle w:val="HSpodbod"/>
      </w:pPr>
      <w:r>
        <w:rPr>
          <w:color w:val="auto"/>
        </w:rPr>
        <w:t xml:space="preserve">Obtížně </w:t>
      </w:r>
      <w:proofErr w:type="spellStart"/>
      <w:r>
        <w:rPr>
          <w:color w:val="auto"/>
        </w:rPr>
        <w:t>predikovatelné</w:t>
      </w:r>
      <w:proofErr w:type="spellEnd"/>
      <w:r>
        <w:rPr>
          <w:color w:val="auto"/>
        </w:rPr>
        <w:t xml:space="preserve"> dopady regulace přijímané v EU</w:t>
      </w:r>
      <w:r w:rsidRPr="00F13C2A">
        <w:rPr>
          <w:color w:val="auto"/>
        </w:rPr>
        <w:t xml:space="preserve"> </w:t>
      </w:r>
      <w:r>
        <w:rPr>
          <w:color w:val="auto"/>
        </w:rPr>
        <w:t>(např. EU AI ACT apod.).</w:t>
      </w:r>
    </w:p>
    <w:p w14:paraId="221E9915" w14:textId="0B8D844B" w:rsidR="00BB6F65" w:rsidRPr="00663CD2" w:rsidRDefault="004D706E" w:rsidP="00FE6868">
      <w:pPr>
        <w:pStyle w:val="HSpodbod"/>
      </w:pPr>
      <w:r w:rsidRPr="00663CD2">
        <w:rPr>
          <w:color w:val="auto"/>
        </w:rPr>
        <w:t>Zvyšující se energetická náročnost nových digitálních systémů.</w:t>
      </w:r>
    </w:p>
    <w:p w14:paraId="0AE36CFC" w14:textId="6FA62608" w:rsidR="00BB6F65" w:rsidRPr="00663CD2" w:rsidRDefault="00BB6F65" w:rsidP="00FE6868">
      <w:pPr>
        <w:pStyle w:val="HSpodbod"/>
      </w:pPr>
      <w:r w:rsidRPr="00663CD2">
        <w:t>Vysoké investiční náklady stavební</w:t>
      </w:r>
      <w:r w:rsidR="00490E2C" w:rsidRPr="00663CD2">
        <w:t>ch</w:t>
      </w:r>
      <w:r w:rsidRPr="00663CD2">
        <w:t xml:space="preserve"> pr</w:t>
      </w:r>
      <w:r w:rsidR="00490E2C" w:rsidRPr="00663CD2">
        <w:t>a</w:t>
      </w:r>
      <w:r w:rsidRPr="00663CD2">
        <w:t>c</w:t>
      </w:r>
      <w:r w:rsidR="00490E2C" w:rsidRPr="00663CD2">
        <w:t>í</w:t>
      </w:r>
      <w:r w:rsidRPr="00663CD2">
        <w:t xml:space="preserve"> za účelem budování sítí.</w:t>
      </w:r>
    </w:p>
    <w:p w14:paraId="51D8B56B" w14:textId="46CA2E62" w:rsidR="00BB6F65" w:rsidRPr="00663CD2" w:rsidRDefault="00BB6F65" w:rsidP="00BB6F65">
      <w:pPr>
        <w:pStyle w:val="HSNadpis4bezslovn"/>
      </w:pPr>
      <w:r w:rsidRPr="00663CD2">
        <w:t>Strategické cíle:</w:t>
      </w:r>
    </w:p>
    <w:p w14:paraId="34652C85" w14:textId="0B128B23" w:rsidR="00B36EC5" w:rsidRPr="00663CD2" w:rsidRDefault="00B36EC5" w:rsidP="00DB50F0">
      <w:pPr>
        <w:pStyle w:val="HSpodbod"/>
      </w:pPr>
      <w:r w:rsidRPr="00663CD2">
        <w:t xml:space="preserve">Zvyšování digitalizace veřejných služeb. </w:t>
      </w:r>
    </w:p>
    <w:p w14:paraId="03D0E5A7" w14:textId="77777777" w:rsidR="002E4E43" w:rsidRPr="00DB50F0" w:rsidRDefault="00B36EC5" w:rsidP="00DB50F0">
      <w:pPr>
        <w:pStyle w:val="HSpodbod"/>
        <w:numPr>
          <w:ilvl w:val="0"/>
          <w:numId w:val="0"/>
        </w:numPr>
        <w:ind w:left="360"/>
      </w:pPr>
      <w:r w:rsidRPr="00663CD2">
        <w:t>Ukazatel: DESI kompozitní index – část</w:t>
      </w:r>
      <w:r w:rsidR="002E4E43" w:rsidRPr="00663CD2">
        <w:t xml:space="preserve"> Konektivita</w:t>
      </w:r>
    </w:p>
    <w:p w14:paraId="1D315FC4" w14:textId="77777777" w:rsidR="00DB50F0" w:rsidRPr="00DB50F0" w:rsidRDefault="00DB50F0" w:rsidP="00DB50F0">
      <w:pPr>
        <w:pStyle w:val="HSNadpis4bezslovn"/>
      </w:pPr>
      <w:r w:rsidRPr="006C2504">
        <w:t>S</w:t>
      </w:r>
      <w:r>
        <w:t xml:space="preserve">pecifické </w:t>
      </w:r>
      <w:r w:rsidRPr="006C2504">
        <w:t>cíle:</w:t>
      </w:r>
    </w:p>
    <w:p w14:paraId="01B4BAB8" w14:textId="3B6FF2DD" w:rsidR="00BB6F65" w:rsidRPr="006161B3" w:rsidRDefault="00BB6F65" w:rsidP="00FE6868">
      <w:pPr>
        <w:pStyle w:val="HSpodbod"/>
      </w:pPr>
      <w:r w:rsidRPr="006161B3">
        <w:t>Z</w:t>
      </w:r>
      <w:r w:rsidRPr="006161B3">
        <w:rPr>
          <w:bCs/>
        </w:rPr>
        <w:t>ralost a připravenost sektorů ekonomiky na digitální transfor</w:t>
      </w:r>
      <w:r w:rsidRPr="006161B3">
        <w:t>maci</w:t>
      </w:r>
      <w:r>
        <w:t xml:space="preserve">; podporovat využití technologií (umělá inteligence, </w:t>
      </w:r>
      <w:proofErr w:type="spellStart"/>
      <w:r w:rsidR="00324346">
        <w:t>edge</w:t>
      </w:r>
      <w:proofErr w:type="spellEnd"/>
      <w:r w:rsidR="00324346">
        <w:t xml:space="preserve">, </w:t>
      </w:r>
      <w:r>
        <w:t>cloud a big data) v podnikové sféře</w:t>
      </w:r>
      <w:r w:rsidR="00CB4EBC">
        <w:t xml:space="preserve"> a ve státní správě</w:t>
      </w:r>
      <w:r w:rsidRPr="006161B3">
        <w:t>.</w:t>
      </w:r>
    </w:p>
    <w:p w14:paraId="0D6BC717" w14:textId="23C300D9" w:rsidR="00BB6F65" w:rsidRPr="0095328F" w:rsidRDefault="004B5B05" w:rsidP="00FE6868">
      <w:pPr>
        <w:pStyle w:val="HSpodbod"/>
      </w:pPr>
      <w:r>
        <w:t>Urychlit</w:t>
      </w:r>
      <w:r w:rsidR="00BB6F65">
        <w:t xml:space="preserve"> digitální </w:t>
      </w:r>
      <w:r>
        <w:t xml:space="preserve">transformaci </w:t>
      </w:r>
      <w:r w:rsidR="00BB6F65">
        <w:t>malých a středních podniků</w:t>
      </w:r>
      <w:r w:rsidR="007633AA">
        <w:t>.</w:t>
      </w:r>
    </w:p>
    <w:p w14:paraId="7AC17134" w14:textId="77777777" w:rsidR="00BB6F65" w:rsidRPr="006161B3" w:rsidRDefault="00BB6F65" w:rsidP="00FE6868">
      <w:pPr>
        <w:pStyle w:val="HSpodbod"/>
      </w:pPr>
      <w:r w:rsidRPr="006161B3">
        <w:rPr>
          <w:bCs/>
        </w:rPr>
        <w:t>Podpor</w:t>
      </w:r>
      <w:r>
        <w:rPr>
          <w:bCs/>
        </w:rPr>
        <w:t xml:space="preserve">ovat </w:t>
      </w:r>
      <w:r w:rsidRPr="006161B3">
        <w:rPr>
          <w:bCs/>
        </w:rPr>
        <w:t>konektivit</w:t>
      </w:r>
      <w:r>
        <w:rPr>
          <w:bCs/>
        </w:rPr>
        <w:t>u</w:t>
      </w:r>
      <w:r w:rsidRPr="006161B3">
        <w:rPr>
          <w:bCs/>
        </w:rPr>
        <w:t xml:space="preserve"> a infrastruktur</w:t>
      </w:r>
      <w:r>
        <w:rPr>
          <w:bCs/>
        </w:rPr>
        <w:t>u</w:t>
      </w:r>
      <w:r w:rsidRPr="006161B3">
        <w:rPr>
          <w:bCs/>
        </w:rPr>
        <w:t xml:space="preserve"> digitální ekonomiky a společnost</w:t>
      </w:r>
      <w:r>
        <w:rPr>
          <w:bCs/>
        </w:rPr>
        <w:t>i</w:t>
      </w:r>
      <w:r w:rsidRPr="006161B3">
        <w:t>.</w:t>
      </w:r>
    </w:p>
    <w:p w14:paraId="6A20E368" w14:textId="77777777" w:rsidR="00BB6F65" w:rsidRPr="006161B3" w:rsidRDefault="00BB6F65" w:rsidP="00FE6868">
      <w:pPr>
        <w:pStyle w:val="HSpodbod"/>
      </w:pPr>
      <w:r w:rsidRPr="006161B3">
        <w:rPr>
          <w:bCs/>
        </w:rPr>
        <w:t>Zaji</w:t>
      </w:r>
      <w:r>
        <w:rPr>
          <w:bCs/>
        </w:rPr>
        <w:t>stit</w:t>
      </w:r>
      <w:r w:rsidRPr="006161B3">
        <w:rPr>
          <w:bCs/>
        </w:rPr>
        <w:t xml:space="preserve"> bezpečnost a důvěr</w:t>
      </w:r>
      <w:r>
        <w:rPr>
          <w:bCs/>
        </w:rPr>
        <w:t>u</w:t>
      </w:r>
      <w:r w:rsidRPr="006161B3">
        <w:rPr>
          <w:bCs/>
        </w:rPr>
        <w:t xml:space="preserve"> v prostředí digitální ekonomiky a společnosti</w:t>
      </w:r>
      <w:r w:rsidRPr="006161B3">
        <w:t>.</w:t>
      </w:r>
    </w:p>
    <w:p w14:paraId="0AC0EF04" w14:textId="47DCA015" w:rsidR="00BB6F65" w:rsidRDefault="00324346" w:rsidP="00FE6868">
      <w:pPr>
        <w:pStyle w:val="HSpodbod"/>
      </w:pPr>
      <w:r>
        <w:rPr>
          <w:bCs/>
        </w:rPr>
        <w:t>Vytvořit p</w:t>
      </w:r>
      <w:r w:rsidR="00BB6F65">
        <w:rPr>
          <w:bCs/>
        </w:rPr>
        <w:t>řívětiv</w:t>
      </w:r>
      <w:r>
        <w:rPr>
          <w:bCs/>
        </w:rPr>
        <w:t>ou</w:t>
      </w:r>
      <w:r w:rsidR="00BB6F65">
        <w:rPr>
          <w:bCs/>
        </w:rPr>
        <w:t xml:space="preserve"> l</w:t>
      </w:r>
      <w:r w:rsidR="00BB6F65" w:rsidRPr="006161B3">
        <w:rPr>
          <w:bCs/>
        </w:rPr>
        <w:t>egislativ</w:t>
      </w:r>
      <w:r>
        <w:rPr>
          <w:bCs/>
        </w:rPr>
        <w:t>u</w:t>
      </w:r>
      <w:r w:rsidR="00BB6F65" w:rsidRPr="006161B3">
        <w:rPr>
          <w:bCs/>
        </w:rPr>
        <w:t xml:space="preserve"> podporující všechny aspekty digitální ekonomiky a společnosti</w:t>
      </w:r>
      <w:r w:rsidR="00BB6F65" w:rsidRPr="006161B3">
        <w:t>.</w:t>
      </w:r>
    </w:p>
    <w:p w14:paraId="269E24F3" w14:textId="53511C38" w:rsidR="00BB6F65" w:rsidRDefault="00324346" w:rsidP="00FE6868">
      <w:pPr>
        <w:pStyle w:val="HSpodbod"/>
      </w:pPr>
      <w:r>
        <w:t>P</w:t>
      </w:r>
      <w:r w:rsidR="00BB6F65">
        <w:t>okr</w:t>
      </w:r>
      <w:r>
        <w:t>ý</w:t>
      </w:r>
      <w:r w:rsidR="00BB6F65">
        <w:t>t</w:t>
      </w:r>
      <w:r>
        <w:t xml:space="preserve"> alespoň 95 %</w:t>
      </w:r>
      <w:r w:rsidR="00BB6F65">
        <w:t xml:space="preserve"> domácností</w:t>
      </w:r>
      <w:r>
        <w:t xml:space="preserve"> gigabitovými sítěmi</w:t>
      </w:r>
      <w:r w:rsidR="00BB6F65">
        <w:t xml:space="preserve">. </w:t>
      </w:r>
    </w:p>
    <w:p w14:paraId="1BFC5678" w14:textId="4808CA8D" w:rsidR="00BB6F65" w:rsidRPr="006161B3" w:rsidRDefault="00324346" w:rsidP="00FE6868">
      <w:pPr>
        <w:pStyle w:val="HSpodbod"/>
      </w:pPr>
      <w:r>
        <w:t xml:space="preserve">Pokrýt </w:t>
      </w:r>
      <w:r w:rsidR="00BB6F65" w:rsidRPr="008D0B3A">
        <w:t>osídlené oblasti bezdrátovými vysokorychlostními sítěmi</w:t>
      </w:r>
      <w:r w:rsidR="00BB6F65">
        <w:t>.</w:t>
      </w:r>
    </w:p>
    <w:p w14:paraId="471D7FBA" w14:textId="77777777" w:rsidR="00BB6F65" w:rsidRPr="006C2504" w:rsidRDefault="00BB6F65" w:rsidP="00BB6F65">
      <w:pPr>
        <w:pStyle w:val="HSNadpis4bezslovn"/>
      </w:pPr>
      <w:r w:rsidRPr="006C2504">
        <w:t>Hlavní opatření:</w:t>
      </w:r>
    </w:p>
    <w:p w14:paraId="51B9CF39" w14:textId="2CBC95D7" w:rsidR="00BB6F65" w:rsidRDefault="00BB6F65" w:rsidP="00FE6868">
      <w:pPr>
        <w:pStyle w:val="HSpodbod"/>
      </w:pPr>
      <w:r w:rsidRPr="00594B77">
        <w:t>Zlepšov</w:t>
      </w:r>
      <w:r>
        <w:t>at</w:t>
      </w:r>
      <w:r w:rsidRPr="00594B77">
        <w:t xml:space="preserve"> digitální propojení</w:t>
      </w:r>
      <w:r>
        <w:t xml:space="preserve"> s cílem</w:t>
      </w:r>
      <w:r w:rsidRPr="00594B77">
        <w:t xml:space="preserve"> zvýš</w:t>
      </w:r>
      <w:r>
        <w:t>it</w:t>
      </w:r>
      <w:r w:rsidRPr="00594B77">
        <w:t xml:space="preserve"> možnosti digitálního připojení občanů i soukromých subjektů a</w:t>
      </w:r>
      <w:r w:rsidR="00AF55AB">
        <w:t> </w:t>
      </w:r>
      <w:r w:rsidRPr="00594B77">
        <w:t>zlepšení digitální infrastruktury.</w:t>
      </w:r>
    </w:p>
    <w:p w14:paraId="604F9093" w14:textId="50C4E2DF" w:rsidR="00BB6F65" w:rsidRPr="00594B77" w:rsidRDefault="00BB6F65" w:rsidP="00FE6868">
      <w:pPr>
        <w:pStyle w:val="HSpodbod"/>
      </w:pPr>
      <w:r w:rsidRPr="00594B77">
        <w:t>Podpor</w:t>
      </w:r>
      <w:r>
        <w:t xml:space="preserve">ovat </w:t>
      </w:r>
      <w:r w:rsidRPr="00594B77">
        <w:t>rozvoj sítí s velmi vysokou kapacitou k dosažení vyššího pokrytí vysokorychlostní sítí.</w:t>
      </w:r>
    </w:p>
    <w:p w14:paraId="2600D39B" w14:textId="77777777" w:rsidR="00CB4EBC" w:rsidRPr="00573852" w:rsidRDefault="00CB4EBC" w:rsidP="00CB4EBC">
      <w:pPr>
        <w:pStyle w:val="HSpodbod"/>
      </w:pPr>
      <w:r>
        <w:t>Koordinovat přípravu vytváření legislativních a nelegislativních opatření k posílení soukromých investic do budování sítí s velmi vysokou kapacitou.</w:t>
      </w:r>
    </w:p>
    <w:p w14:paraId="676A538E" w14:textId="08C2AC3E" w:rsidR="00BB6F65" w:rsidRPr="00594B77" w:rsidRDefault="00BB6F65" w:rsidP="00FE6868">
      <w:pPr>
        <w:pStyle w:val="HSpodbod"/>
      </w:pPr>
      <w:r>
        <w:t>Uskutečnit p</w:t>
      </w:r>
      <w:r w:rsidRPr="00594B77">
        <w:t xml:space="preserve">rojekt </w:t>
      </w:r>
      <w:proofErr w:type="spellStart"/>
      <w:r w:rsidRPr="00594B77">
        <w:t>Broadband</w:t>
      </w:r>
      <w:proofErr w:type="spellEnd"/>
      <w:r w:rsidRPr="00594B77">
        <w:t xml:space="preserve"> </w:t>
      </w:r>
      <w:proofErr w:type="spellStart"/>
      <w:r w:rsidRPr="00594B77">
        <w:t>Competence</w:t>
      </w:r>
      <w:proofErr w:type="spellEnd"/>
      <w:r w:rsidRPr="00594B77">
        <w:t xml:space="preserve"> Office Česká republika</w:t>
      </w:r>
      <w:r>
        <w:t xml:space="preserve"> pro </w:t>
      </w:r>
      <w:r w:rsidRPr="00594B77">
        <w:t>podpor</w:t>
      </w:r>
      <w:r>
        <w:t>u</w:t>
      </w:r>
      <w:r w:rsidRPr="00594B77">
        <w:t xml:space="preserve"> všech regionů při vytváření jednotného digitálního trhu EU.</w:t>
      </w:r>
    </w:p>
    <w:p w14:paraId="75146DF6" w14:textId="0B00E197" w:rsidR="00BB6F65" w:rsidRPr="00594B77" w:rsidRDefault="00BB6F65" w:rsidP="00FE6868">
      <w:pPr>
        <w:pStyle w:val="HSpodbod"/>
      </w:pPr>
      <w:r>
        <w:lastRenderedPageBreak/>
        <w:t>R</w:t>
      </w:r>
      <w:r w:rsidRPr="00594B77">
        <w:t>ozv</w:t>
      </w:r>
      <w:r>
        <w:t>íjet</w:t>
      </w:r>
      <w:r w:rsidRPr="00594B77">
        <w:t xml:space="preserve"> mobilní sít</w:t>
      </w:r>
      <w:r w:rsidR="00346158">
        <w:t>ě</w:t>
      </w:r>
      <w:r>
        <w:t>.</w:t>
      </w:r>
    </w:p>
    <w:p w14:paraId="2BCB6E7B" w14:textId="6FAE988F" w:rsidR="00BB6F65" w:rsidRPr="00594B77" w:rsidRDefault="00324346" w:rsidP="00FE6868">
      <w:pPr>
        <w:pStyle w:val="HSpodbod"/>
      </w:pPr>
      <w:r>
        <w:t>Zavést opatření</w:t>
      </w:r>
      <w:r w:rsidR="00BB6F65">
        <w:t xml:space="preserve"> pro</w:t>
      </w:r>
      <w:r w:rsidR="00BB6F65" w:rsidRPr="00594B77">
        <w:t xml:space="preserve"> usnadnění, zrychlení a zlevnění budování sítí elektronických komunikací.</w:t>
      </w:r>
    </w:p>
    <w:p w14:paraId="365A1EC1" w14:textId="39A20486" w:rsidR="00BB6F65" w:rsidRDefault="00BB6F65" w:rsidP="00FE6868">
      <w:pPr>
        <w:pStyle w:val="HSpodbod"/>
      </w:pPr>
      <w:r w:rsidRPr="00594B77">
        <w:t>Vědeckovýzkumné činnosti související s rozvojem sítí a služeb</w:t>
      </w:r>
      <w:r>
        <w:t>, které</w:t>
      </w:r>
      <w:r w:rsidRPr="00594B77">
        <w:t xml:space="preserve"> přispěj</w:t>
      </w:r>
      <w:r>
        <w:t>í</w:t>
      </w:r>
      <w:r w:rsidRPr="00594B77">
        <w:t xml:space="preserve"> k vyšší spolupráci na průmyslovém výzkumu a experimentálním vývoji v oblasti </w:t>
      </w:r>
      <w:r w:rsidR="00AA3B14">
        <w:t>mobilních sítí</w:t>
      </w:r>
      <w:r w:rsidR="00AA3B14" w:rsidRPr="00594B77">
        <w:t xml:space="preserve"> </w:t>
      </w:r>
      <w:r w:rsidRPr="00594B77">
        <w:t>a zvýší úroveň digitalizace podniků.</w:t>
      </w:r>
    </w:p>
    <w:p w14:paraId="3A5AA330" w14:textId="4384D992" w:rsidR="00BB6F65" w:rsidRPr="00594B77" w:rsidRDefault="00BB6F65" w:rsidP="00FE6868">
      <w:pPr>
        <w:pStyle w:val="HSpodbod"/>
      </w:pPr>
      <w:r>
        <w:t>Zajišťovat bezpečnost digitální infrastruktury.</w:t>
      </w:r>
    </w:p>
    <w:p w14:paraId="42333072" w14:textId="316C474F" w:rsidR="00BB6F65" w:rsidRDefault="00BB6F65" w:rsidP="00FE6868">
      <w:pPr>
        <w:pStyle w:val="HSpodbod"/>
      </w:pPr>
      <w:r>
        <w:t>Vytvořit</w:t>
      </w:r>
      <w:r w:rsidRPr="00870A02">
        <w:t xml:space="preserve"> efektivn</w:t>
      </w:r>
      <w:r>
        <w:t>ě</w:t>
      </w:r>
      <w:r w:rsidRPr="00870A02">
        <w:t xml:space="preserve"> fung</w:t>
      </w:r>
      <w:r>
        <w:t>ující</w:t>
      </w:r>
      <w:r w:rsidR="0005542F">
        <w:t xml:space="preserve"> síť</w:t>
      </w:r>
      <w:r w:rsidRPr="00870A02">
        <w:t xml:space="preserve"> </w:t>
      </w:r>
      <w:r w:rsidRPr="007D5C21">
        <w:t>Evropsk</w:t>
      </w:r>
      <w:r w:rsidR="0005542F">
        <w:t>ých</w:t>
      </w:r>
      <w:r w:rsidRPr="007D5C21">
        <w:t xml:space="preserve"> digitální</w:t>
      </w:r>
      <w:r w:rsidR="0005542F">
        <w:t>ch</w:t>
      </w:r>
      <w:r w:rsidRPr="007D5C21">
        <w:t xml:space="preserve"> a inovační</w:t>
      </w:r>
      <w:r w:rsidR="0005542F">
        <w:t>ch</w:t>
      </w:r>
      <w:r w:rsidRPr="007D5C21">
        <w:t xml:space="preserve"> </w:t>
      </w:r>
      <w:r w:rsidRPr="00870A02">
        <w:t>cent</w:t>
      </w:r>
      <w:r w:rsidR="0005542F">
        <w:t>e</w:t>
      </w:r>
      <w:r w:rsidRPr="00870A02">
        <w:t>r</w:t>
      </w:r>
      <w:r>
        <w:t>.</w:t>
      </w:r>
    </w:p>
    <w:p w14:paraId="40D64E3F" w14:textId="3E268B72" w:rsidR="00BB6F65" w:rsidRPr="00870A02" w:rsidRDefault="00BB6F65" w:rsidP="00FE6868">
      <w:pPr>
        <w:pStyle w:val="HSpodbod"/>
      </w:pPr>
      <w:r w:rsidRPr="00870A02">
        <w:t>Podpor</w:t>
      </w:r>
      <w:r>
        <w:t>ovat</w:t>
      </w:r>
      <w:r w:rsidRPr="00870A02">
        <w:t xml:space="preserve"> digitalizac</w:t>
      </w:r>
      <w:r>
        <w:t>i</w:t>
      </w:r>
      <w:r w:rsidRPr="00870A02">
        <w:t xml:space="preserve"> malých a středních podniků, vznik jednorožců</w:t>
      </w:r>
      <w:r w:rsidR="00506440">
        <w:t xml:space="preserve">, tj. úspěšných a hodnotných </w:t>
      </w:r>
      <w:proofErr w:type="spellStart"/>
      <w:r w:rsidR="00506440">
        <w:t>strartupů</w:t>
      </w:r>
      <w:proofErr w:type="spellEnd"/>
      <w:r>
        <w:t>.</w:t>
      </w:r>
    </w:p>
    <w:p w14:paraId="78848FA4" w14:textId="52798B19" w:rsidR="00BB6F65" w:rsidRPr="00870A02" w:rsidRDefault="00BB6F65" w:rsidP="00FE6868">
      <w:pPr>
        <w:pStyle w:val="HSpodbod"/>
      </w:pPr>
      <w:r>
        <w:t>Realizovat</w:t>
      </w:r>
      <w:r w:rsidRPr="00870A02">
        <w:t xml:space="preserve"> </w:t>
      </w:r>
      <w:r w:rsidRPr="00EC1F36">
        <w:t>Evropsk</w:t>
      </w:r>
      <w:r>
        <w:t>á</w:t>
      </w:r>
      <w:r w:rsidRPr="00EC1F36">
        <w:t xml:space="preserve"> testovací a experimentální zařízení pro umělou inteligenci</w:t>
      </w:r>
      <w:r w:rsidR="00506440">
        <w:t>.</w:t>
      </w:r>
    </w:p>
    <w:p w14:paraId="493F8B8F" w14:textId="77777777" w:rsidR="00FF3092" w:rsidRPr="00FF3092" w:rsidRDefault="00FF3092" w:rsidP="00FF3092">
      <w:pPr>
        <w:pStyle w:val="HSpodbod"/>
      </w:pPr>
      <w:r w:rsidRPr="00FF3092">
        <w:t xml:space="preserve">Podporovat iniciativy usnadňující digitální obchod a tok dat. </w:t>
      </w:r>
    </w:p>
    <w:p w14:paraId="36AFC1FE" w14:textId="3590450C" w:rsidR="00BB6F65" w:rsidRPr="00E72988" w:rsidRDefault="00BB6F65" w:rsidP="00FE6868">
      <w:pPr>
        <w:pStyle w:val="HSpodbod"/>
      </w:pPr>
      <w:r w:rsidRPr="00870A02">
        <w:t>Invest</w:t>
      </w:r>
      <w:r>
        <w:t xml:space="preserve">ovat </w:t>
      </w:r>
      <w:r w:rsidRPr="00870A02">
        <w:t xml:space="preserve">do progresivních technologií umělé inteligence, </w:t>
      </w:r>
      <w:proofErr w:type="spellStart"/>
      <w:r w:rsidR="00324346">
        <w:t>edge</w:t>
      </w:r>
      <w:proofErr w:type="spellEnd"/>
      <w:r w:rsidR="00324346">
        <w:t xml:space="preserve"> </w:t>
      </w:r>
      <w:proofErr w:type="spellStart"/>
      <w:r w:rsidR="00324346">
        <w:t>computingu</w:t>
      </w:r>
      <w:proofErr w:type="spellEnd"/>
      <w:r w:rsidR="00324346">
        <w:t xml:space="preserve">, </w:t>
      </w:r>
      <w:r w:rsidRPr="00870A02">
        <w:t>cloudů a big data</w:t>
      </w:r>
      <w:r>
        <w:t>.</w:t>
      </w:r>
    </w:p>
    <w:p w14:paraId="0FB200BF" w14:textId="77777777" w:rsidR="00BB6F65" w:rsidRPr="00594B77" w:rsidRDefault="00BB6F65" w:rsidP="00BB6F65">
      <w:pPr>
        <w:pStyle w:val="HSNadpis4bezslovn"/>
      </w:pPr>
      <w:r w:rsidRPr="00594B77">
        <w:t>Naplňující strategie:</w:t>
      </w:r>
    </w:p>
    <w:p w14:paraId="3AD36033" w14:textId="7B4511A6" w:rsidR="00BB6F65" w:rsidRPr="00594B77" w:rsidRDefault="00BB6F65" w:rsidP="00FE6868">
      <w:pPr>
        <w:pStyle w:val="HSpodbod"/>
      </w:pPr>
      <w:r w:rsidRPr="00594B77">
        <w:t>Národní plán rozvoje sítí s velmi vysokou kapacitou</w:t>
      </w:r>
    </w:p>
    <w:p w14:paraId="5A1E62F0" w14:textId="5DF7820D" w:rsidR="00BB6F65" w:rsidRDefault="00BB6F65" w:rsidP="00FE6868">
      <w:pPr>
        <w:pStyle w:val="HSpodbod"/>
      </w:pPr>
      <w:bookmarkStart w:id="59" w:name="_Hlk168404403"/>
      <w:r w:rsidRPr="00594B77">
        <w:t>Implementace a rozvoj sítí v České republice</w:t>
      </w:r>
      <w:bookmarkEnd w:id="59"/>
      <w:r w:rsidR="00324346" w:rsidRPr="00324346">
        <w:t xml:space="preserve"> – Cesta k digitální ekonomice</w:t>
      </w:r>
    </w:p>
    <w:p w14:paraId="5AC665EE" w14:textId="445A7997" w:rsidR="00BB6F65" w:rsidRDefault="00BB6F65" w:rsidP="00FE6868">
      <w:pPr>
        <w:pStyle w:val="HSpodbod"/>
      </w:pPr>
      <w:r w:rsidRPr="001176EB">
        <w:t>Cesta k evropské Digitální dekádě: Strategický plán digitalizace Česka do roku 2030</w:t>
      </w:r>
    </w:p>
    <w:p w14:paraId="08414603" w14:textId="51F1CD36" w:rsidR="00BB6F65" w:rsidRPr="00E72988" w:rsidRDefault="00BB6F65" w:rsidP="00FE6868">
      <w:pPr>
        <w:pStyle w:val="HSpodbod"/>
      </w:pPr>
      <w:r>
        <w:t xml:space="preserve">Akční plán </w:t>
      </w:r>
      <w:r w:rsidR="00324346">
        <w:t xml:space="preserve">2.0 </w:t>
      </w:r>
      <w:r>
        <w:t>k provedení nedotačních opatření pro podporu plánování a výstavby sítí</w:t>
      </w:r>
      <w:r w:rsidR="00324346">
        <w:t xml:space="preserve"> elektronických komunikací</w:t>
      </w:r>
    </w:p>
    <w:p w14:paraId="4B279FCE" w14:textId="1AA89F3E" w:rsidR="00BB6F65" w:rsidRPr="008C3EB9" w:rsidRDefault="00BB6F65" w:rsidP="00FE6868">
      <w:pPr>
        <w:pStyle w:val="HSpodbod"/>
        <w:rPr>
          <w:strike/>
        </w:rPr>
      </w:pPr>
      <w:r w:rsidRPr="004139FA">
        <w:t>Digitální ekonomika a společnost (DES) v rámci programu Digitální Česko</w:t>
      </w:r>
    </w:p>
    <w:p w14:paraId="4A2A7CF3" w14:textId="06B2F689" w:rsidR="00BB6F65" w:rsidRDefault="00BB6F65" w:rsidP="00FE6868">
      <w:pPr>
        <w:pStyle w:val="HSpodbod"/>
      </w:pPr>
      <w:r w:rsidRPr="00870A02">
        <w:t>Národní strategi</w:t>
      </w:r>
      <w:r>
        <w:t>e</w:t>
      </w:r>
      <w:r w:rsidRPr="00870A02">
        <w:t xml:space="preserve"> umělé inteligence ČR 2030</w:t>
      </w:r>
    </w:p>
    <w:p w14:paraId="6F20B181" w14:textId="394B50D0" w:rsidR="004B5B05" w:rsidRDefault="004B5B05" w:rsidP="00FE6868">
      <w:pPr>
        <w:pStyle w:val="HSpodbod"/>
      </w:pPr>
      <w:r w:rsidRPr="0001093A">
        <w:t>EU Digitální dekáda 2030</w:t>
      </w:r>
    </w:p>
    <w:p w14:paraId="19680286" w14:textId="4E2C4867" w:rsidR="005673C5" w:rsidRDefault="005673C5" w:rsidP="00FE6868">
      <w:pPr>
        <w:pStyle w:val="HSpodbod"/>
      </w:pPr>
      <w:r w:rsidRPr="005673C5">
        <w:t>Strategie podpory malých a středních podniků do roku 2027</w:t>
      </w:r>
    </w:p>
    <w:p w14:paraId="7B87EB25" w14:textId="5A4509EF" w:rsidR="0031053E" w:rsidRDefault="0031053E" w:rsidP="0031053E">
      <w:pPr>
        <w:pStyle w:val="HSpodbod"/>
        <w:numPr>
          <w:ilvl w:val="0"/>
          <w:numId w:val="0"/>
        </w:numPr>
      </w:pPr>
      <w:r>
        <w:br w:type="page"/>
      </w:r>
    </w:p>
    <w:p w14:paraId="0430AB81" w14:textId="77777777" w:rsidR="00FE6868" w:rsidRPr="00F5548D" w:rsidRDefault="00FE6868" w:rsidP="004F1B00">
      <w:pPr>
        <w:pStyle w:val="HSNadpisIII2"/>
      </w:pPr>
      <w:bookmarkStart w:id="60" w:name="_Toc174703081"/>
      <w:r>
        <w:lastRenderedPageBreak/>
        <w:t>Ekonomická bezpečnost a obchodní strategie</w:t>
      </w:r>
      <w:bookmarkEnd w:id="60"/>
    </w:p>
    <w:p w14:paraId="5A301C40" w14:textId="6F7D33E7" w:rsidR="00FE6868" w:rsidRDefault="00FE6868" w:rsidP="00FE6868">
      <w:r>
        <w:t xml:space="preserve">Zajištění ekonomické bezpečnosti je předpokladem pro spolehlivé fungování českého hospodářství ve světě, kde narůstá množství mezinárodních krizí a konfliktů. Posilování ekonomické bezpečnosti je důležité pro udržení dlouhodobé prosperity </w:t>
      </w:r>
      <w:r w:rsidR="002432E8">
        <w:t xml:space="preserve">České republiky </w:t>
      </w:r>
      <w:r>
        <w:t xml:space="preserve">a otevřeného mezinárodně-obchodního prostředí postaveného na dodržování pravidel. Proto je zásadní zvýšení diverzifikace zahraničního obchodu, prohlubování ekonomických vztahů s důvěryhodnými partnery, pronikání na nové trhy za účelem vytváření </w:t>
      </w:r>
      <w:r w:rsidR="00506440">
        <w:t xml:space="preserve">a prodeje </w:t>
      </w:r>
      <w:r>
        <w:t xml:space="preserve">produktů s vysokou přidanou hodnotou. Je nutné snižovat kritické závislosti, být odolnější vůči ekonomickému nátlaku a zajistit, aby výrobky a technologie </w:t>
      </w:r>
      <w:r w:rsidR="002432E8">
        <w:t xml:space="preserve">vyvinuté a vyrobené v České republice </w:t>
      </w:r>
      <w:r>
        <w:t>nebyly zneužity proti</w:t>
      </w:r>
      <w:r w:rsidR="002432E8">
        <w:t xml:space="preserve"> českým zájmům</w:t>
      </w:r>
      <w:r>
        <w:t>.</w:t>
      </w:r>
      <w:r w:rsidR="00985852">
        <w:t xml:space="preserve"> </w:t>
      </w:r>
    </w:p>
    <w:p w14:paraId="02B8996C" w14:textId="7D198BC0" w:rsidR="00FE6868" w:rsidRDefault="00FE6868" w:rsidP="00FE6868">
      <w:r w:rsidRPr="00A93C90">
        <w:rPr>
          <w:rFonts w:cstheme="minorHAnsi"/>
        </w:rPr>
        <w:t xml:space="preserve">Koordinovaný národní </w:t>
      </w:r>
      <w:r w:rsidR="00506440">
        <w:rPr>
          <w:rFonts w:cstheme="minorHAnsi"/>
        </w:rPr>
        <w:t xml:space="preserve">i celoevropský </w:t>
      </w:r>
      <w:r w:rsidRPr="00A93C90">
        <w:rPr>
          <w:rFonts w:cstheme="minorHAnsi"/>
        </w:rPr>
        <w:t xml:space="preserve">přístup a příslušné nástroje ekonomické bezpečnosti pomohou zajistit, že </w:t>
      </w:r>
      <w:r w:rsidR="0019214C">
        <w:t>Česká republika</w:t>
      </w:r>
      <w:r w:rsidR="0019214C" w:rsidRPr="00A93C90">
        <w:rPr>
          <w:rFonts w:cstheme="minorHAnsi"/>
        </w:rPr>
        <w:t xml:space="preserve"> </w:t>
      </w:r>
      <w:r w:rsidRPr="00A93C90">
        <w:rPr>
          <w:rFonts w:cstheme="minorHAnsi"/>
        </w:rPr>
        <w:t xml:space="preserve">bude vnímaná jako bezpečná a atraktivní země pro ekonomickou aktivitu, realizaci výzkumu a vývoje a vytvoří tak předpoklady pro posílení technologického leadershipu. </w:t>
      </w:r>
      <w:r w:rsidR="0019214C">
        <w:t>Česká republika</w:t>
      </w:r>
      <w:r w:rsidR="0019214C" w:rsidRPr="00A93C90">
        <w:rPr>
          <w:rFonts w:cstheme="minorHAnsi"/>
        </w:rPr>
        <w:t xml:space="preserve"> </w:t>
      </w:r>
      <w:r w:rsidRPr="00A93C90">
        <w:rPr>
          <w:rFonts w:cstheme="minorHAnsi"/>
        </w:rPr>
        <w:t xml:space="preserve">by měla být schopna strategické technologie produkovat a efektivně zavádět bezpečným způsobem, který minimalizuje riziko jejich zneužití proti bezpečnosti </w:t>
      </w:r>
      <w:r w:rsidR="0019214C">
        <w:t>České republiky</w:t>
      </w:r>
      <w:r w:rsidRPr="00A93C90">
        <w:rPr>
          <w:rFonts w:cstheme="minorHAnsi"/>
        </w:rPr>
        <w:t>, včetně projektů na úrovni EU.</w:t>
      </w:r>
    </w:p>
    <w:p w14:paraId="7EE2735C" w14:textId="77777777" w:rsidR="00FE6868" w:rsidRPr="006C2504" w:rsidRDefault="00FE6868" w:rsidP="00FE6868">
      <w:pPr>
        <w:pStyle w:val="HSNadpis4bezslovn"/>
      </w:pPr>
      <w:r w:rsidRPr="006C2504">
        <w:t>Souhrnná analýza potenciálu ekonomiky České republiky v dané oblasti (SWOT analýza):</w:t>
      </w:r>
    </w:p>
    <w:p w14:paraId="50709A4B" w14:textId="77777777" w:rsidR="00FE6868" w:rsidRPr="00DE56AF" w:rsidRDefault="00FE6868" w:rsidP="00FE6868">
      <w:pPr>
        <w:pStyle w:val="HSNadpis5bezslovn"/>
      </w:pPr>
      <w:r w:rsidRPr="00DE56AF">
        <w:t>Silné stránky:</w:t>
      </w:r>
    </w:p>
    <w:p w14:paraId="0ADC0232" w14:textId="27143100" w:rsidR="00FE6868" w:rsidRPr="00B76DE6" w:rsidRDefault="002432E8" w:rsidP="00FE6868">
      <w:pPr>
        <w:pStyle w:val="HSpodbod"/>
      </w:pPr>
      <w:r>
        <w:t>Otevřená, exportn</w:t>
      </w:r>
      <w:r w:rsidR="006C6854">
        <w:t>ě zaměřená</w:t>
      </w:r>
      <w:r>
        <w:t xml:space="preserve"> a z </w:t>
      </w:r>
      <w:r w:rsidR="00FE6868">
        <w:t>hlediska struktury exportu zboží</w:t>
      </w:r>
      <w:r>
        <w:t> </w:t>
      </w:r>
      <w:r w:rsidR="00506440">
        <w:t>vysoce</w:t>
      </w:r>
      <w:r w:rsidR="00FE6868">
        <w:t> komplexn</w:t>
      </w:r>
      <w:r w:rsidR="00506440">
        <w:t>í</w:t>
      </w:r>
      <w:r w:rsidR="00FE6868">
        <w:t xml:space="preserve"> ekonomik</w:t>
      </w:r>
      <w:r w:rsidR="00506440">
        <w:t>a</w:t>
      </w:r>
      <w:r w:rsidR="00FE6868">
        <w:t>.</w:t>
      </w:r>
    </w:p>
    <w:p w14:paraId="354CEE90" w14:textId="5B5E36DA" w:rsidR="00FE6868" w:rsidRPr="00BA6A15" w:rsidRDefault="002432E8" w:rsidP="00FE6868">
      <w:pPr>
        <w:pStyle w:val="HSpodbod"/>
      </w:pPr>
      <w:r>
        <w:t>Dobr</w:t>
      </w:r>
      <w:r w:rsidR="00FE6868" w:rsidRPr="00BA6A15">
        <w:t>á pověst v EU na základě úspěšného předsednictví</w:t>
      </w:r>
      <w:r w:rsidR="00FE6868">
        <w:t xml:space="preserve"> v Radě EU v roce 2022</w:t>
      </w:r>
      <w:r w:rsidR="00FE6868" w:rsidRPr="00BA6A15">
        <w:t xml:space="preserve"> </w:t>
      </w:r>
      <w:r w:rsidR="00FE6868">
        <w:t xml:space="preserve">a </w:t>
      </w:r>
      <w:proofErr w:type="spellStart"/>
      <w:r w:rsidR="00FE6868">
        <w:t>kredibilní</w:t>
      </w:r>
      <w:proofErr w:type="spellEnd"/>
      <w:r w:rsidR="00FE6868">
        <w:t xml:space="preserve"> dlouhodobé podpory otevřeného a bezpečného globálního obchodního prostředí.</w:t>
      </w:r>
    </w:p>
    <w:p w14:paraId="6368DF34" w14:textId="386C6838" w:rsidR="00FE6868" w:rsidRDefault="002432E8" w:rsidP="00FE6868">
      <w:pPr>
        <w:pStyle w:val="HSpodbod"/>
      </w:pPr>
      <w:r>
        <w:t>Dobr</w:t>
      </w:r>
      <w:r w:rsidR="00FE6868">
        <w:t>á pozic</w:t>
      </w:r>
      <w:r>
        <w:t>e</w:t>
      </w:r>
      <w:r w:rsidR="00FE6868" w:rsidRPr="00BA6A15">
        <w:t xml:space="preserve"> v NATO, zejména díky postoji a rychlé reakci na válku na Ukrajině a</w:t>
      </w:r>
      <w:r w:rsidR="00AF55AB">
        <w:t> </w:t>
      </w:r>
      <w:r w:rsidR="00FE6868" w:rsidRPr="00BA6A15">
        <w:t>zvládnutí uprchlické krize</w:t>
      </w:r>
      <w:r w:rsidR="00FE6868">
        <w:t>.</w:t>
      </w:r>
      <w:r w:rsidR="00FE6868" w:rsidRPr="00BA6A15" w:rsidDel="00EB66FF">
        <w:t xml:space="preserve"> </w:t>
      </w:r>
    </w:p>
    <w:p w14:paraId="4947C660" w14:textId="4754D3AE" w:rsidR="00FE6868" w:rsidRPr="00BA6A15" w:rsidRDefault="00FE6868" w:rsidP="00FE6868">
      <w:pPr>
        <w:pStyle w:val="HSpodbod"/>
      </w:pPr>
      <w:r w:rsidRPr="00BA6A15">
        <w:t xml:space="preserve">Česká republika </w:t>
      </w:r>
      <w:r>
        <w:t>je součástí a hlasitým proponentem vnitřního trhu EU,</w:t>
      </w:r>
      <w:r w:rsidRPr="00BA6A15">
        <w:t xml:space="preserve"> společné obchodní politiky EU a</w:t>
      </w:r>
      <w:r w:rsidR="00AF55AB">
        <w:t> </w:t>
      </w:r>
      <w:r w:rsidRPr="00BA6A15">
        <w:t xml:space="preserve">členství ve Světové obchodní organizaci a </w:t>
      </w:r>
      <w:r w:rsidR="002432E8">
        <w:t xml:space="preserve">aktivně se </w:t>
      </w:r>
      <w:r w:rsidRPr="00BA6A15">
        <w:t>podílí na vytváření liberálních globálních obchodních pravidel.</w:t>
      </w:r>
    </w:p>
    <w:p w14:paraId="61922DB6" w14:textId="1C499387" w:rsidR="00FE6868" w:rsidRPr="00BA6A15" w:rsidRDefault="002432E8" w:rsidP="00FE6868">
      <w:pPr>
        <w:pStyle w:val="HSpodbod"/>
      </w:pPr>
      <w:r>
        <w:t>R</w:t>
      </w:r>
      <w:r w:rsidR="00FE6868" w:rsidRPr="00BA6A15">
        <w:t>ozvinuté vztahy s mezinárodními partnery, včetně USA,</w:t>
      </w:r>
      <w:r w:rsidR="00FE6868">
        <w:t xml:space="preserve"> Velké Británie, </w:t>
      </w:r>
      <w:r w:rsidR="00FE6868" w:rsidRPr="00BA6A15">
        <w:t>Izraele, Japonska, Koreje a Tchaj-wanu.</w:t>
      </w:r>
    </w:p>
    <w:p w14:paraId="3FF07AFB" w14:textId="207CCC70" w:rsidR="00FE6868" w:rsidRPr="00453FFF" w:rsidRDefault="002432E8" w:rsidP="00FE6868">
      <w:pPr>
        <w:pStyle w:val="HSpodbod"/>
      </w:pPr>
      <w:r>
        <w:t>V</w:t>
      </w:r>
      <w:r w:rsidR="00FE6868" w:rsidRPr="00BA6A15">
        <w:t>yužívá</w:t>
      </w:r>
      <w:r w:rsidR="006C6854">
        <w:t>ní</w:t>
      </w:r>
      <w:r w:rsidR="00FE6868">
        <w:t xml:space="preserve"> nástroj</w:t>
      </w:r>
      <w:r w:rsidR="006C6854">
        <w:t>ů</w:t>
      </w:r>
      <w:r w:rsidR="00FE6868">
        <w:t xml:space="preserve"> k posílení ekonomické bezpečnosti (prověřování zahraničních investic, kontroly vývozu, inciativy k posílení kybernetické bezpečnosti a bezpečnosti výzkumu)</w:t>
      </w:r>
      <w:r w:rsidR="00FE6868" w:rsidRPr="00BA6A15">
        <w:t xml:space="preserve"> a</w:t>
      </w:r>
      <w:r w:rsidR="00655668">
        <w:t> </w:t>
      </w:r>
      <w:r w:rsidR="006C6854" w:rsidRPr="00BA6A15">
        <w:t>dispon</w:t>
      </w:r>
      <w:r w:rsidR="006C6854">
        <w:t>ování</w:t>
      </w:r>
      <w:r w:rsidR="006C6854" w:rsidRPr="00BA6A15">
        <w:t xml:space="preserve"> </w:t>
      </w:r>
      <w:r w:rsidR="00FE6868" w:rsidRPr="00BA6A15">
        <w:t>robustním systémem zásob surovin pro krizové stavy.</w:t>
      </w:r>
    </w:p>
    <w:p w14:paraId="07AABD30" w14:textId="77777777" w:rsidR="00FE6868" w:rsidRPr="00DE56AF" w:rsidRDefault="00FE6868" w:rsidP="00FE6868">
      <w:pPr>
        <w:pStyle w:val="HSNadpis5bezslovn"/>
      </w:pPr>
      <w:r w:rsidRPr="00DE56AF">
        <w:t>Slabé stránky:</w:t>
      </w:r>
    </w:p>
    <w:p w14:paraId="3C289149" w14:textId="6EBB9B02" w:rsidR="00FE6868" w:rsidRDefault="00FE6868" w:rsidP="00FE6868">
      <w:pPr>
        <w:pStyle w:val="HSpodbod"/>
      </w:pPr>
      <w:r w:rsidRPr="00BA6A15">
        <w:t>Vysoká závislost průmyslu na vnějších vstupech, včetně surovin, komodit a energie</w:t>
      </w:r>
      <w:r>
        <w:t>, závislost na</w:t>
      </w:r>
      <w:r w:rsidR="007633AA">
        <w:t> </w:t>
      </w:r>
      <w:r>
        <w:t>ekonomickém vývoji hlavních trhů</w:t>
      </w:r>
      <w:r w:rsidRPr="00BA6A15">
        <w:t>.</w:t>
      </w:r>
    </w:p>
    <w:p w14:paraId="7B5A75DB" w14:textId="6EA9EC20" w:rsidR="00FE6868" w:rsidRPr="00BA6A15" w:rsidRDefault="002432E8" w:rsidP="00FE6868">
      <w:pPr>
        <w:pStyle w:val="HSpodbod"/>
      </w:pPr>
      <w:r>
        <w:t xml:space="preserve">Orientace </w:t>
      </w:r>
      <w:r w:rsidR="00FE6868">
        <w:t>ekonomiky na omezené množství exportních trhů.</w:t>
      </w:r>
    </w:p>
    <w:p w14:paraId="5B14EC15" w14:textId="4B88B5E3" w:rsidR="00FE6868" w:rsidRDefault="00FE6868" w:rsidP="00FE6868">
      <w:pPr>
        <w:pStyle w:val="HSpodbod"/>
      </w:pPr>
      <w:r>
        <w:t>Nevyužívání plného potenciálu obchodních dohod a podfinancování podpory</w:t>
      </w:r>
      <w:r w:rsidR="00995C19">
        <w:t xml:space="preserve"> a internacionalizace</w:t>
      </w:r>
      <w:r>
        <w:t xml:space="preserve"> exportu.</w:t>
      </w:r>
    </w:p>
    <w:p w14:paraId="4CB1C535" w14:textId="23EDAA38" w:rsidR="00FE6868" w:rsidRDefault="00995C19" w:rsidP="00FE6868">
      <w:pPr>
        <w:pStyle w:val="HSpodbod"/>
      </w:pPr>
      <w:r>
        <w:t>A</w:t>
      </w:r>
      <w:r w:rsidR="00FE6868">
        <w:t>bsence systematického přístupu k ekonomické bezpečnosti.</w:t>
      </w:r>
    </w:p>
    <w:p w14:paraId="5AE76B74" w14:textId="16D4AE06" w:rsidR="00FE6868" w:rsidRDefault="00FE6868" w:rsidP="00FE6868">
      <w:pPr>
        <w:pStyle w:val="HSpodbod"/>
      </w:pPr>
      <w:r w:rsidRPr="00BA6A15">
        <w:t>Nízké zastoupení Čechů v</w:t>
      </w:r>
      <w:r>
        <w:t> evropských institucích snižuj</w:t>
      </w:r>
      <w:r w:rsidR="00995C19">
        <w:t>ící</w:t>
      </w:r>
      <w:r w:rsidRPr="00BA6A15">
        <w:t xml:space="preserve"> politick</w:t>
      </w:r>
      <w:r>
        <w:t>ý</w:t>
      </w:r>
      <w:r w:rsidRPr="00BA6A15">
        <w:t xml:space="preserve"> vliv a</w:t>
      </w:r>
      <w:r>
        <w:t> </w:t>
      </w:r>
      <w:r w:rsidRPr="00BA6A15">
        <w:t>možnosti prosazování českých zájmů na evropské úrovni.</w:t>
      </w:r>
    </w:p>
    <w:p w14:paraId="7B121BE0" w14:textId="7824CC81" w:rsidR="00FE6868" w:rsidRPr="00453FFF" w:rsidRDefault="00FE6868" w:rsidP="00FE6868">
      <w:pPr>
        <w:pStyle w:val="HSpodbod"/>
      </w:pPr>
      <w:r>
        <w:t xml:space="preserve">Postavení </w:t>
      </w:r>
      <w:r w:rsidR="00995C19">
        <w:t xml:space="preserve">českých společností </w:t>
      </w:r>
      <w:r>
        <w:t>v globálních hodnotových řetězcích</w:t>
      </w:r>
      <w:r w:rsidR="00995C19">
        <w:t xml:space="preserve"> a nízká investiční aktivita českých firem v zahraničí</w:t>
      </w:r>
      <w:r>
        <w:t>.</w:t>
      </w:r>
    </w:p>
    <w:p w14:paraId="00C45F4F" w14:textId="77777777" w:rsidR="00FE6868" w:rsidRPr="00DE56AF" w:rsidRDefault="00FE6868" w:rsidP="00FE6868">
      <w:pPr>
        <w:pStyle w:val="HSNadpis5bezslovn"/>
      </w:pPr>
      <w:r w:rsidRPr="00DE56AF">
        <w:t>Příležitosti:</w:t>
      </w:r>
    </w:p>
    <w:p w14:paraId="088901CA" w14:textId="71B82F3A" w:rsidR="00FE6868" w:rsidRPr="008124B3" w:rsidRDefault="00FE6868" w:rsidP="00FE6868">
      <w:pPr>
        <w:pStyle w:val="HSpodbod"/>
      </w:pPr>
      <w:r>
        <w:t>Posílení české ekonomické bezpečnosti</w:t>
      </w:r>
      <w:r w:rsidR="00995C19">
        <w:t>, které</w:t>
      </w:r>
      <w:r>
        <w:t xml:space="preserve"> přisp</w:t>
      </w:r>
      <w:r w:rsidR="00995C19">
        <w:t>ěje</w:t>
      </w:r>
      <w:r>
        <w:t xml:space="preserve"> k dlouhodobé prosperitě a posilování bilaterálních vztahů s důvěryhodnými partnery.</w:t>
      </w:r>
    </w:p>
    <w:p w14:paraId="40C5AA9D" w14:textId="6E13615D" w:rsidR="00995C19" w:rsidRDefault="00995C19" w:rsidP="00FE6868">
      <w:pPr>
        <w:pStyle w:val="HSpodbod"/>
      </w:pPr>
      <w:r>
        <w:t xml:space="preserve">Podpora odolnosti ekonomiky skrze posílení významu </w:t>
      </w:r>
      <w:r w:rsidR="008C1439">
        <w:t>České republiky</w:t>
      </w:r>
      <w:r>
        <w:t xml:space="preserve"> ve strategicky významných dodavatelských a hodnotových řetězcích.</w:t>
      </w:r>
    </w:p>
    <w:p w14:paraId="0B165CAF" w14:textId="294B1732" w:rsidR="00FE6868" w:rsidRPr="00961DEB" w:rsidRDefault="00FE6868" w:rsidP="00FE6868">
      <w:pPr>
        <w:pStyle w:val="HSpodbod"/>
      </w:pPr>
      <w:r>
        <w:t>Otevírání nových trhů a posilování odolnosti dodavatelských řetězců skrze uzavírání a plné využívání obchodních dohod a partnerství mezi EU a třetími zeměmi</w:t>
      </w:r>
      <w:r w:rsidRPr="008124B3">
        <w:t>.</w:t>
      </w:r>
    </w:p>
    <w:p w14:paraId="17A642CF" w14:textId="0B5E5949" w:rsidR="00FE6868" w:rsidRPr="00AA219D" w:rsidRDefault="00FE6868" w:rsidP="00FE6868">
      <w:pPr>
        <w:pStyle w:val="HSpodbod"/>
      </w:pPr>
      <w:r>
        <w:lastRenderedPageBreak/>
        <w:t xml:space="preserve">Ambiciózní a sebevědomá role </w:t>
      </w:r>
      <w:r w:rsidR="0019214C">
        <w:t xml:space="preserve">České republiky </w:t>
      </w:r>
      <w:r>
        <w:t>při vyjednávání nové vnitro-tržní legislativy umožňuje zásadně ovlivnit obsah souvisejících návrhů s cílem posílení ekonomicko-bezpečnostních zájmů</w:t>
      </w:r>
      <w:r w:rsidR="00995C19">
        <w:t xml:space="preserve"> České republiky</w:t>
      </w:r>
      <w:r>
        <w:t>.</w:t>
      </w:r>
    </w:p>
    <w:p w14:paraId="605DC99A" w14:textId="3D93FCE4" w:rsidR="00FE6868" w:rsidRPr="007F7AD7" w:rsidRDefault="00FE6868" w:rsidP="00FE6868">
      <w:pPr>
        <w:pStyle w:val="HSpodbod"/>
      </w:pPr>
      <w:r w:rsidRPr="00BA6A15">
        <w:t xml:space="preserve">Posun těžiště aktivity na východ EU spojený s </w:t>
      </w:r>
      <w:r w:rsidR="00000065">
        <w:t>r</w:t>
      </w:r>
      <w:r w:rsidRPr="00BA6A15">
        <w:t>uskou invazí na Ukrajinu otevírá příležitost pro Českou republiku posílit svou roli jako strategického partnera.</w:t>
      </w:r>
    </w:p>
    <w:p w14:paraId="090C00F3" w14:textId="71599995" w:rsidR="00FE6868" w:rsidRPr="00BA6A15" w:rsidRDefault="00000065" w:rsidP="00FE6868">
      <w:pPr>
        <w:pStyle w:val="HSpodbod"/>
      </w:pPr>
      <w:r>
        <w:t>A</w:t>
      </w:r>
      <w:r w:rsidR="00FE6868" w:rsidRPr="00BA6A15">
        <w:t xml:space="preserve">mbice </w:t>
      </w:r>
      <w:r>
        <w:t xml:space="preserve">EU </w:t>
      </w:r>
      <w:r w:rsidR="00FE6868" w:rsidRPr="00BA6A15">
        <w:t>stát se světovým leaderem v oblasti přechodu na nízkouhlíkovou ekonomiku.</w:t>
      </w:r>
    </w:p>
    <w:p w14:paraId="3D67BF07" w14:textId="27F56D6F" w:rsidR="00FE6868" w:rsidRDefault="00FE6868" w:rsidP="00FE6868">
      <w:pPr>
        <w:pStyle w:val="HSpodbod"/>
      </w:pPr>
      <w:r w:rsidRPr="00BA6A15">
        <w:t>Investice v zahraničí a trvalá přítomnost na zahraničních trzích prostřednictvím podpory exportu</w:t>
      </w:r>
      <w:r w:rsidRPr="00BA6A15">
        <w:rPr>
          <w:rFonts w:eastAsia="Times New Roman" w:cs="Calibri"/>
          <w:color w:val="000000"/>
          <w:lang w:eastAsia="cs-CZ"/>
        </w:rPr>
        <w:t>.</w:t>
      </w:r>
    </w:p>
    <w:p w14:paraId="501837D9" w14:textId="7E459B32" w:rsidR="00FE6868" w:rsidRPr="008124B3" w:rsidRDefault="00FE6868" w:rsidP="00FE6868">
      <w:pPr>
        <w:pStyle w:val="HSpodbod"/>
      </w:pPr>
      <w:r>
        <w:t>Odpovědné využívání bezpečnostních pojistek posiluj</w:t>
      </w:r>
      <w:r w:rsidR="00000065">
        <w:t>ící</w:t>
      </w:r>
      <w:r>
        <w:t xml:space="preserve"> atraktivitu českého investičního prostředí.</w:t>
      </w:r>
    </w:p>
    <w:p w14:paraId="4C236489" w14:textId="4F5FCEF0" w:rsidR="00FE6868" w:rsidRPr="008124B3" w:rsidRDefault="00FE6868" w:rsidP="00FE6868">
      <w:pPr>
        <w:pStyle w:val="HSpodbod"/>
      </w:pPr>
      <w:r>
        <w:t xml:space="preserve">Marketing inovací k pronikání na trhy zemí </w:t>
      </w:r>
      <w:r w:rsidR="00000065">
        <w:t xml:space="preserve">v rámci EU i </w:t>
      </w:r>
      <w:r>
        <w:t>mimo</w:t>
      </w:r>
      <w:r w:rsidR="00000065">
        <w:t xml:space="preserve"> ni</w:t>
      </w:r>
      <w:r>
        <w:t>.</w:t>
      </w:r>
    </w:p>
    <w:p w14:paraId="04D4BA68" w14:textId="77777777" w:rsidR="00FE6868" w:rsidRPr="00DE56AF" w:rsidRDefault="00FE6868" w:rsidP="00FE6868">
      <w:pPr>
        <w:pStyle w:val="HSNadpis5bezslovn"/>
      </w:pPr>
      <w:r w:rsidRPr="00DE56AF">
        <w:t>Hrozby:</w:t>
      </w:r>
    </w:p>
    <w:p w14:paraId="6FFFEB10" w14:textId="2992BE1B" w:rsidR="00FE6868" w:rsidRDefault="00FE6868" w:rsidP="00FE6868">
      <w:pPr>
        <w:pStyle w:val="HSpodbod"/>
      </w:pPr>
      <w:r w:rsidRPr="00BA6A15">
        <w:t>Eskalace a teritoriální rozšíření válečného konfliktu vyvolaného ruskou agresí vůči Ukrajině.</w:t>
      </w:r>
    </w:p>
    <w:p w14:paraId="47E9C95C" w14:textId="0DB07850" w:rsidR="00FE6868" w:rsidRPr="00B76DE6" w:rsidRDefault="00FE6868" w:rsidP="00FE6868">
      <w:pPr>
        <w:pStyle w:val="HSpodbod"/>
      </w:pPr>
      <w:r w:rsidRPr="00BA6A15">
        <w:t xml:space="preserve">Růst protekcionismu a </w:t>
      </w:r>
      <w:r w:rsidR="00506440">
        <w:t>napětí v zahraničním obchodě</w:t>
      </w:r>
      <w:r w:rsidRPr="00BA6A15">
        <w:t xml:space="preserve"> s negativními dopady na dodavatelské řetězce, </w:t>
      </w:r>
      <w:r w:rsidR="00000065">
        <w:t xml:space="preserve">související </w:t>
      </w:r>
      <w:r w:rsidRPr="00BA6A15">
        <w:t xml:space="preserve">omezení </w:t>
      </w:r>
      <w:r w:rsidR="00000065">
        <w:t xml:space="preserve">týkající se </w:t>
      </w:r>
      <w:r>
        <w:t xml:space="preserve">počtu </w:t>
      </w:r>
      <w:r w:rsidRPr="00BA6A15">
        <w:t>exportních trhů</w:t>
      </w:r>
      <w:r w:rsidR="00000065">
        <w:t xml:space="preserve"> a </w:t>
      </w:r>
      <w:r w:rsidRPr="00BA6A15">
        <w:t xml:space="preserve">přístupu k surovinám </w:t>
      </w:r>
      <w:r w:rsidR="00000065">
        <w:t>či</w:t>
      </w:r>
      <w:r w:rsidRPr="00BA6A15">
        <w:t xml:space="preserve"> </w:t>
      </w:r>
      <w:r>
        <w:t>ostatním vstupům do výroby.</w:t>
      </w:r>
    </w:p>
    <w:p w14:paraId="6EDEB4B2" w14:textId="2F1D7544" w:rsidR="00FE6868" w:rsidRPr="00BA6A15" w:rsidRDefault="00FE6868" w:rsidP="00FE6868">
      <w:pPr>
        <w:pStyle w:val="HSpodbod"/>
      </w:pPr>
      <w:r w:rsidRPr="00BA6A15">
        <w:t xml:space="preserve">Eskalace napětí mezi Čínou a Tchaj-wanem </w:t>
      </w:r>
      <w:r w:rsidR="00000065">
        <w:t>vedoucí</w:t>
      </w:r>
      <w:r w:rsidRPr="00BA6A15">
        <w:t xml:space="preserve"> k</w:t>
      </w:r>
      <w:r>
        <w:t> narušení globálních dodavatelských řetězců.</w:t>
      </w:r>
    </w:p>
    <w:p w14:paraId="70C70E8A" w14:textId="77777777" w:rsidR="00FE6868" w:rsidRPr="00663CD2" w:rsidRDefault="00FE6868" w:rsidP="00FE6868">
      <w:pPr>
        <w:pStyle w:val="HSpodbod"/>
      </w:pPr>
      <w:r w:rsidRPr="00BA6A15">
        <w:t xml:space="preserve">Nezajištění bezpečných, dostupných </w:t>
      </w:r>
      <w:r w:rsidRPr="00663CD2">
        <w:t>a spolehlivých dodávek surovin, energií, technologií a jiných vstupů.</w:t>
      </w:r>
    </w:p>
    <w:p w14:paraId="6AAFDEA4" w14:textId="77777777" w:rsidR="00FE6868" w:rsidRPr="00663CD2" w:rsidRDefault="00FE6868" w:rsidP="00FE6868">
      <w:pPr>
        <w:pStyle w:val="HSpodbod"/>
      </w:pPr>
      <w:r w:rsidRPr="00663CD2">
        <w:t>Nejistoty v globální ekonomice v důsledku rostoucí volatility.</w:t>
      </w:r>
    </w:p>
    <w:p w14:paraId="77FD2985" w14:textId="7C7FEDA9" w:rsidR="00FE6868" w:rsidRPr="00663CD2" w:rsidRDefault="00FE6868" w:rsidP="00FE6868">
      <w:pPr>
        <w:pStyle w:val="HSpodbod"/>
      </w:pPr>
      <w:r w:rsidRPr="00663CD2">
        <w:t>Nežádoucí přenos technologií</w:t>
      </w:r>
      <w:r w:rsidR="00000065">
        <w:t xml:space="preserve"> s možností zneužití</w:t>
      </w:r>
      <w:r w:rsidRPr="00663CD2">
        <w:t xml:space="preserve"> systémovými rivaly proti zájmům</w:t>
      </w:r>
      <w:r w:rsidR="00000065">
        <w:t xml:space="preserve"> České republiky</w:t>
      </w:r>
      <w:r w:rsidRPr="00663CD2">
        <w:t>.</w:t>
      </w:r>
    </w:p>
    <w:p w14:paraId="462EBB64" w14:textId="52CD7477" w:rsidR="00FE6868" w:rsidRDefault="00FE6868" w:rsidP="00FE6868">
      <w:pPr>
        <w:pStyle w:val="HSpodbod"/>
      </w:pPr>
      <w:r w:rsidRPr="00663CD2">
        <w:t>Nárůst restriktivních požadavků v legislativě EU mj. i související</w:t>
      </w:r>
      <w:r w:rsidRPr="00170F43">
        <w:t>ch s mezinárodním obchodem;</w:t>
      </w:r>
      <w:r>
        <w:t xml:space="preserve"> </w:t>
      </w:r>
      <w:r w:rsidRPr="00170F43">
        <w:t>ztráta důvěryhodnosti EU zejména u rozvojových zemí</w:t>
      </w:r>
      <w:r>
        <w:t>.</w:t>
      </w:r>
    </w:p>
    <w:p w14:paraId="376E8061" w14:textId="0DE6635A" w:rsidR="00FE6868" w:rsidRDefault="00000065" w:rsidP="00FE6868">
      <w:pPr>
        <w:pStyle w:val="HSpodbod"/>
      </w:pPr>
      <w:r>
        <w:t>Ztráta konkurenceschopnosti středn</w:t>
      </w:r>
      <w:r w:rsidR="004F4BE0">
        <w:t>ě-velkých</w:t>
      </w:r>
      <w:r>
        <w:t xml:space="preserve"> a malých členských států EU, včetně České republiky</w:t>
      </w:r>
      <w:r w:rsidR="004F4BE0">
        <w:t>,</w:t>
      </w:r>
      <w:r>
        <w:t xml:space="preserve"> v souvislosti s ú</w:t>
      </w:r>
      <w:r w:rsidR="00FE6868">
        <w:t>pln</w:t>
      </w:r>
      <w:r>
        <w:t>ým</w:t>
      </w:r>
      <w:r w:rsidR="00FE6868">
        <w:t xml:space="preserve"> a dlouhotrvající</w:t>
      </w:r>
      <w:r>
        <w:t>m</w:t>
      </w:r>
      <w:r w:rsidR="00FE6868">
        <w:t xml:space="preserve"> rozvolnění</w:t>
      </w:r>
      <w:r>
        <w:t>m</w:t>
      </w:r>
      <w:r w:rsidR="00FE6868">
        <w:t xml:space="preserve"> pravidel veřejné podpory </w:t>
      </w:r>
      <w:r w:rsidR="0016109C">
        <w:t xml:space="preserve">a </w:t>
      </w:r>
      <w:r w:rsidR="0016109C" w:rsidRPr="00BA6A15">
        <w:t>navýšení</w:t>
      </w:r>
      <w:r w:rsidR="00E60A32">
        <w:t>m</w:t>
      </w:r>
      <w:r w:rsidR="0016109C" w:rsidRPr="00BA6A15">
        <w:t xml:space="preserve"> národních dotačních schémat</w:t>
      </w:r>
      <w:r w:rsidR="00E60A32" w:rsidRPr="00E60A32">
        <w:t xml:space="preserve"> </w:t>
      </w:r>
      <w:r w:rsidR="00E60A32">
        <w:t>uvnitř EU</w:t>
      </w:r>
      <w:r w:rsidR="00FE6868">
        <w:t>.</w:t>
      </w:r>
    </w:p>
    <w:p w14:paraId="12DC1ED0" w14:textId="7B018FB3" w:rsidR="00995C19" w:rsidRDefault="00506440" w:rsidP="00995C19">
      <w:pPr>
        <w:pStyle w:val="HSpodbod"/>
      </w:pPr>
      <w:r>
        <w:t>T</w:t>
      </w:r>
      <w:r w:rsidR="00995C19" w:rsidRPr="00BA6A15">
        <w:t>lak uvnitř EU na posilování autonomie a omezení konkurenčního prostředí může brzdit inovace a</w:t>
      </w:r>
      <w:r w:rsidR="00995C19">
        <w:t> </w:t>
      </w:r>
      <w:r w:rsidR="00995C19" w:rsidRPr="00BA6A15">
        <w:t>rozvoj podnikání v České republice.</w:t>
      </w:r>
    </w:p>
    <w:p w14:paraId="253FCDCD" w14:textId="11119100" w:rsidR="00FE6868" w:rsidRPr="00AA219D" w:rsidRDefault="00FE6868" w:rsidP="00FE6868">
      <w:pPr>
        <w:pStyle w:val="HSpodbod"/>
      </w:pPr>
      <w:r>
        <w:t>Politická marginalizace vnitro-tržních politik a jejich jednotlivých aspektů, například volného pohybu, a</w:t>
      </w:r>
      <w:r w:rsidR="00AF55AB">
        <w:t> </w:t>
      </w:r>
      <w:r>
        <w:t>zejména pak v kontextu služeb.</w:t>
      </w:r>
    </w:p>
    <w:p w14:paraId="1BC6ECAB" w14:textId="2C3F2DA2" w:rsidR="00FE6868" w:rsidRDefault="00FE6868" w:rsidP="00FE6868">
      <w:pPr>
        <w:pStyle w:val="HSNadpis4bezslovn"/>
      </w:pPr>
      <w:r w:rsidRPr="006C2504">
        <w:t>Strategické cíle:</w:t>
      </w:r>
    </w:p>
    <w:p w14:paraId="58D508E6" w14:textId="77777777" w:rsidR="009B7DC2" w:rsidRPr="00DB50F0" w:rsidRDefault="009B7DC2" w:rsidP="009B7DC2">
      <w:pPr>
        <w:pStyle w:val="HSpodbod"/>
      </w:pPr>
      <w:r w:rsidRPr="00DB50F0">
        <w:t xml:space="preserve">Zvýšit podíl domácí přidané hodnoty v exportu v rámci posílení české značky a usilování exportu </w:t>
      </w:r>
      <w:proofErr w:type="spellStart"/>
      <w:r w:rsidRPr="00DB50F0">
        <w:t>finalizovaných</w:t>
      </w:r>
      <w:proofErr w:type="spellEnd"/>
      <w:r w:rsidRPr="00DB50F0">
        <w:t xml:space="preserve"> výrobků nikoli jen subdodávek</w:t>
      </w:r>
      <w:r>
        <w:t>.</w:t>
      </w:r>
    </w:p>
    <w:p w14:paraId="7FC33665" w14:textId="77777777" w:rsidR="009B7DC2" w:rsidRPr="00DB50F0" w:rsidRDefault="009B7DC2" w:rsidP="009B7DC2">
      <w:pPr>
        <w:pStyle w:val="HSpodbod"/>
        <w:numPr>
          <w:ilvl w:val="0"/>
          <w:numId w:val="0"/>
        </w:numPr>
        <w:ind w:left="360"/>
      </w:pPr>
      <w:r w:rsidRPr="00DB50F0">
        <w:t>Ukazatel: Podíl domácí přidané hodnoty v exportu</w:t>
      </w:r>
    </w:p>
    <w:p w14:paraId="7588D009" w14:textId="1AC75C65" w:rsidR="002E4E43" w:rsidRPr="00DB50F0" w:rsidRDefault="00060FFD" w:rsidP="00DB50F0">
      <w:pPr>
        <w:pStyle w:val="HSpodbod"/>
      </w:pPr>
      <w:r w:rsidRPr="00DB50F0">
        <w:t>Posílit bezpečnost země před vnějšími, vnitřními a hybridními hrozbami, plnit mezinárodní obranné závazky v roli seriózního partnera</w:t>
      </w:r>
      <w:r w:rsidR="007633AA">
        <w:t>.</w:t>
      </w:r>
    </w:p>
    <w:p w14:paraId="398433DA" w14:textId="3C1F2626" w:rsidR="00060FFD" w:rsidRPr="00DB50F0" w:rsidRDefault="002E4E43" w:rsidP="00DB50F0">
      <w:pPr>
        <w:pStyle w:val="HSpodbod"/>
        <w:numPr>
          <w:ilvl w:val="0"/>
          <w:numId w:val="0"/>
        </w:numPr>
        <w:ind w:left="360"/>
      </w:pPr>
      <w:r w:rsidRPr="00DB50F0">
        <w:t>Ukazatel: Po</w:t>
      </w:r>
      <w:r w:rsidR="00D4515C">
        <w:t>měr</w:t>
      </w:r>
      <w:r w:rsidRPr="00DB50F0">
        <w:t xml:space="preserve"> </w:t>
      </w:r>
      <w:r w:rsidR="00060FFD" w:rsidRPr="00DB50F0">
        <w:t>výdajů na obranu</w:t>
      </w:r>
      <w:r w:rsidR="00D4515C">
        <w:t xml:space="preserve"> na HDP</w:t>
      </w:r>
    </w:p>
    <w:p w14:paraId="7F113E15" w14:textId="77777777" w:rsidR="00DB50F0" w:rsidRPr="00DB50F0" w:rsidRDefault="00DB50F0" w:rsidP="00DB50F0">
      <w:pPr>
        <w:pStyle w:val="HSNadpis4bezslovn"/>
      </w:pPr>
      <w:r w:rsidRPr="006C2504">
        <w:t>S</w:t>
      </w:r>
      <w:r>
        <w:t xml:space="preserve">pecifické </w:t>
      </w:r>
      <w:r w:rsidRPr="006C2504">
        <w:t>cíle:</w:t>
      </w:r>
    </w:p>
    <w:p w14:paraId="397222A1" w14:textId="77777777" w:rsidR="00FE6868" w:rsidRPr="00BA6A15" w:rsidRDefault="00FE6868" w:rsidP="00FE6868">
      <w:pPr>
        <w:pStyle w:val="HSpodbod"/>
      </w:pPr>
      <w:r w:rsidRPr="00BA6A15">
        <w:t>Posíl</w:t>
      </w:r>
      <w:r>
        <w:t>it</w:t>
      </w:r>
      <w:r w:rsidRPr="00BA6A15">
        <w:t xml:space="preserve"> </w:t>
      </w:r>
      <w:r>
        <w:t xml:space="preserve">odolnost </w:t>
      </w:r>
      <w:r w:rsidRPr="00BA6A15">
        <w:t>kritické infrastruktury.</w:t>
      </w:r>
    </w:p>
    <w:p w14:paraId="1B3C266F" w14:textId="265AF124" w:rsidR="00E60A32" w:rsidRDefault="00E60A32" w:rsidP="00FE6868">
      <w:pPr>
        <w:pStyle w:val="HSpodbod"/>
      </w:pPr>
      <w:r>
        <w:t>Snižovat rizikové závislosti ekonomiky; d</w:t>
      </w:r>
      <w:r w:rsidR="00FE6868" w:rsidRPr="00BA6A15">
        <w:t>iverzifik</w:t>
      </w:r>
      <w:r w:rsidR="00FE6868">
        <w:t>ovat a zvýšit odolnost zahraničního obchodu</w:t>
      </w:r>
      <w:r w:rsidR="00FE6868" w:rsidRPr="00BA6A15">
        <w:t xml:space="preserve">, </w:t>
      </w:r>
      <w:r>
        <w:t xml:space="preserve">tj. </w:t>
      </w:r>
      <w:r w:rsidR="00FE6868">
        <w:t>diverzifik</w:t>
      </w:r>
      <w:r>
        <w:t>ovat</w:t>
      </w:r>
      <w:r w:rsidR="00FE6868">
        <w:t xml:space="preserve"> exportní trh</w:t>
      </w:r>
      <w:r>
        <w:t>y</w:t>
      </w:r>
      <w:r w:rsidR="00FE6868">
        <w:t xml:space="preserve"> a zajistit bezpečnost vstupů</w:t>
      </w:r>
      <w:r>
        <w:t>.</w:t>
      </w:r>
      <w:r w:rsidR="00FE6868">
        <w:t xml:space="preserve"> </w:t>
      </w:r>
    </w:p>
    <w:p w14:paraId="6AA75167" w14:textId="09E1AEB3" w:rsidR="00FE6868" w:rsidRDefault="00E60A32" w:rsidP="00FE6868">
      <w:pPr>
        <w:pStyle w:val="HSpodbod"/>
      </w:pPr>
      <w:r>
        <w:t>P</w:t>
      </w:r>
      <w:r w:rsidR="00FE6868">
        <w:t>osílit politické prioritizace vnitřního trhu na národní a evropské úrovni</w:t>
      </w:r>
      <w:r w:rsidR="00FE6868" w:rsidRPr="00BA6A15">
        <w:t>.</w:t>
      </w:r>
    </w:p>
    <w:p w14:paraId="2FEAD13C" w14:textId="3E630AEB" w:rsidR="00FE6868" w:rsidRPr="00FF73BD" w:rsidRDefault="00FE6868" w:rsidP="00FE6868">
      <w:pPr>
        <w:pStyle w:val="HSpodbod"/>
      </w:pPr>
      <w:r w:rsidRPr="00FF73BD">
        <w:t>Zlepšit postavení českých firem v globálních i evropských hodnotových řetězcích.</w:t>
      </w:r>
    </w:p>
    <w:p w14:paraId="71D38350" w14:textId="6AD579CB" w:rsidR="004F4BE0" w:rsidRDefault="004F4BE0" w:rsidP="00FE6868">
      <w:pPr>
        <w:pStyle w:val="HSpodbod"/>
      </w:pPr>
      <w:r w:rsidRPr="004F4BE0">
        <w:t>Kromě samotného exportu zvyšovat trvalou přítomnost českých firem na zahraničních trzích.</w:t>
      </w:r>
    </w:p>
    <w:p w14:paraId="5E69A517" w14:textId="101ADE6C" w:rsidR="00FE6868" w:rsidRPr="00BA6A15" w:rsidRDefault="00FE6868" w:rsidP="00FE6868">
      <w:pPr>
        <w:pStyle w:val="HSpodbod"/>
      </w:pPr>
      <w:r w:rsidRPr="00BA6A15">
        <w:t>Zaji</w:t>
      </w:r>
      <w:r>
        <w:t>stit</w:t>
      </w:r>
      <w:r w:rsidRPr="00BA6A15">
        <w:t xml:space="preserve"> bezpečnost využívání strategických technologií a minimaliz</w:t>
      </w:r>
      <w:r>
        <w:t>ovat</w:t>
      </w:r>
      <w:r w:rsidRPr="00BA6A15">
        <w:t xml:space="preserve"> rizika jejich zneužití.</w:t>
      </w:r>
    </w:p>
    <w:p w14:paraId="5B33828F" w14:textId="1EFF5EDC" w:rsidR="00E60A32" w:rsidRDefault="00E60A32" w:rsidP="00E60A32">
      <w:pPr>
        <w:pStyle w:val="HSpodbod"/>
      </w:pPr>
      <w:r>
        <w:t xml:space="preserve">Využít výsledky </w:t>
      </w:r>
      <w:r w:rsidRPr="00BA6A15">
        <w:t>výzkum</w:t>
      </w:r>
      <w:r>
        <w:t>u</w:t>
      </w:r>
      <w:r w:rsidRPr="00BA6A15">
        <w:t xml:space="preserve"> a vývoj</w:t>
      </w:r>
      <w:r>
        <w:t>e</w:t>
      </w:r>
      <w:r w:rsidRPr="00BA6A15">
        <w:t xml:space="preserve"> </w:t>
      </w:r>
      <w:r>
        <w:t>pro expanzi českých firem i v souvislosti s přechodem na nízkouhlíkovou ekonomiku.</w:t>
      </w:r>
    </w:p>
    <w:p w14:paraId="15EF4956" w14:textId="6C8F3CA5" w:rsidR="00FE6868" w:rsidRPr="002342D5" w:rsidRDefault="00E60A32" w:rsidP="00FE6868">
      <w:pPr>
        <w:pStyle w:val="HSpodbod"/>
      </w:pPr>
      <w:r>
        <w:t>Využít výsledky</w:t>
      </w:r>
      <w:r w:rsidRPr="00BA6A15">
        <w:t xml:space="preserve"> </w:t>
      </w:r>
      <w:r w:rsidR="00FE6868" w:rsidRPr="00BA6A15">
        <w:t>výzkum</w:t>
      </w:r>
      <w:r>
        <w:t>u</w:t>
      </w:r>
      <w:r w:rsidR="00FE6868" w:rsidRPr="00BA6A15">
        <w:t xml:space="preserve"> a vývoj</w:t>
      </w:r>
      <w:r>
        <w:t>e</w:t>
      </w:r>
      <w:r w:rsidR="00FE6868" w:rsidRPr="00BA6A15">
        <w:t xml:space="preserve"> v oblasti strategických bezpečnostních technologií a obranného </w:t>
      </w:r>
      <w:r>
        <w:t>průmyslu</w:t>
      </w:r>
      <w:r w:rsidR="00FE6868" w:rsidRPr="00BA6A15">
        <w:t>.</w:t>
      </w:r>
    </w:p>
    <w:p w14:paraId="0A293E6E" w14:textId="77777777" w:rsidR="00FE6868" w:rsidRPr="006C2504" w:rsidRDefault="00FE6868" w:rsidP="00FE6868">
      <w:pPr>
        <w:pStyle w:val="HSNadpis4bezslovn"/>
      </w:pPr>
      <w:r w:rsidRPr="006C2504">
        <w:lastRenderedPageBreak/>
        <w:t>Hlavní opatření:</w:t>
      </w:r>
    </w:p>
    <w:p w14:paraId="6B4CAC4B" w14:textId="77777777" w:rsidR="00FE6868" w:rsidRPr="007F7AD7" w:rsidRDefault="00FE6868" w:rsidP="00FE6868">
      <w:pPr>
        <w:pStyle w:val="HSpodbod"/>
      </w:pPr>
      <w:r w:rsidRPr="007F7AD7">
        <w:t>Zaji</w:t>
      </w:r>
      <w:r>
        <w:t>stit</w:t>
      </w:r>
      <w:r w:rsidRPr="007F7AD7">
        <w:t xml:space="preserve"> implementac</w:t>
      </w:r>
      <w:r>
        <w:t>i</w:t>
      </w:r>
      <w:r w:rsidRPr="007F7AD7">
        <w:t xml:space="preserve"> </w:t>
      </w:r>
      <w:r>
        <w:t xml:space="preserve">Směrnice </w:t>
      </w:r>
      <w:r w:rsidRPr="00B74A97">
        <w:t xml:space="preserve">o odolnosti kritických subjektů </w:t>
      </w:r>
      <w:r>
        <w:t>(</w:t>
      </w:r>
      <w:proofErr w:type="spellStart"/>
      <w:r w:rsidRPr="00B74A97">
        <w:t>Critical</w:t>
      </w:r>
      <w:proofErr w:type="spellEnd"/>
      <w:r w:rsidRPr="00B74A97">
        <w:t xml:space="preserve"> </w:t>
      </w:r>
      <w:proofErr w:type="spellStart"/>
      <w:r w:rsidRPr="00B74A97">
        <w:t>Entities</w:t>
      </w:r>
      <w:proofErr w:type="spellEnd"/>
      <w:r w:rsidRPr="00B74A97">
        <w:t xml:space="preserve"> </w:t>
      </w:r>
      <w:proofErr w:type="spellStart"/>
      <w:r w:rsidRPr="00B74A97">
        <w:t>Resilience</w:t>
      </w:r>
      <w:proofErr w:type="spellEnd"/>
      <w:r w:rsidRPr="00B74A97">
        <w:t xml:space="preserve"> </w:t>
      </w:r>
      <w:proofErr w:type="spellStart"/>
      <w:r w:rsidRPr="00B74A97">
        <w:t>Directive</w:t>
      </w:r>
      <w:proofErr w:type="spellEnd"/>
      <w:r>
        <w:t>,</w:t>
      </w:r>
      <w:r w:rsidRPr="00B74A97">
        <w:t xml:space="preserve"> CER</w:t>
      </w:r>
      <w:r>
        <w:t>)</w:t>
      </w:r>
      <w:r w:rsidRPr="00B74A97">
        <w:t xml:space="preserve"> a</w:t>
      </w:r>
      <w:r>
        <w:t> </w:t>
      </w:r>
      <w:r w:rsidRPr="00B74A97">
        <w:t>Směrnice o opatřeních k zajištění vysoké společné úrovně kybernetické bezpečnosti v Unii (směrnice o</w:t>
      </w:r>
      <w:r>
        <w:t> </w:t>
      </w:r>
      <w:r w:rsidRPr="00B74A97">
        <w:t>bezpečnosti sítí a informací 2</w:t>
      </w:r>
      <w:r>
        <w:t xml:space="preserve">, </w:t>
      </w:r>
      <w:r w:rsidRPr="00B74A97">
        <w:t xml:space="preserve">Network &amp; </w:t>
      </w:r>
      <w:proofErr w:type="spellStart"/>
      <w:r w:rsidRPr="00B74A97">
        <w:t>Information</w:t>
      </w:r>
      <w:proofErr w:type="spellEnd"/>
      <w:r w:rsidRPr="00B74A97">
        <w:t xml:space="preserve"> </w:t>
      </w:r>
      <w:proofErr w:type="spellStart"/>
      <w:r w:rsidRPr="00B74A97">
        <w:t>Security</w:t>
      </w:r>
      <w:proofErr w:type="spellEnd"/>
      <w:r w:rsidRPr="00B74A97">
        <w:t xml:space="preserve"> </w:t>
      </w:r>
      <w:proofErr w:type="spellStart"/>
      <w:r w:rsidRPr="00B74A97">
        <w:t>Directive</w:t>
      </w:r>
      <w:proofErr w:type="spellEnd"/>
      <w:r>
        <w:t>,</w:t>
      </w:r>
      <w:r w:rsidRPr="00B74A97">
        <w:t xml:space="preserve"> </w:t>
      </w:r>
      <w:r>
        <w:t>NIS 2</w:t>
      </w:r>
      <w:r w:rsidRPr="00B74A97">
        <w:t>)</w:t>
      </w:r>
      <w:r w:rsidRPr="007F7AD7">
        <w:t>, systematick</w:t>
      </w:r>
      <w:r>
        <w:t>y</w:t>
      </w:r>
      <w:r w:rsidRPr="007F7AD7">
        <w:t xml:space="preserve"> posilov</w:t>
      </w:r>
      <w:r>
        <w:t>at</w:t>
      </w:r>
      <w:r w:rsidRPr="007F7AD7">
        <w:t xml:space="preserve"> odolnost kritické infrastruktury skrze zvyšování standardů kybernetické bezpečnosti.</w:t>
      </w:r>
    </w:p>
    <w:p w14:paraId="777AAB22" w14:textId="1738C97B" w:rsidR="00FE6868" w:rsidRDefault="00FE6868" w:rsidP="00FE6868">
      <w:pPr>
        <w:pStyle w:val="HSpodbod"/>
      </w:pPr>
      <w:r>
        <w:t>Prosazovat politiky, které nebudou přispívat k</w:t>
      </w:r>
      <w:r w:rsidRPr="007F7AD7">
        <w:t xml:space="preserve"> protekcionistickému směřování společné obchodní politiky, podpora vyjednávání obchodních</w:t>
      </w:r>
      <w:r w:rsidR="004F4BE0">
        <w:t xml:space="preserve"> a investičních</w:t>
      </w:r>
      <w:r w:rsidRPr="007F7AD7">
        <w:t xml:space="preserve"> dohod a partnerství se třetími zeměmi, efektivnější využívání obchodních dohod díky lepšímu veřejnému povědomí, zefektivnění systému identifikace obchodních bariér</w:t>
      </w:r>
      <w:r>
        <w:t xml:space="preserve"> a</w:t>
      </w:r>
      <w:r w:rsidR="00AF55AB">
        <w:t> </w:t>
      </w:r>
      <w:r>
        <w:t>jejich odstraňování</w:t>
      </w:r>
      <w:r w:rsidRPr="007F7AD7">
        <w:t>.</w:t>
      </w:r>
    </w:p>
    <w:p w14:paraId="38043B27" w14:textId="77777777" w:rsidR="00FE6868" w:rsidRPr="00AA219D" w:rsidRDefault="00FE6868" w:rsidP="00FE6868">
      <w:pPr>
        <w:pStyle w:val="HSpodbod"/>
      </w:pPr>
      <w:r>
        <w:t>Aktivně spolupracovat se strategickými partnery na národní (dotčené úřady, hospodářští partneři) a unijní (Evropská komise, stejně smýšlející členské státy) úrovni ve věci politické prioritizace vnitřního trhu a souvisejících témat.</w:t>
      </w:r>
    </w:p>
    <w:p w14:paraId="155E0E21" w14:textId="12003A3A" w:rsidR="00FE6868" w:rsidRDefault="00FE6868" w:rsidP="00FE6868">
      <w:pPr>
        <w:pStyle w:val="HSpodbod"/>
      </w:pPr>
      <w:r w:rsidRPr="0012511B">
        <w:t>Širo</w:t>
      </w:r>
      <w:r>
        <w:t>ce využívat</w:t>
      </w:r>
      <w:r w:rsidRPr="0012511B">
        <w:t xml:space="preserve"> nástroj</w:t>
      </w:r>
      <w:r>
        <w:t>e</w:t>
      </w:r>
      <w:r w:rsidRPr="0012511B">
        <w:t xml:space="preserve"> podpory exportu a naplňování opatření Exportní strategie ČR 2023–2033</w:t>
      </w:r>
      <w:r>
        <w:t>.</w:t>
      </w:r>
    </w:p>
    <w:p w14:paraId="2DC69066" w14:textId="44FF31F3" w:rsidR="009B7DC2" w:rsidRDefault="009B7DC2" w:rsidP="00FE6868">
      <w:pPr>
        <w:pStyle w:val="HSpodbod"/>
      </w:pPr>
      <w:r w:rsidRPr="009B7DC2">
        <w:t>Posílení obranné a bezpečnostní dimenze EU</w:t>
      </w:r>
      <w:r>
        <w:t>.</w:t>
      </w:r>
    </w:p>
    <w:p w14:paraId="0D2C0AC0" w14:textId="02FFD3EC" w:rsidR="00D4515C" w:rsidRPr="00FF73BD" w:rsidRDefault="00D4515C" w:rsidP="00D4515C">
      <w:pPr>
        <w:pStyle w:val="HSpodbod"/>
      </w:pPr>
      <w:r w:rsidRPr="00FF73BD">
        <w:t xml:space="preserve">Zpracovat </w:t>
      </w:r>
      <w:r w:rsidR="00814E95" w:rsidRPr="00FF73BD">
        <w:t>studii</w:t>
      </w:r>
      <w:r w:rsidRPr="00FF73BD">
        <w:t xml:space="preserve"> příčin </w:t>
      </w:r>
      <w:r w:rsidR="008D01F0" w:rsidRPr="00FF73BD">
        <w:t xml:space="preserve">méně výhodného postavení firem v hodnotových řetězcích působících na území republiky, včetně </w:t>
      </w:r>
      <w:r w:rsidR="008A1294" w:rsidRPr="00FF73BD">
        <w:t xml:space="preserve">analýzy </w:t>
      </w:r>
      <w:r w:rsidRPr="00FF73BD">
        <w:t xml:space="preserve">nízké míry reinvestic v relaci na odliv dividend </w:t>
      </w:r>
      <w:r w:rsidR="008D01F0" w:rsidRPr="00FF73BD">
        <w:t>u</w:t>
      </w:r>
      <w:r w:rsidRPr="00FF73BD">
        <w:t xml:space="preserve"> podniků </w:t>
      </w:r>
      <w:r w:rsidR="008D01F0" w:rsidRPr="00FF73BD">
        <w:t>pod zahraniční kontrolou. Provést f</w:t>
      </w:r>
      <w:r w:rsidRPr="00FF73BD">
        <w:t xml:space="preserve">ormou </w:t>
      </w:r>
      <w:r w:rsidR="008A1294" w:rsidRPr="00FF73BD">
        <w:t xml:space="preserve">vhodného </w:t>
      </w:r>
      <w:r w:rsidRPr="00FF73BD">
        <w:t>dotazníkové</w:t>
      </w:r>
      <w:r w:rsidR="00814E95" w:rsidRPr="00FF73BD">
        <w:t>ho</w:t>
      </w:r>
      <w:r w:rsidRPr="00FF73BD">
        <w:t xml:space="preserve"> </w:t>
      </w:r>
      <w:r w:rsidR="00814E95" w:rsidRPr="00FF73BD">
        <w:t xml:space="preserve">šetření </w:t>
      </w:r>
      <w:r w:rsidRPr="00FF73BD">
        <w:t>a vyvodit závěry s návrhy opatření na zlepšení.</w:t>
      </w:r>
    </w:p>
    <w:p w14:paraId="5450BBFD" w14:textId="77777777" w:rsidR="00FE6868" w:rsidRPr="006C2504" w:rsidRDefault="00FE6868" w:rsidP="00FE6868">
      <w:pPr>
        <w:pStyle w:val="HSNadpis4bezslovn"/>
      </w:pPr>
      <w:r w:rsidRPr="006C2504">
        <w:t>Naplňující strategie:</w:t>
      </w:r>
    </w:p>
    <w:p w14:paraId="3848B4FF" w14:textId="7395ECA6" w:rsidR="00FE6868" w:rsidRPr="00A01A23" w:rsidRDefault="00FE6868" w:rsidP="00FE6868">
      <w:pPr>
        <w:pStyle w:val="HSpodbod"/>
      </w:pPr>
      <w:r w:rsidRPr="00A01A23">
        <w:t>Exportní strategie ČR 2023–2033</w:t>
      </w:r>
    </w:p>
    <w:p w14:paraId="58547D8A" w14:textId="3B16C525" w:rsidR="00FE6868" w:rsidRPr="00A01A23" w:rsidRDefault="00FE6868" w:rsidP="00FE6868">
      <w:pPr>
        <w:pStyle w:val="HSpodbod"/>
      </w:pPr>
      <w:r w:rsidRPr="00A01A23">
        <w:t>Bezpečnostní strategie</w:t>
      </w:r>
    </w:p>
    <w:p w14:paraId="3C610E58" w14:textId="4E166420" w:rsidR="00FE6868" w:rsidRPr="00A01A23" w:rsidRDefault="00FE6868" w:rsidP="00FE6868">
      <w:pPr>
        <w:pStyle w:val="HSpodbod"/>
      </w:pPr>
      <w:r w:rsidRPr="00A01A23">
        <w:t xml:space="preserve">Připravovaná </w:t>
      </w:r>
      <w:r w:rsidR="00E60A32">
        <w:t>S</w:t>
      </w:r>
      <w:r w:rsidRPr="00A01A23">
        <w:t>trategie ekonomické bezpečnosti</w:t>
      </w:r>
    </w:p>
    <w:p w14:paraId="72701F6E" w14:textId="24171B3D" w:rsidR="00FE6868" w:rsidRPr="00453FFF" w:rsidRDefault="00FE6868" w:rsidP="00FE6868">
      <w:pPr>
        <w:pStyle w:val="HSpodbod"/>
      </w:pPr>
      <w:r w:rsidRPr="00A01A23">
        <w:t xml:space="preserve">Priority </w:t>
      </w:r>
      <w:r w:rsidR="0019214C">
        <w:t>České republiky</w:t>
      </w:r>
      <w:r w:rsidR="0019214C" w:rsidRPr="00A01A23">
        <w:t xml:space="preserve"> </w:t>
      </w:r>
      <w:r w:rsidRPr="00A01A23">
        <w:t>v agendě vnitřního trhu EU 2021–2025</w:t>
      </w:r>
    </w:p>
    <w:p w14:paraId="6A6659B9" w14:textId="2D5DF9CB" w:rsidR="00FE6868" w:rsidRDefault="00FE6868" w:rsidP="008124B3">
      <w:pPr>
        <w:rPr>
          <w:szCs w:val="20"/>
        </w:rPr>
      </w:pPr>
      <w:r>
        <w:br w:type="page"/>
      </w:r>
    </w:p>
    <w:p w14:paraId="2A7AD7E7" w14:textId="77777777" w:rsidR="00FE6868" w:rsidRPr="00F5548D" w:rsidRDefault="00FE6868" w:rsidP="004F1B00">
      <w:pPr>
        <w:pStyle w:val="HSNadpisIII2"/>
      </w:pPr>
      <w:bookmarkStart w:id="61" w:name="_Toc174703082"/>
      <w:r>
        <w:lastRenderedPageBreak/>
        <w:t>Surovinová bezpečnost</w:t>
      </w:r>
      <w:bookmarkEnd w:id="61"/>
    </w:p>
    <w:p w14:paraId="45B97A68" w14:textId="4C0C05E7" w:rsidR="00FE6868" w:rsidRDefault="00FE6868" w:rsidP="00FE6868">
      <w:pPr>
        <w:rPr>
          <w:szCs w:val="20"/>
        </w:rPr>
      </w:pPr>
      <w:r>
        <w:t xml:space="preserve">Česká republika patří k zemím s </w:t>
      </w:r>
      <w:r w:rsidRPr="003C3221">
        <w:t>nejdelší průmyslovou tradicí</w:t>
      </w:r>
      <w:r>
        <w:t xml:space="preserve"> a velkou závislostí na surovinách, i těch druhotných, s nízkou mírou energetické účinnosti, vysokými emisemi CO</w:t>
      </w:r>
      <w:r w:rsidRPr="00E01D29">
        <w:rPr>
          <w:vertAlign w:val="subscript"/>
        </w:rPr>
        <w:t>2</w:t>
      </w:r>
      <w:r>
        <w:t xml:space="preserve"> na hlavu a závislostí na dovozu strategických a kritických surovin. </w:t>
      </w:r>
      <w:r w:rsidR="00776F90" w:rsidRPr="00776F90">
        <w:t>Z pohledu materiálové produktivity</w:t>
      </w:r>
      <w:r w:rsidR="00776F90">
        <w:t xml:space="preserve"> </w:t>
      </w:r>
      <w:r w:rsidR="00776F90" w:rsidRPr="00776F90">
        <w:t>se Č</w:t>
      </w:r>
      <w:r w:rsidR="00776F90">
        <w:t>eská republiky</w:t>
      </w:r>
      <w:r w:rsidR="00776F90" w:rsidRPr="00776F90">
        <w:t xml:space="preserve"> řadí pod průměr EU, i když dochází k jejímu postupnému zvyšování.</w:t>
      </w:r>
      <w:r w:rsidR="00776F90">
        <w:t xml:space="preserve"> </w:t>
      </w:r>
      <w:r>
        <w:t xml:space="preserve">Vzhledem k dlouhé tradici využívání druhotných surovin má </w:t>
      </w:r>
      <w:r w:rsidR="0019214C">
        <w:t xml:space="preserve">Česká republika </w:t>
      </w:r>
      <w:r w:rsidR="000816FF">
        <w:t xml:space="preserve">i nadále </w:t>
      </w:r>
      <w:r>
        <w:t xml:space="preserve">potenciál k posílení </w:t>
      </w:r>
      <w:r w:rsidR="000816FF">
        <w:t xml:space="preserve">míry </w:t>
      </w:r>
      <w:proofErr w:type="spellStart"/>
      <w:r w:rsidR="000816FF">
        <w:t>cirkularity</w:t>
      </w:r>
      <w:proofErr w:type="spellEnd"/>
      <w:r>
        <w:t>. Je ovšem zapotřebí podporovat inovativní technologie a procesy pro snižování spotřeby surovin a emisí, vytvářet legislativní a regulatorní prostředí pro podporu cirkulární ekonomiky, investovat do infrastruktury pro nakládání s odpady a recyklaci a také zvýšit energetickou účinnost, přechod na nízkouhlíkové technologie a diverzifikovat dodavatele surovin a budování strategického partnerství</w:t>
      </w:r>
      <w:r w:rsidRPr="00582E7B">
        <w:rPr>
          <w:szCs w:val="20"/>
        </w:rPr>
        <w:t>.</w:t>
      </w:r>
    </w:p>
    <w:p w14:paraId="7799B82D" w14:textId="41F8ADA5" w:rsidR="00FE6868" w:rsidRPr="002A581E" w:rsidRDefault="00FE6868" w:rsidP="00FE6868">
      <w:r>
        <w:rPr>
          <w:szCs w:val="20"/>
        </w:rPr>
        <w:t xml:space="preserve">Využívání druhotných surovin je a bude ovlivňováno ekonomickými faktory jako nabídka, dostupnost a cena primárních materiálů. V uplynulých letech došlo k velké podpoře investic do recyklačních technologií a infrastruktury. Na další využívání druhotných surovin budou mít vliv také regulační nástroje v legislativě </w:t>
      </w:r>
      <w:r w:rsidR="000816FF">
        <w:rPr>
          <w:szCs w:val="20"/>
        </w:rPr>
        <w:t xml:space="preserve">EU </w:t>
      </w:r>
      <w:r>
        <w:rPr>
          <w:szCs w:val="20"/>
        </w:rPr>
        <w:t>– povinné podíly recyklovaných materiálů a požadavky ekodesignu.</w:t>
      </w:r>
    </w:p>
    <w:p w14:paraId="5F3B92BA" w14:textId="77777777" w:rsidR="00FE6868" w:rsidRPr="006C2504" w:rsidRDefault="00FE6868" w:rsidP="00FE6868">
      <w:pPr>
        <w:pStyle w:val="HSNadpis4bezslovn"/>
      </w:pPr>
      <w:r w:rsidRPr="006C2504">
        <w:t>Souhrnná analýza potenciálu ekonomiky České republiky v dané oblasti (SWOT analýza):</w:t>
      </w:r>
    </w:p>
    <w:p w14:paraId="0B78D77E" w14:textId="77777777" w:rsidR="00FE6868" w:rsidRPr="00DE56AF" w:rsidRDefault="00FE6868" w:rsidP="00FE6868">
      <w:pPr>
        <w:pStyle w:val="HSNadpis5bezslovn"/>
      </w:pPr>
      <w:r w:rsidRPr="00DE56AF">
        <w:t>Silné stránky:</w:t>
      </w:r>
    </w:p>
    <w:p w14:paraId="35EFC228" w14:textId="6625811A" w:rsidR="00FE6868" w:rsidRPr="003C3221" w:rsidRDefault="00FE6868" w:rsidP="003C3221">
      <w:pPr>
        <w:pStyle w:val="HSpodbod"/>
      </w:pPr>
      <w:r w:rsidRPr="00394564">
        <w:t>Strat</w:t>
      </w:r>
      <w:r w:rsidRPr="003C3221">
        <w:t>egické zásoby důležitých surovin – lithia, manganu, cínu, wolframu, zlata, živců, koksovatelného uhlí</w:t>
      </w:r>
      <w:r w:rsidR="00776F90">
        <w:t>,</w:t>
      </w:r>
      <w:r w:rsidR="00655668">
        <w:t> </w:t>
      </w:r>
      <w:r w:rsidRPr="003C3221">
        <w:t>kaolínu</w:t>
      </w:r>
      <w:r w:rsidR="00776F90">
        <w:t xml:space="preserve"> a dřeva</w:t>
      </w:r>
      <w:r w:rsidRPr="003C3221">
        <w:t>.</w:t>
      </w:r>
    </w:p>
    <w:p w14:paraId="49F85A03" w14:textId="3142E35C" w:rsidR="00FE6868" w:rsidRPr="003C3221" w:rsidRDefault="00FE6868" w:rsidP="003C3221">
      <w:pPr>
        <w:pStyle w:val="HSpodbod"/>
      </w:pPr>
      <w:r w:rsidRPr="003C3221">
        <w:t xml:space="preserve">Česká republika má na evropské poměry stále solidní zásoby uranové rudy. </w:t>
      </w:r>
    </w:p>
    <w:p w14:paraId="57A20AFE" w14:textId="77777777" w:rsidR="00FE6868" w:rsidRPr="003C3221" w:rsidRDefault="00FE6868" w:rsidP="003C3221">
      <w:pPr>
        <w:pStyle w:val="HSpodbod"/>
      </w:pPr>
      <w:r w:rsidRPr="003C3221">
        <w:t>Přepravní cesty a zásobníky ropy a plynu pod kontrolou státu.</w:t>
      </w:r>
    </w:p>
    <w:p w14:paraId="7E8C8D4F" w14:textId="4B6BDD37" w:rsidR="00FE6868" w:rsidRPr="003C3221" w:rsidRDefault="00814E95" w:rsidP="003C3221">
      <w:pPr>
        <w:pStyle w:val="HSpodbod"/>
      </w:pPr>
      <w:r>
        <w:t>Uspokojivá</w:t>
      </w:r>
      <w:r w:rsidR="00FE6868" w:rsidRPr="003C3221">
        <w:t xml:space="preserve"> kapacita podzemních zásobníků zemního plynu reprezentující cca třetinu roční spotřeby.</w:t>
      </w:r>
    </w:p>
    <w:p w14:paraId="71160423" w14:textId="77777777" w:rsidR="00FE6868" w:rsidRPr="003C3221" w:rsidRDefault="00FE6868" w:rsidP="003C3221">
      <w:pPr>
        <w:pStyle w:val="HSpodbod"/>
      </w:pPr>
      <w:r w:rsidRPr="003C3221">
        <w:t>Vlastní zásoby uhlí, byť časově omezené, po Polsku má Česká republika v Evropě druhé největší zásoby koksovatelného uhlí.</w:t>
      </w:r>
    </w:p>
    <w:p w14:paraId="74A9970A" w14:textId="47D6AEA5" w:rsidR="00FE6868" w:rsidRPr="003C3221" w:rsidRDefault="00FE6868" w:rsidP="003C3221">
      <w:pPr>
        <w:pStyle w:val="HSpodbod"/>
      </w:pPr>
      <w:r w:rsidRPr="003C3221">
        <w:t>Česká republika disponuje významnými nevyužívanými zásobami podzemních vod vynikající kvality.</w:t>
      </w:r>
    </w:p>
    <w:p w14:paraId="2914633B" w14:textId="22596CD4" w:rsidR="00FE6868" w:rsidRPr="00632CE2" w:rsidRDefault="00FE6868" w:rsidP="003C3221">
      <w:pPr>
        <w:pStyle w:val="HSpodbod"/>
      </w:pPr>
      <w:r w:rsidRPr="003C3221">
        <w:t>Pokro</w:t>
      </w:r>
      <w:r>
        <w:t>k v edukaci soukromého a veřejného sektoru zejména v oblasti využití druhotných stavebních materiálů</w:t>
      </w:r>
      <w:r w:rsidR="007633AA">
        <w:t>.</w:t>
      </w:r>
    </w:p>
    <w:p w14:paraId="0E2F8702" w14:textId="77777777" w:rsidR="00FE6868" w:rsidRPr="00DE56AF" w:rsidRDefault="00FE6868" w:rsidP="00FE6868">
      <w:pPr>
        <w:pStyle w:val="HSNadpis5bezslovn"/>
      </w:pPr>
      <w:r w:rsidRPr="00DE56AF">
        <w:t>Slabé stránky:</w:t>
      </w:r>
    </w:p>
    <w:p w14:paraId="505B1086" w14:textId="77777777" w:rsidR="00FE6868" w:rsidRPr="003C3221" w:rsidRDefault="00FE6868" w:rsidP="003C3221">
      <w:pPr>
        <w:pStyle w:val="HSpodbod"/>
      </w:pPr>
      <w:r w:rsidRPr="00394564">
        <w:t>Komplikovaná po</w:t>
      </w:r>
      <w:r w:rsidRPr="003C3221">
        <w:t>volovací legislativa a vysoká administrativní zátěž znemožňující efektivní využití strategických surovin.</w:t>
      </w:r>
    </w:p>
    <w:p w14:paraId="5095B261" w14:textId="77777777" w:rsidR="00FE6868" w:rsidRPr="003C3221" w:rsidRDefault="00FE6868" w:rsidP="003C3221">
      <w:pPr>
        <w:pStyle w:val="HSpodbod"/>
      </w:pPr>
      <w:r w:rsidRPr="003C3221">
        <w:t>Nedostatečně prozkoumaná naleziště strategických surovin, od roku 1980 neprobíhal systematický státem organizovaný vrtný geologický průzkum.</w:t>
      </w:r>
    </w:p>
    <w:p w14:paraId="3F009B04" w14:textId="77777777" w:rsidR="00776F90" w:rsidRDefault="00FE6868" w:rsidP="00776F90">
      <w:pPr>
        <w:pStyle w:val="HSpodbod"/>
      </w:pPr>
      <w:r w:rsidRPr="003C3221">
        <w:t>Nedostatečná recyklace kritických surovin s výrobou konečného obchodovatelného produktu, neexistence hydrometalurgických a pyrometalurgických provozů na zpracování koncentrátů rud a recyklátů kritických surovin.</w:t>
      </w:r>
    </w:p>
    <w:p w14:paraId="19E91AF1" w14:textId="1547BCAD" w:rsidR="00FE6868" w:rsidRPr="003C3221" w:rsidRDefault="00776F90" w:rsidP="00776F90">
      <w:pPr>
        <w:pStyle w:val="HSpodbod"/>
      </w:pPr>
      <w:r>
        <w:t>Nedostatečná síť technologicky vyspělých recyklačních zařízení zajišťujících druhotné suroviny v kvalitě potřebné pro náhradu primárních surovin ve výrobních procesech.</w:t>
      </w:r>
    </w:p>
    <w:p w14:paraId="1EBB5204" w14:textId="52D8B9D7" w:rsidR="00FE6868" w:rsidRPr="003C7C27" w:rsidRDefault="00FE6868" w:rsidP="003C3221">
      <w:pPr>
        <w:pStyle w:val="HSpodbod"/>
      </w:pPr>
      <w:r w:rsidRPr="003C3221">
        <w:t>Nedostatečné začle</w:t>
      </w:r>
      <w:r>
        <w:t xml:space="preserve">ňování </w:t>
      </w:r>
      <w:r w:rsidR="00776F90">
        <w:t xml:space="preserve">požadavků na přednostní využití </w:t>
      </w:r>
      <w:r>
        <w:t>druhotných surovin (např. stavebních) do zadávacích řízení ve veřejném zadávání.</w:t>
      </w:r>
    </w:p>
    <w:p w14:paraId="13461B5A" w14:textId="77777777" w:rsidR="00FE6868" w:rsidRPr="00DE56AF" w:rsidRDefault="00FE6868" w:rsidP="00FE6868">
      <w:pPr>
        <w:pStyle w:val="HSNadpis5bezslovn"/>
      </w:pPr>
      <w:r w:rsidRPr="00DE56AF">
        <w:t>Příležitosti:</w:t>
      </w:r>
    </w:p>
    <w:p w14:paraId="03941282" w14:textId="77777777" w:rsidR="00FE6868" w:rsidRPr="003C3221" w:rsidRDefault="00FE6868" w:rsidP="003C3221">
      <w:pPr>
        <w:pStyle w:val="HSpodbod"/>
      </w:pPr>
      <w:r w:rsidRPr="00394564">
        <w:t>Zvyšování podílu r</w:t>
      </w:r>
      <w:r w:rsidRPr="003C3221">
        <w:t>ecyklovaných surovin na celkové spotřebě surovin.</w:t>
      </w:r>
    </w:p>
    <w:p w14:paraId="6296AB4A" w14:textId="77777777" w:rsidR="00FE6868" w:rsidRPr="003C3221" w:rsidRDefault="00FE6868" w:rsidP="003C3221">
      <w:pPr>
        <w:pStyle w:val="HSpodbod"/>
      </w:pPr>
      <w:r w:rsidRPr="003C3221">
        <w:t>Přechod na cirkulární ekonomiku a vyšší míru využití druhotných surovin.</w:t>
      </w:r>
    </w:p>
    <w:p w14:paraId="49361A36" w14:textId="4303F6B3" w:rsidR="00FE6868" w:rsidRPr="003C3221" w:rsidRDefault="00FE6868" w:rsidP="003C3221">
      <w:pPr>
        <w:pStyle w:val="HSpodbod"/>
      </w:pPr>
      <w:r w:rsidRPr="003C3221">
        <w:t>Využití druhotných recyklovaných materiálů v</w:t>
      </w:r>
      <w:r w:rsidR="00F9673A">
        <w:t xml:space="preserve"> širším spektru</w:t>
      </w:r>
      <w:r w:rsidRPr="003C3221">
        <w:t xml:space="preserve"> výrobních proces</w:t>
      </w:r>
      <w:r w:rsidR="00F9673A">
        <w:t>ů</w:t>
      </w:r>
      <w:r w:rsidRPr="003C3221">
        <w:t>.</w:t>
      </w:r>
    </w:p>
    <w:p w14:paraId="3B986BC6" w14:textId="77777777" w:rsidR="00FE6868" w:rsidRPr="003C3221" w:rsidRDefault="00FE6868" w:rsidP="003C3221">
      <w:pPr>
        <w:pStyle w:val="HSpodbod"/>
      </w:pPr>
      <w:r w:rsidRPr="003C3221">
        <w:t>Vybudování celého hodnotového řetězce výroby lithium-iontových baterií.</w:t>
      </w:r>
    </w:p>
    <w:p w14:paraId="616B62D2" w14:textId="77777777" w:rsidR="00FE6868" w:rsidRPr="008124B3" w:rsidRDefault="00FE6868" w:rsidP="003C3221">
      <w:pPr>
        <w:pStyle w:val="HSpodbod"/>
      </w:pPr>
      <w:r w:rsidRPr="003C3221">
        <w:t xml:space="preserve">Rozvoj surovinové </w:t>
      </w:r>
      <w:r w:rsidRPr="00394564">
        <w:t xml:space="preserve">strategie v kontextu EU </w:t>
      </w:r>
      <w:r w:rsidRPr="00394564">
        <w:rPr>
          <w:lang w:val="en-GB"/>
        </w:rPr>
        <w:t>Critical Raw Materials Act</w:t>
      </w:r>
      <w:r w:rsidRPr="00394564">
        <w:t xml:space="preserve"> a nových technologi</w:t>
      </w:r>
      <w:r>
        <w:t>í</w:t>
      </w:r>
      <w:r w:rsidRPr="00394564">
        <w:rPr>
          <w:rFonts w:eastAsia="Times New Roman" w:cs="Calibri"/>
          <w:color w:val="000000"/>
          <w:lang w:eastAsia="cs-CZ"/>
        </w:rPr>
        <w:t>.</w:t>
      </w:r>
    </w:p>
    <w:p w14:paraId="6FBAEE99" w14:textId="77777777" w:rsidR="00FE6868" w:rsidRPr="003C3221" w:rsidRDefault="00FE6868" w:rsidP="003C3221">
      <w:pPr>
        <w:pStyle w:val="HSpodbod"/>
      </w:pPr>
      <w:r>
        <w:t>Rostouc</w:t>
      </w:r>
      <w:r w:rsidRPr="003C3221">
        <w:t>í digitalizace jako faktor usnadňující přijetí cirkulárních opatření například ve stavebnictví pro zvýšení energetické výkonnosti budov.</w:t>
      </w:r>
    </w:p>
    <w:p w14:paraId="189EF641" w14:textId="76FF8BE3" w:rsidR="00FE6868" w:rsidRPr="003C3221" w:rsidRDefault="00FE6868" w:rsidP="003C3221">
      <w:pPr>
        <w:pStyle w:val="HSpodbod"/>
      </w:pPr>
      <w:r w:rsidRPr="003C3221">
        <w:t>Díky dostupnosti informací o materiálech („</w:t>
      </w:r>
      <w:r w:rsidR="00F9673A">
        <w:t>digitální pas výrobku</w:t>
      </w:r>
      <w:r w:rsidRPr="003C3221">
        <w:t xml:space="preserve">“) možné zlepšení kvality </w:t>
      </w:r>
      <w:r w:rsidR="00F9673A">
        <w:t xml:space="preserve">a míry </w:t>
      </w:r>
      <w:r w:rsidRPr="003C3221">
        <w:t>recyklace.</w:t>
      </w:r>
    </w:p>
    <w:p w14:paraId="2559D6E2" w14:textId="5B384B06" w:rsidR="00FE6868" w:rsidRPr="008124B3" w:rsidRDefault="00FE6868" w:rsidP="003C3221">
      <w:pPr>
        <w:pStyle w:val="HSpodbod"/>
      </w:pPr>
      <w:r w:rsidRPr="003C3221">
        <w:lastRenderedPageBreak/>
        <w:t>Zvýšení</w:t>
      </w:r>
      <w:r w:rsidRPr="008124B3">
        <w:t xml:space="preserve"> účinnosti stávajících a zavedení nových systémů </w:t>
      </w:r>
      <w:r w:rsidR="00F9673A">
        <w:t xml:space="preserve">rozšířené odpovědnosti výrobce (EPR) </w:t>
      </w:r>
      <w:r w:rsidRPr="008124B3">
        <w:t>pro další výrobky.</w:t>
      </w:r>
    </w:p>
    <w:p w14:paraId="02956995" w14:textId="77777777" w:rsidR="00FE6868" w:rsidRPr="00DE56AF" w:rsidRDefault="00FE6868" w:rsidP="00FE6868">
      <w:pPr>
        <w:pStyle w:val="HSNadpis5bezslovn"/>
      </w:pPr>
      <w:r w:rsidRPr="00DE56AF">
        <w:t>Hrozby:</w:t>
      </w:r>
    </w:p>
    <w:p w14:paraId="39002590" w14:textId="77777777" w:rsidR="00FE6868" w:rsidRPr="003C3221" w:rsidRDefault="00FE6868" w:rsidP="003C3221">
      <w:pPr>
        <w:pStyle w:val="HSpodbod"/>
      </w:pPr>
      <w:r w:rsidRPr="00394564">
        <w:t xml:space="preserve">Chybějící </w:t>
      </w:r>
      <w:r w:rsidRPr="003C3221">
        <w:t>objemy geologických zásob surovin pro výstavbu infrastruktury.</w:t>
      </w:r>
    </w:p>
    <w:p w14:paraId="55ADD423" w14:textId="77777777" w:rsidR="00FE6868" w:rsidRPr="003C3221" w:rsidRDefault="00FE6868" w:rsidP="003C3221">
      <w:pPr>
        <w:pStyle w:val="HSpodbod"/>
      </w:pPr>
      <w:r w:rsidRPr="003C3221">
        <w:t>Končící platnost existujících povolení těžby pro stavební materiály, zejména písku, kamení a štěrku.</w:t>
      </w:r>
    </w:p>
    <w:p w14:paraId="08B036DB" w14:textId="77777777" w:rsidR="00FE6868" w:rsidRPr="003C3221" w:rsidRDefault="00FE6868" w:rsidP="003C3221">
      <w:pPr>
        <w:pStyle w:val="HSpodbod"/>
      </w:pPr>
      <w:r w:rsidRPr="003C3221">
        <w:t>Ztráta nezbytného know-how v oblasti technických věd, průzkumu, těžby a zpracování nerostných surovin.</w:t>
      </w:r>
    </w:p>
    <w:p w14:paraId="6B3537DD" w14:textId="006D69BC" w:rsidR="00FE6868" w:rsidRPr="0059791D" w:rsidRDefault="00FE6868" w:rsidP="003C3221">
      <w:pPr>
        <w:pStyle w:val="HSpodbod"/>
      </w:pPr>
      <w:r w:rsidRPr="003C3221">
        <w:t>Neotevř</w:t>
      </w:r>
      <w:r w:rsidRPr="00394564">
        <w:t>ení nových ložisek, např. uranu</w:t>
      </w:r>
      <w:r w:rsidRPr="008124B3">
        <w:t>.</w:t>
      </w:r>
      <w:r w:rsidR="00EE67E2">
        <w:t xml:space="preserve"> </w:t>
      </w:r>
      <w:r w:rsidR="00EE67E2" w:rsidRPr="00EE67E2">
        <w:t>Environmentální či jiné negativní dopady eventuálního otevření nových ložisek či prolomení těžebních limitů některých surovin.</w:t>
      </w:r>
    </w:p>
    <w:p w14:paraId="2121078C" w14:textId="7A2C612F" w:rsidR="00253389" w:rsidRDefault="00253389" w:rsidP="00253389">
      <w:pPr>
        <w:pStyle w:val="HSpodbod"/>
      </w:pPr>
      <w:r w:rsidRPr="008124B3">
        <w:t xml:space="preserve">Snižující se schopnost retence vody v krajině v důsledku vysoké zastavěnosti území </w:t>
      </w:r>
      <w:r>
        <w:rPr>
          <w:color w:val="auto"/>
        </w:rPr>
        <w:t xml:space="preserve">dopravní infrastrukturou a navazujícími logistickými sklady </w:t>
      </w:r>
      <w:r w:rsidRPr="008124B3">
        <w:t xml:space="preserve">může zvýšit riziko </w:t>
      </w:r>
      <w:r w:rsidRPr="00663CD2">
        <w:t>záplav a eroze.</w:t>
      </w:r>
    </w:p>
    <w:p w14:paraId="13994F79" w14:textId="00B2F49E" w:rsidR="00F9673A" w:rsidRPr="00663CD2" w:rsidRDefault="00F9673A" w:rsidP="00253389">
      <w:pPr>
        <w:pStyle w:val="HSpodbod"/>
      </w:pPr>
      <w:r w:rsidRPr="00F9673A">
        <w:t>Nedostatečné kapacity technologicky vyspělých zařízení pro recyklaci a odliv recyklovatelných odpadů ke</w:t>
      </w:r>
      <w:r w:rsidR="00565483">
        <w:t> </w:t>
      </w:r>
      <w:r w:rsidRPr="00F9673A">
        <w:t xml:space="preserve">zpracování mimo </w:t>
      </w:r>
      <w:r w:rsidR="00BC2E34">
        <w:t>Českou republiku</w:t>
      </w:r>
      <w:r w:rsidRPr="00F9673A">
        <w:t>.</w:t>
      </w:r>
    </w:p>
    <w:p w14:paraId="4E98B18B" w14:textId="7351EB1C" w:rsidR="00FE6868" w:rsidRPr="00663CD2" w:rsidRDefault="00FE6868" w:rsidP="00FE6868">
      <w:pPr>
        <w:pStyle w:val="HSNadpis4bezslovn"/>
      </w:pPr>
      <w:r w:rsidRPr="00663CD2">
        <w:t>Strategické cíle:</w:t>
      </w:r>
    </w:p>
    <w:p w14:paraId="550A8A7D" w14:textId="4F90A1DF" w:rsidR="002E4E43" w:rsidRPr="00DB50F0" w:rsidRDefault="002E4E43" w:rsidP="00DB50F0">
      <w:pPr>
        <w:pStyle w:val="HSpodbod"/>
      </w:pPr>
      <w:r w:rsidRPr="00663CD2">
        <w:t>Zvyšovat materiálovou účinnost hospodářství, např. díky maximální</w:t>
      </w:r>
      <w:r w:rsidRPr="00DB50F0">
        <w:t>mu využívání druhotných surovin.</w:t>
      </w:r>
    </w:p>
    <w:p w14:paraId="0A588BBF" w14:textId="023A4ABB" w:rsidR="002E4E43" w:rsidRPr="00DB50F0" w:rsidRDefault="002E4E43" w:rsidP="00DB50F0">
      <w:pPr>
        <w:pStyle w:val="HSpodbod"/>
        <w:numPr>
          <w:ilvl w:val="0"/>
          <w:numId w:val="0"/>
        </w:numPr>
        <w:ind w:left="360"/>
      </w:pPr>
      <w:r w:rsidRPr="00DB50F0">
        <w:t>Ukazatel: Spotřebovaný materiál na obyvatele (</w:t>
      </w:r>
      <w:proofErr w:type="spellStart"/>
      <w:r w:rsidR="00565483">
        <w:t>m</w:t>
      </w:r>
      <w:r w:rsidRPr="00DB50F0">
        <w:t>aterial</w:t>
      </w:r>
      <w:proofErr w:type="spellEnd"/>
      <w:r w:rsidRPr="00DB50F0">
        <w:t xml:space="preserve"> </w:t>
      </w:r>
      <w:proofErr w:type="spellStart"/>
      <w:r w:rsidRPr="00DB50F0">
        <w:t>footprint</w:t>
      </w:r>
      <w:proofErr w:type="spellEnd"/>
      <w:r w:rsidRPr="00DB50F0">
        <w:t>)</w:t>
      </w:r>
    </w:p>
    <w:p w14:paraId="2BF9A062" w14:textId="77777777" w:rsidR="00DB50F0" w:rsidRPr="00DB50F0" w:rsidRDefault="00DB50F0" w:rsidP="00DB50F0">
      <w:pPr>
        <w:pStyle w:val="HSNadpis4bezslovn"/>
      </w:pPr>
      <w:r w:rsidRPr="006C2504">
        <w:t>S</w:t>
      </w:r>
      <w:r>
        <w:t xml:space="preserve">pecifické </w:t>
      </w:r>
      <w:r w:rsidRPr="006C2504">
        <w:t>cíle:</w:t>
      </w:r>
    </w:p>
    <w:p w14:paraId="52E00B38" w14:textId="77777777" w:rsidR="00FE6868" w:rsidRPr="003C3221" w:rsidRDefault="00FE6868" w:rsidP="003C3221">
      <w:pPr>
        <w:pStyle w:val="HSpodbod"/>
      </w:pPr>
      <w:r w:rsidRPr="00AF7469">
        <w:t>Bu</w:t>
      </w:r>
      <w:r w:rsidRPr="003C3221">
        <w:t xml:space="preserve">dovat pro domácí ekonomiku výhodné hodnotové řetězce při zahájení nových těžebních a průmyslových činností. </w:t>
      </w:r>
    </w:p>
    <w:p w14:paraId="781B487E" w14:textId="77777777" w:rsidR="00FE6868" w:rsidRPr="003C3221" w:rsidRDefault="00FE6868" w:rsidP="003C3221">
      <w:pPr>
        <w:pStyle w:val="HSpodbod"/>
        <w:rPr>
          <w:color w:val="000000"/>
        </w:rPr>
      </w:pPr>
      <w:r w:rsidRPr="003C3221">
        <w:rPr>
          <w:color w:val="000000"/>
        </w:rPr>
        <w:t>Zvyšovat materiálovou účinnost hospodářství, např. díky maximálnímu využívání druhotných surovin.</w:t>
      </w:r>
    </w:p>
    <w:p w14:paraId="49B91238" w14:textId="61F314D0" w:rsidR="00FE6868" w:rsidRPr="003C3221" w:rsidRDefault="00FE6868" w:rsidP="003C3221">
      <w:pPr>
        <w:pStyle w:val="HSpodbod"/>
        <w:rPr>
          <w:color w:val="000000"/>
        </w:rPr>
      </w:pPr>
      <w:r w:rsidRPr="003C3221">
        <w:rPr>
          <w:color w:val="000000"/>
        </w:rPr>
        <w:t xml:space="preserve">Rozvíjet a implementovat principy cirkulární ekonomiky a </w:t>
      </w:r>
      <w:r w:rsidR="00F9673A">
        <w:rPr>
          <w:color w:val="000000"/>
        </w:rPr>
        <w:t xml:space="preserve">technologicky vyspělých </w:t>
      </w:r>
      <w:r w:rsidRPr="003C3221">
        <w:rPr>
          <w:color w:val="000000"/>
        </w:rPr>
        <w:t>recyklačních technologií.</w:t>
      </w:r>
    </w:p>
    <w:p w14:paraId="5BFCBF57" w14:textId="77777777" w:rsidR="00FE6868" w:rsidRPr="003C3221" w:rsidRDefault="00FE6868" w:rsidP="003C3221">
      <w:pPr>
        <w:pStyle w:val="HSpodbod"/>
        <w:rPr>
          <w:color w:val="000000"/>
        </w:rPr>
      </w:pPr>
      <w:r w:rsidRPr="003C3221">
        <w:rPr>
          <w:color w:val="000000"/>
        </w:rPr>
        <w:t>Ekonomicky využívat a monitorovat strategické suroviny významné pro průmysl České republiky.</w:t>
      </w:r>
    </w:p>
    <w:p w14:paraId="0A455403" w14:textId="77777777" w:rsidR="00FE6868" w:rsidRPr="003C3221" w:rsidRDefault="00FE6868" w:rsidP="003C3221">
      <w:pPr>
        <w:pStyle w:val="HSpodbod"/>
        <w:rPr>
          <w:color w:val="000000"/>
        </w:rPr>
      </w:pPr>
      <w:r w:rsidRPr="003C3221">
        <w:rPr>
          <w:color w:val="000000"/>
        </w:rPr>
        <w:t xml:space="preserve">Zajistit dlouhodobou dostupnost a efektivního využívání strategických surovin. </w:t>
      </w:r>
    </w:p>
    <w:p w14:paraId="20B49DAE" w14:textId="77777777" w:rsidR="00FE6868" w:rsidRPr="003C3221" w:rsidRDefault="00FE6868" w:rsidP="003C3221">
      <w:pPr>
        <w:pStyle w:val="HSpodbod"/>
        <w:rPr>
          <w:color w:val="000000"/>
        </w:rPr>
      </w:pPr>
      <w:r w:rsidRPr="003C3221">
        <w:rPr>
          <w:color w:val="000000"/>
        </w:rPr>
        <w:t>Vybudovat technologické základny pro zpracování a využití kritických surovin a recyklátů.</w:t>
      </w:r>
    </w:p>
    <w:p w14:paraId="4C11E497" w14:textId="77777777" w:rsidR="00FE6868" w:rsidRPr="003C3221" w:rsidRDefault="00FE6868" w:rsidP="003C3221">
      <w:pPr>
        <w:pStyle w:val="HSpodbod"/>
        <w:rPr>
          <w:color w:val="000000"/>
        </w:rPr>
      </w:pPr>
      <w:r w:rsidRPr="003C3221">
        <w:rPr>
          <w:color w:val="000000"/>
        </w:rPr>
        <w:t>Více využívat recyklované materiály ve výrobcích.</w:t>
      </w:r>
    </w:p>
    <w:p w14:paraId="657B6087" w14:textId="04E28B96" w:rsidR="00FE6868" w:rsidRDefault="00FE6868" w:rsidP="003C3221">
      <w:pPr>
        <w:pStyle w:val="HSpodbod"/>
      </w:pPr>
      <w:r w:rsidRPr="003C3221">
        <w:rPr>
          <w:color w:val="000000"/>
        </w:rPr>
        <w:t>Roz</w:t>
      </w:r>
      <w:r w:rsidRPr="003C3221">
        <w:t>víj</w:t>
      </w:r>
      <w:r>
        <w:t>et systém</w:t>
      </w:r>
      <w:r w:rsidRPr="00312A11">
        <w:t xml:space="preserve"> recyklace a </w:t>
      </w:r>
      <w:r>
        <w:t xml:space="preserve">obecně vyšší </w:t>
      </w:r>
      <w:r w:rsidRPr="00312A11">
        <w:t>celkov</w:t>
      </w:r>
      <w:r>
        <w:t>á míra</w:t>
      </w:r>
      <w:r w:rsidRPr="00312A11">
        <w:t xml:space="preserve"> recyklac</w:t>
      </w:r>
      <w:r>
        <w:t>e.</w:t>
      </w:r>
    </w:p>
    <w:p w14:paraId="0A9C50B4" w14:textId="056A8FFB" w:rsidR="00985852" w:rsidRPr="00985852" w:rsidRDefault="00985852" w:rsidP="00985852">
      <w:pPr>
        <w:pStyle w:val="HSpodbod"/>
        <w:rPr>
          <w:lang w:eastAsia="cs-CZ"/>
        </w:rPr>
      </w:pPr>
      <w:r w:rsidRPr="00985852">
        <w:rPr>
          <w:lang w:eastAsia="cs-CZ"/>
        </w:rPr>
        <w:t xml:space="preserve">Podporovat používání dřeva </w:t>
      </w:r>
      <w:r w:rsidR="00F9673A">
        <w:rPr>
          <w:lang w:eastAsia="cs-CZ"/>
        </w:rPr>
        <w:t>a dalších přírodních materiálů</w:t>
      </w:r>
      <w:r w:rsidR="00F9673A" w:rsidRPr="00985852">
        <w:rPr>
          <w:lang w:eastAsia="cs-CZ"/>
        </w:rPr>
        <w:t xml:space="preserve"> </w:t>
      </w:r>
      <w:r w:rsidRPr="00985852">
        <w:rPr>
          <w:lang w:eastAsia="cs-CZ"/>
        </w:rPr>
        <w:t>jako obnovitelné suroviny v odvětvích ekonomiky a běžném životě</w:t>
      </w:r>
      <w:r w:rsidR="00CB69E1">
        <w:rPr>
          <w:lang w:eastAsia="cs-CZ"/>
        </w:rPr>
        <w:t>.</w:t>
      </w:r>
    </w:p>
    <w:p w14:paraId="0211A781" w14:textId="1D53031A" w:rsidR="00985852" w:rsidRPr="009D7D18" w:rsidRDefault="00CB69E1" w:rsidP="003C3221">
      <w:pPr>
        <w:pStyle w:val="HSpodbod"/>
      </w:pPr>
      <w:r>
        <w:t>Z</w:t>
      </w:r>
      <w:r w:rsidR="00985852" w:rsidRPr="00985852">
        <w:t>ajistit</w:t>
      </w:r>
      <w:r w:rsidRPr="00CB69E1">
        <w:t xml:space="preserve"> </w:t>
      </w:r>
      <w:r>
        <w:t>propojenost vodárenských soustav</w:t>
      </w:r>
      <w:r w:rsidR="00985852" w:rsidRPr="00985852">
        <w:t>, aby vod</w:t>
      </w:r>
      <w:r>
        <w:t>a</w:t>
      </w:r>
      <w:r w:rsidR="00985852" w:rsidRPr="00985852">
        <w:t xml:space="preserve"> byl</w:t>
      </w:r>
      <w:r>
        <w:t>a</w:t>
      </w:r>
      <w:r w:rsidR="00985852" w:rsidRPr="00985852">
        <w:t xml:space="preserve"> účinně shromažďován</w:t>
      </w:r>
      <w:r>
        <w:t>a</w:t>
      </w:r>
      <w:r w:rsidR="00985852" w:rsidRPr="00985852">
        <w:t>, čištěn</w:t>
      </w:r>
      <w:r>
        <w:t>a</w:t>
      </w:r>
      <w:r w:rsidR="00985852" w:rsidRPr="00985852">
        <w:t xml:space="preserve"> a vypouštěn</w:t>
      </w:r>
      <w:r>
        <w:t>a.</w:t>
      </w:r>
    </w:p>
    <w:p w14:paraId="6CB96555" w14:textId="77777777" w:rsidR="00FE6868" w:rsidRPr="006C2504" w:rsidRDefault="00FE6868" w:rsidP="00FE6868">
      <w:pPr>
        <w:pStyle w:val="HSNadpis4bezslovn"/>
      </w:pPr>
      <w:r w:rsidRPr="006C2504">
        <w:t>Hlavní opatření:</w:t>
      </w:r>
    </w:p>
    <w:p w14:paraId="1F7165D7" w14:textId="77777777" w:rsidR="00FE6868" w:rsidRPr="003C3221" w:rsidRDefault="00FE6868" w:rsidP="003C3221">
      <w:pPr>
        <w:pStyle w:val="HSpodbod"/>
      </w:pPr>
      <w:r>
        <w:t>Implemento</w:t>
      </w:r>
      <w:r w:rsidRPr="003C3221">
        <w:t>vat legislativní a ekonomické podmínky pro strategické projekty v oblasti průzkumu, těžby, zpracování a recyklace nerostných surovin.</w:t>
      </w:r>
    </w:p>
    <w:p w14:paraId="5C5CBB9A" w14:textId="221D797C" w:rsidR="00FE6868" w:rsidRPr="003C3221" w:rsidRDefault="00FE6868" w:rsidP="003C3221">
      <w:pPr>
        <w:pStyle w:val="HSpodbod"/>
      </w:pPr>
      <w:r w:rsidRPr="003C3221">
        <w:t xml:space="preserve">Implementovat nařízení </w:t>
      </w:r>
      <w:proofErr w:type="spellStart"/>
      <w:r w:rsidRPr="003C3221">
        <w:t>Critical</w:t>
      </w:r>
      <w:proofErr w:type="spellEnd"/>
      <w:r w:rsidRPr="003C3221">
        <w:t xml:space="preserve"> </w:t>
      </w:r>
      <w:proofErr w:type="spellStart"/>
      <w:r w:rsidRPr="003C3221">
        <w:t>Raw</w:t>
      </w:r>
      <w:proofErr w:type="spellEnd"/>
      <w:r w:rsidRPr="003C3221">
        <w:t xml:space="preserve"> </w:t>
      </w:r>
      <w:proofErr w:type="spellStart"/>
      <w:r w:rsidRPr="003C3221">
        <w:t>Materials</w:t>
      </w:r>
      <w:proofErr w:type="spellEnd"/>
      <w:r w:rsidRPr="003C3221">
        <w:t xml:space="preserve"> </w:t>
      </w:r>
      <w:proofErr w:type="spellStart"/>
      <w:r w:rsidRPr="003C3221">
        <w:t>Act</w:t>
      </w:r>
      <w:proofErr w:type="spellEnd"/>
      <w:r w:rsidRPr="003C3221">
        <w:t xml:space="preserve"> a snížit byrokratickou náročnost schvalovacích procesů.</w:t>
      </w:r>
    </w:p>
    <w:p w14:paraId="6C95DC42" w14:textId="77777777" w:rsidR="00FE6868" w:rsidRPr="003C3221" w:rsidRDefault="00FE6868" w:rsidP="003C3221">
      <w:pPr>
        <w:pStyle w:val="HSpodbod"/>
      </w:pPr>
      <w:r w:rsidRPr="003C3221">
        <w:t>Realizovat geologické průzkumy a technologický výzkum úpravy a recyklace kritických a strategických surovin.</w:t>
      </w:r>
    </w:p>
    <w:p w14:paraId="4C2FBD99" w14:textId="77777777" w:rsidR="00FE6868" w:rsidRPr="003C3221" w:rsidRDefault="00FE6868" w:rsidP="003C3221">
      <w:pPr>
        <w:pStyle w:val="HSpodbod"/>
      </w:pPr>
      <w:r w:rsidRPr="003C3221">
        <w:t>Posílit spolupráci s mimoevropskými partnery v oblasti strategických a kritických surovin.</w:t>
      </w:r>
    </w:p>
    <w:p w14:paraId="5E896687" w14:textId="77777777" w:rsidR="00FE6868" w:rsidRPr="003C3221" w:rsidRDefault="00FE6868" w:rsidP="003C3221">
      <w:pPr>
        <w:pStyle w:val="HSpodbod"/>
      </w:pPr>
      <w:r w:rsidRPr="003C3221">
        <w:t>Posílit cíle cirkulární ekonomiky prostřednictvím „zeleného zadávání“ (necenová kritéria) využíváním recyklovaných a recyklovatelných materiálů a druhotných surovin.</w:t>
      </w:r>
    </w:p>
    <w:p w14:paraId="582F41FA" w14:textId="77777777" w:rsidR="00FE6868" w:rsidRPr="003C3221" w:rsidRDefault="00FE6868" w:rsidP="003C3221">
      <w:pPr>
        <w:pStyle w:val="HSpodbod"/>
      </w:pPr>
      <w:r w:rsidRPr="003C3221">
        <w:t>Do roku 2040 ztrojnásobit míru oběhového využití materiálu ve srovnání s úrovněmi roku 2017.</w:t>
      </w:r>
    </w:p>
    <w:p w14:paraId="2802F41B" w14:textId="202371B4" w:rsidR="00FE6868" w:rsidRPr="003C3221" w:rsidRDefault="0071301E" w:rsidP="003C3221">
      <w:pPr>
        <w:pStyle w:val="HSpodbod"/>
      </w:pPr>
      <w:r>
        <w:t xml:space="preserve">Posílit výzkum, vývoj a </w:t>
      </w:r>
      <w:r w:rsidR="00FE6868" w:rsidRPr="003C3221">
        <w:t xml:space="preserve">inovace </w:t>
      </w:r>
      <w:r>
        <w:t>v oblasti</w:t>
      </w:r>
      <w:r w:rsidR="00FE6868" w:rsidRPr="003C3221">
        <w:t xml:space="preserve"> nových materiálů, postupů a technologií za účelem zajištění jejich </w:t>
      </w:r>
      <w:proofErr w:type="spellStart"/>
      <w:r w:rsidR="00FE6868" w:rsidRPr="003C3221">
        <w:t>cirkularity</w:t>
      </w:r>
      <w:proofErr w:type="spellEnd"/>
      <w:r w:rsidR="00FE6868" w:rsidRPr="003C3221">
        <w:t xml:space="preserve"> a</w:t>
      </w:r>
      <w:r w:rsidR="00655668">
        <w:t> </w:t>
      </w:r>
      <w:r w:rsidR="00FE6868" w:rsidRPr="003C3221">
        <w:t>snižování materiálové náročnosti.</w:t>
      </w:r>
    </w:p>
    <w:p w14:paraId="145B72F3" w14:textId="37E15579" w:rsidR="00FE6868" w:rsidRPr="003C3221" w:rsidRDefault="00FE6868" w:rsidP="003C3221">
      <w:pPr>
        <w:pStyle w:val="HSpodbod"/>
      </w:pPr>
      <w:r w:rsidRPr="003C3221">
        <w:t>Implementovat Surovinovou politiku pro dřevo a přispět k ochraně klimatu, inovativními technologiemi zajistit vyšší přidanou hodnotu lesnicko-dřevařského sektoru a dosáhnout tak efektivního využívání dřeva např.</w:t>
      </w:r>
      <w:r w:rsidR="00655668">
        <w:t> </w:t>
      </w:r>
      <w:r w:rsidRPr="003C3221">
        <w:t>ve stavebnictví.</w:t>
      </w:r>
    </w:p>
    <w:p w14:paraId="13557E2A" w14:textId="7523D309" w:rsidR="00FE6868" w:rsidRPr="003C3221" w:rsidRDefault="00FE6868" w:rsidP="003C3221">
      <w:pPr>
        <w:pStyle w:val="HSpodbod"/>
      </w:pPr>
      <w:r w:rsidRPr="003C3221">
        <w:lastRenderedPageBreak/>
        <w:t xml:space="preserve">Posílit </w:t>
      </w:r>
      <w:r w:rsidR="00EE67E2">
        <w:t xml:space="preserve">a chránit </w:t>
      </w:r>
      <w:r w:rsidRPr="003C3221">
        <w:t>vodní zdroje pro udržitelné národní hospodářství a zajistit dostatečné a udržitelné zdroje vody.</w:t>
      </w:r>
    </w:p>
    <w:p w14:paraId="51D5D957" w14:textId="16531FA5" w:rsidR="00FE6868" w:rsidRPr="009D7D18" w:rsidRDefault="00FE6868" w:rsidP="003C3221">
      <w:pPr>
        <w:pStyle w:val="HSpodbod"/>
      </w:pPr>
      <w:bookmarkStart w:id="62" w:name="_Hlk172029947"/>
      <w:r w:rsidRPr="003C3221">
        <w:t>Zajistit trvalé zásobování obyvatel pitnou vodou, posílit zdroje užitkové vody a zajistit rozvoj stávajících i</w:t>
      </w:r>
      <w:r w:rsidR="00565483">
        <w:t> </w:t>
      </w:r>
      <w:r w:rsidRPr="003C3221">
        <w:t>nových vodárenskýc</w:t>
      </w:r>
      <w:r>
        <w:t>h systémů, vč. jejich propojení.</w:t>
      </w:r>
      <w:bookmarkEnd w:id="62"/>
    </w:p>
    <w:p w14:paraId="13FFAE68" w14:textId="5F4A1A71" w:rsidR="00FE6868" w:rsidRPr="006C2504" w:rsidRDefault="00FE6868" w:rsidP="00FE6868">
      <w:pPr>
        <w:pStyle w:val="HSNadpis4bezslovn"/>
      </w:pPr>
      <w:r w:rsidRPr="006C2504">
        <w:t>Naplňující strategie:</w:t>
      </w:r>
    </w:p>
    <w:p w14:paraId="52D2906A" w14:textId="078212C7" w:rsidR="00FE6868" w:rsidRDefault="00FE6868" w:rsidP="00FE6868">
      <w:pPr>
        <w:pStyle w:val="HSpodbod"/>
      </w:pPr>
      <w:proofErr w:type="spellStart"/>
      <w:r>
        <w:t>Critical</w:t>
      </w:r>
      <w:proofErr w:type="spellEnd"/>
      <w:r>
        <w:t xml:space="preserve"> </w:t>
      </w:r>
      <w:proofErr w:type="spellStart"/>
      <w:r>
        <w:t>Raw</w:t>
      </w:r>
      <w:proofErr w:type="spellEnd"/>
      <w:r>
        <w:t xml:space="preserve"> </w:t>
      </w:r>
      <w:proofErr w:type="spellStart"/>
      <w:r>
        <w:t>Materials</w:t>
      </w:r>
      <w:proofErr w:type="spellEnd"/>
      <w:r>
        <w:t xml:space="preserve"> </w:t>
      </w:r>
      <w:proofErr w:type="spellStart"/>
      <w:r>
        <w:t>Act</w:t>
      </w:r>
      <w:proofErr w:type="spellEnd"/>
    </w:p>
    <w:p w14:paraId="72FB1B08" w14:textId="02516450" w:rsidR="00FE6868" w:rsidRDefault="00FE6868" w:rsidP="00FE6868">
      <w:pPr>
        <w:pStyle w:val="HSpodbod"/>
      </w:pPr>
      <w:r w:rsidRPr="009D7D18">
        <w:t xml:space="preserve">Strategický rámec </w:t>
      </w:r>
      <w:r>
        <w:t>cirkulární ekonomiky České republiky 2040 („</w:t>
      </w:r>
      <w:r w:rsidRPr="00632CE2">
        <w:t>Cirkulární Česko 2040</w:t>
      </w:r>
      <w:r>
        <w:t>“)</w:t>
      </w:r>
    </w:p>
    <w:p w14:paraId="171D951D" w14:textId="77777777" w:rsidR="00F9673A" w:rsidRDefault="00FE6868" w:rsidP="00F9673A">
      <w:pPr>
        <w:pStyle w:val="HSpodbod"/>
      </w:pPr>
      <w:r>
        <w:t>Akční plán Cirkulární Česko 2040 pro období 2022</w:t>
      </w:r>
      <w:r w:rsidRPr="00312A11">
        <w:t>–</w:t>
      </w:r>
      <w:r>
        <w:t>2027</w:t>
      </w:r>
    </w:p>
    <w:p w14:paraId="2648EAA8" w14:textId="64EE2BBC" w:rsidR="00FE6868" w:rsidRPr="00632CE2" w:rsidRDefault="00F9673A" w:rsidP="00F9673A">
      <w:pPr>
        <w:pStyle w:val="HSpodbod"/>
      </w:pPr>
      <w:r>
        <w:t>Surovinová politika České republiky v oblasti nerostných surovin a jejich zdrojů</w:t>
      </w:r>
    </w:p>
    <w:p w14:paraId="5A51149F" w14:textId="42AF58C0" w:rsidR="0031053E" w:rsidRDefault="00FE6868" w:rsidP="0031053E">
      <w:pPr>
        <w:pStyle w:val="HSpodbod"/>
      </w:pPr>
      <w:r w:rsidRPr="009D7D18">
        <w:t>Politika druhotných surovin</w:t>
      </w:r>
      <w:r w:rsidR="00F9673A">
        <w:t xml:space="preserve"> ČR</w:t>
      </w:r>
    </w:p>
    <w:p w14:paraId="35358A82" w14:textId="5BB0BB3C" w:rsidR="0031053E" w:rsidRDefault="00FE6868" w:rsidP="0031053E">
      <w:pPr>
        <w:pStyle w:val="HSpodbod"/>
      </w:pPr>
      <w:r>
        <w:t>Surovinová politika pro dřevo</w:t>
      </w:r>
    </w:p>
    <w:p w14:paraId="67D49EDB" w14:textId="1C0CE18C" w:rsidR="0031053E" w:rsidRPr="00BB5751" w:rsidRDefault="0031053E" w:rsidP="0031053E">
      <w:pPr>
        <w:pStyle w:val="HSpodbod"/>
        <w:numPr>
          <w:ilvl w:val="0"/>
          <w:numId w:val="0"/>
        </w:numPr>
      </w:pPr>
      <w:r>
        <w:br w:type="page"/>
      </w:r>
    </w:p>
    <w:p w14:paraId="406517A5" w14:textId="77777777" w:rsidR="00FE6868" w:rsidRPr="00E659FD" w:rsidRDefault="00FE6868" w:rsidP="00FE6868">
      <w:pPr>
        <w:pStyle w:val="HSNadpisIII"/>
      </w:pPr>
      <w:bookmarkStart w:id="63" w:name="_Toc174703083"/>
      <w:r>
        <w:lastRenderedPageBreak/>
        <w:t>Industrializace s přidanou hodnotou</w:t>
      </w:r>
      <w:bookmarkEnd w:id="63"/>
    </w:p>
    <w:p w14:paraId="675350F0" w14:textId="47BA5C6E" w:rsidR="00FE6868" w:rsidRDefault="00FE6868" w:rsidP="00FE6868">
      <w:r>
        <w:t xml:space="preserve">Geopolitický a ekonomický </w:t>
      </w:r>
      <w:r w:rsidR="00F04A24">
        <w:t>trend</w:t>
      </w:r>
      <w:r>
        <w:t xml:space="preserve"> staví Českou republiku na rozcestí, na kterém je potřeba definovat další ekonomickou strategii. Ekonomika prošla významnou proměnou a postupně</w:t>
      </w:r>
      <w:r w:rsidR="00F953EE">
        <w:t>,</w:t>
      </w:r>
      <w:r>
        <w:t xml:space="preserve"> avšak v posledních letech zpomalujícím tempem</w:t>
      </w:r>
      <w:r w:rsidR="00F953EE">
        <w:t>,</w:t>
      </w:r>
      <w:r>
        <w:t xml:space="preserve"> konverguje k nejvyspělejším státům. Rozpad globálních ekonomických vazeb a řetězící se krize představují výzvu pro tvůrce hospodářské politiky státu.</w:t>
      </w:r>
    </w:p>
    <w:p w14:paraId="0254E8E6" w14:textId="3189FBC1" w:rsidR="00FE6868" w:rsidRDefault="00F953EE" w:rsidP="00FE6868">
      <w:r>
        <w:t xml:space="preserve">Česká republika má </w:t>
      </w:r>
      <w:r w:rsidR="00FE6868">
        <w:t xml:space="preserve">silné základy v tradičních průmyslových odvětvích, jako je automobilový průmysl, a rostoucí sektor služeb. </w:t>
      </w:r>
      <w:r>
        <w:t>E</w:t>
      </w:r>
      <w:r w:rsidR="00FE6868">
        <w:t xml:space="preserve">konomika </w:t>
      </w:r>
      <w:r>
        <w:t xml:space="preserve">České republiky </w:t>
      </w:r>
      <w:r w:rsidR="00FE6868">
        <w:t>je otevřená a integrovaná do evropského i globálního trhu. Avšak čelí výzvám spojeným s</w:t>
      </w:r>
      <w:r w:rsidR="00AF55AB">
        <w:t> </w:t>
      </w:r>
      <w:r w:rsidR="00FE6868">
        <w:t>globalizací, technologickým pokrokem a environmentální</w:t>
      </w:r>
      <w:r w:rsidR="001E578C">
        <w:t xml:space="preserve"> politikou</w:t>
      </w:r>
      <w:r w:rsidR="00FE6868">
        <w:t>, které vyžadují adaptaci a inovaci.</w:t>
      </w:r>
    </w:p>
    <w:p w14:paraId="0E77791A" w14:textId="7081271E" w:rsidR="00FE6868" w:rsidRDefault="00FE6868" w:rsidP="00FE6868">
      <w:r>
        <w:t>Světová ekonomika prochází rychlými změnami, které jsou poháněny technologickým pokrokem, digitalizací a</w:t>
      </w:r>
      <w:r w:rsidR="00AF55AB">
        <w:t> </w:t>
      </w:r>
      <w:r>
        <w:t>udržitelností. Globalizace a geopolitické změny přinášejí nové příležitosti, ale také rizika. Významnou roli hrají čisté a udržitelné technologie, které jsou nezbytné pro boj proti klimatickým změnám. Digitální technologie, jako jsou umělá inteligence, big data a robotika, transformují tradiční odvětví a vytvářejí nové příležitosti pro růst a</w:t>
      </w:r>
      <w:r w:rsidR="00AF55AB">
        <w:t> </w:t>
      </w:r>
      <w:r>
        <w:t>inovace.</w:t>
      </w:r>
    </w:p>
    <w:p w14:paraId="186DA11C" w14:textId="69D89BC9" w:rsidR="00FE6868" w:rsidRDefault="00FE6868" w:rsidP="00FE6868">
      <w:r>
        <w:t xml:space="preserve">Cílem České republiky je stát se ekonomicky silným, technologicky vyspělým a udržitelným státem, který je schopen konkurovat na globální úrovni. </w:t>
      </w:r>
      <w:r w:rsidR="00F953EE">
        <w:t>Ambicí je také být mezi elitou</w:t>
      </w:r>
      <w:r>
        <w:t xml:space="preserve"> v implementaci čistých a udržitelných technologií, digitálních inovací a pokročilých materiálů. </w:t>
      </w:r>
      <w:r w:rsidR="00F953EE">
        <w:t>E</w:t>
      </w:r>
      <w:r>
        <w:t xml:space="preserve">konomika </w:t>
      </w:r>
      <w:r w:rsidR="00F953EE">
        <w:t xml:space="preserve">České republiky </w:t>
      </w:r>
      <w:r>
        <w:t>by měla být diversifikovaná, odolná a schopná rychle reagovat na změny globální</w:t>
      </w:r>
      <w:r w:rsidR="00744497">
        <w:t>c</w:t>
      </w:r>
      <w:r>
        <w:t xml:space="preserve">h </w:t>
      </w:r>
      <w:r w:rsidR="00744497">
        <w:t>podmínek</w:t>
      </w:r>
      <w:r>
        <w:t>. Klíčové je také vytváření atraktivního prostředí pro malé a střední podniky a investice s vysokou přidanou hodnotou.</w:t>
      </w:r>
    </w:p>
    <w:p w14:paraId="40CA5E4D" w14:textId="4C72A4F4" w:rsidR="00FE6868" w:rsidRDefault="00EA1C7D" w:rsidP="00FE6868">
      <w:r>
        <w:t xml:space="preserve">Má-li se </w:t>
      </w:r>
      <w:r w:rsidR="00FE6868">
        <w:t>tato vize naplnit</w:t>
      </w:r>
      <w:r>
        <w:t>,</w:t>
      </w:r>
      <w:r w:rsidR="00FE6868">
        <w:t xml:space="preserve"> je třeba začít utvářet kulturu úspěchu a podpořit </w:t>
      </w:r>
      <w:r w:rsidR="00744497">
        <w:t>znamenitost</w:t>
      </w:r>
      <w:r w:rsidR="00FE6868">
        <w:t xml:space="preserve">. Dosavadní plošný přístup k podpoře se jeví jako neefektivní. </w:t>
      </w:r>
      <w:r w:rsidR="00744497">
        <w:t>Deformuje trh</w:t>
      </w:r>
      <w:r w:rsidR="0059791D">
        <w:t>,</w:t>
      </w:r>
      <w:r w:rsidR="00744497">
        <w:t xml:space="preserve"> a navíc v</w:t>
      </w:r>
      <w:r w:rsidR="00FE6868">
        <w:t>ytváří nežádoucí závislost širokých ekonomických struktur na státních dotačních schématech a dalších podpůrných mechanismech bez zásadního vlivu na</w:t>
      </w:r>
      <w:r w:rsidR="007633AA">
        <w:t> </w:t>
      </w:r>
      <w:r w:rsidR="00FE6868">
        <w:t xml:space="preserve">konkurenceschopnost celé ekonomiky. </w:t>
      </w:r>
    </w:p>
    <w:p w14:paraId="2E90937B" w14:textId="5A551EC8" w:rsidR="00FE6868" w:rsidRDefault="00EA1C7D" w:rsidP="00FE6868">
      <w:r>
        <w:t xml:space="preserve"> S</w:t>
      </w:r>
      <w:r w:rsidR="00FE6868">
        <w:t> ohledem na to, že prostředky, které bude Česká republika mít v této oblasti k dispozici z unijních rozpočtů</w:t>
      </w:r>
      <w:r>
        <w:t>,</w:t>
      </w:r>
      <w:r w:rsidR="00FE6868">
        <w:t xml:space="preserve"> se</w:t>
      </w:r>
      <w:r w:rsidR="007633AA">
        <w:t> </w:t>
      </w:r>
      <w:r w:rsidR="00FE6868">
        <w:t>budou snižovat, je třeba podpory jasně zacílit a posílit důraz na jejich efektivní využití.</w:t>
      </w:r>
    </w:p>
    <w:p w14:paraId="7B76918C" w14:textId="42E4A26F" w:rsidR="00FE6868" w:rsidRDefault="00FE6868" w:rsidP="00FE6868">
      <w:r>
        <w:t>Nad rámec rozvojových aktivit v kapitole 1 Lidský kapitál a kapitol</w:t>
      </w:r>
      <w:r w:rsidR="00F953EE">
        <w:t>e</w:t>
      </w:r>
      <w:r>
        <w:t xml:space="preserve"> 2 Strategické investice patří mezi klíčové prvky strategického přístupu následující témata:</w:t>
      </w:r>
    </w:p>
    <w:p w14:paraId="0EBAAD16" w14:textId="77777777" w:rsidR="00FE6868" w:rsidRDefault="00FE6868" w:rsidP="00FE6868">
      <w:pPr>
        <w:pStyle w:val="HSpodbod"/>
      </w:pPr>
      <w:r>
        <w:t>vytváření kultury úspěchu a podnikavosti,</w:t>
      </w:r>
    </w:p>
    <w:p w14:paraId="2A8ED6F9" w14:textId="0FB3B2A6" w:rsidR="00FE6868" w:rsidRDefault="00FE6868" w:rsidP="00FE6868">
      <w:pPr>
        <w:pStyle w:val="HSpodbod"/>
      </w:pPr>
      <w:r>
        <w:t xml:space="preserve">uplatnění </w:t>
      </w:r>
      <w:r w:rsidR="00FB1F1A">
        <w:t xml:space="preserve">pokročilých </w:t>
      </w:r>
      <w:r>
        <w:t>technologií,</w:t>
      </w:r>
    </w:p>
    <w:p w14:paraId="44D9C7DA" w14:textId="58386273" w:rsidR="00FE6868" w:rsidRDefault="00FE6868" w:rsidP="00FE6868">
      <w:pPr>
        <w:pStyle w:val="HSpodbod"/>
      </w:pPr>
      <w:r>
        <w:t xml:space="preserve">podpora </w:t>
      </w:r>
      <w:r w:rsidR="00F953EE">
        <w:t xml:space="preserve">a zejména tvorba prostředí pro </w:t>
      </w:r>
      <w:r>
        <w:t>investic</w:t>
      </w:r>
      <w:r w:rsidR="00F953EE">
        <w:t>e</w:t>
      </w:r>
      <w:r>
        <w:t xml:space="preserve"> s vysokou přidanou hodnotou.</w:t>
      </w:r>
    </w:p>
    <w:p w14:paraId="0D06F1E4" w14:textId="144DB533" w:rsidR="00FE6868" w:rsidRDefault="00FE6868" w:rsidP="003B03D1">
      <w:pPr>
        <w:pStyle w:val="HSNadpisIII3"/>
      </w:pPr>
      <w:bookmarkStart w:id="64" w:name="_Toc174703084"/>
      <w:r>
        <w:t>Kultura úspěchu a podnikavost</w:t>
      </w:r>
      <w:bookmarkEnd w:id="64"/>
    </w:p>
    <w:p w14:paraId="1C2541F9" w14:textId="42EDC3B7" w:rsidR="00FE6868" w:rsidRDefault="00EA1C7D" w:rsidP="00FE6868">
      <w:r>
        <w:t>Má-li</w:t>
      </w:r>
      <w:r w:rsidR="00CE7033">
        <w:t xml:space="preserve"> </w:t>
      </w:r>
      <w:r w:rsidR="00FE6868">
        <w:t>česká ekonomika uspět ve světové konkurenci, musí začít silněji vytvářet kulturu úspěchu</w:t>
      </w:r>
      <w:r>
        <w:t xml:space="preserve">, </w:t>
      </w:r>
      <w:r w:rsidR="00FE6868">
        <w:t>kde jsou oceňovány výsledky podnikavosti na základě dosažených výsledků. Podnikání a podnikatelský úspěch musí být jedn</w:t>
      </w:r>
      <w:r w:rsidR="00490E2C">
        <w:t>í</w:t>
      </w:r>
      <w:r w:rsidR="00FE6868">
        <w:t>m z hlavních pilířů rozvoje a úspěšnosti hospodářského modelu ekonomiky</w:t>
      </w:r>
      <w:r w:rsidR="00C56CA1">
        <w:t xml:space="preserve"> České republiky</w:t>
      </w:r>
      <w:r w:rsidR="00FE6868">
        <w:t>. Tento přístup je klíčový pro inovace a celkovou ekonomickou dynamiku. Podnikavost je klíčovým prvkem zdravé ekonomiky, zejména ve vztahu k fungujícím trhům, které nejsou pokřivené nadměrnými státními zásahy.</w:t>
      </w:r>
    </w:p>
    <w:p w14:paraId="5C60A8E0" w14:textId="5BEC830F" w:rsidR="00FE6868" w:rsidRDefault="00FE6868" w:rsidP="00FE6868">
      <w:r>
        <w:t>V současnosti platí, že většina absolventů středního a vysokého školství míří do zaměstnaneckého poměru. Data rovněž ukazují, že Česká republika má velmi nízkou pracovní mobilitu. Pravděpodobnost, že zaměstnanci změní zaměstnavatele</w:t>
      </w:r>
      <w:r w:rsidR="00F9673A">
        <w:t>,</w:t>
      </w:r>
      <w:r>
        <w:t xml:space="preserve"> je v </w:t>
      </w:r>
      <w:r w:rsidR="00C56CA1">
        <w:t>Česk</w:t>
      </w:r>
      <w:r w:rsidR="00490E2C">
        <w:t>é</w:t>
      </w:r>
      <w:r w:rsidR="00C56CA1">
        <w:t xml:space="preserve"> republi</w:t>
      </w:r>
      <w:r w:rsidR="00490E2C">
        <w:t>ce</w:t>
      </w:r>
      <w:r>
        <w:t xml:space="preserve"> nižší než v západních zemích. Zároveň se ukazuje, že pravděpodobnost založení vlastního podniku se zvyšuje s tím, jaké má daný jedinec dosažené vzdělání. Jedná se tedy o vysoce propojené systémy. </w:t>
      </w:r>
      <w:r w:rsidRPr="00052718">
        <w:t>Zavedením těchto opatření může Česká republika vytvořit prostředí, které nejen podporuje podnikavost mezi mladou generací, ale také přitahuje zahraniční podnikatele a talenty.</w:t>
      </w:r>
    </w:p>
    <w:p w14:paraId="1D14B402" w14:textId="7F230A7E" w:rsidR="00E11439" w:rsidRDefault="00CD427C" w:rsidP="00E11439">
      <w:pPr>
        <w:pStyle w:val="HSNadpis4bezslovn"/>
      </w:pPr>
      <w:r>
        <w:t>Strategický</w:t>
      </w:r>
      <w:r w:rsidR="00E11439" w:rsidRPr="006C2504">
        <w:t xml:space="preserve"> </w:t>
      </w:r>
      <w:r w:rsidR="00E11439">
        <w:t>cíl</w:t>
      </w:r>
      <w:r w:rsidR="00E11439" w:rsidRPr="006C2504">
        <w:t>:</w:t>
      </w:r>
    </w:p>
    <w:p w14:paraId="77FF4B65" w14:textId="190FDFC7" w:rsidR="00E11439" w:rsidRPr="00DB50F0" w:rsidRDefault="00E11439" w:rsidP="00DB50F0">
      <w:pPr>
        <w:pStyle w:val="HSpodbod"/>
      </w:pPr>
      <w:r w:rsidRPr="00DB50F0">
        <w:t xml:space="preserve">Rozvoj </w:t>
      </w:r>
      <w:r w:rsidR="0017490B">
        <w:t xml:space="preserve">a kultivace </w:t>
      </w:r>
      <w:r w:rsidRPr="00DB50F0">
        <w:t>životaschopného a perspektivního podnikání, které vytváří přidanou hodnotu.</w:t>
      </w:r>
    </w:p>
    <w:p w14:paraId="17FC6CC3" w14:textId="16C2C28B" w:rsidR="00E11439" w:rsidRPr="00DB50F0" w:rsidRDefault="00E11439" w:rsidP="00DB50F0">
      <w:pPr>
        <w:pStyle w:val="HSpodbod"/>
        <w:numPr>
          <w:ilvl w:val="0"/>
          <w:numId w:val="0"/>
        </w:numPr>
        <w:ind w:left="360"/>
      </w:pPr>
      <w:r w:rsidRPr="00DB50F0">
        <w:t>Ukazatel: Podíl samostatné výdělečné činnosti lidí, kteří mají zaměstnance (v rámci samostatné výdělečné činnosti lidí)</w:t>
      </w:r>
    </w:p>
    <w:p w14:paraId="033B74CB" w14:textId="21254880" w:rsidR="00FE6868" w:rsidRDefault="00FE6868" w:rsidP="003B03D1">
      <w:pPr>
        <w:pStyle w:val="HSNadpis4bezslovn"/>
      </w:pPr>
      <w:r w:rsidRPr="006C2504">
        <w:lastRenderedPageBreak/>
        <w:t>Hlavní opatření:</w:t>
      </w:r>
    </w:p>
    <w:p w14:paraId="1AFC33F0" w14:textId="4FA6CE24" w:rsidR="00FE6868" w:rsidRPr="00DC3DDA" w:rsidRDefault="00FE6868" w:rsidP="00DC3DDA">
      <w:pPr>
        <w:pStyle w:val="HSpodbod"/>
      </w:pPr>
      <w:r w:rsidRPr="00DC3DDA">
        <w:t>Podporovat vzdělávání k podnikání, kreativitu a soutěživost na všech úrovních vzdělávací soustavy.</w:t>
      </w:r>
    </w:p>
    <w:p w14:paraId="27F11EF0" w14:textId="5AE65526" w:rsidR="00FE6868" w:rsidRPr="00DC3DDA" w:rsidRDefault="00AB2F50" w:rsidP="00DC3DDA">
      <w:pPr>
        <w:pStyle w:val="HSpodbod"/>
      </w:pPr>
      <w:r w:rsidRPr="00DC3DDA">
        <w:t>Motivovat vysoké školy k</w:t>
      </w:r>
      <w:r w:rsidR="00FE6868" w:rsidRPr="00DC3DDA">
        <w:t xml:space="preserve"> zaklád</w:t>
      </w:r>
      <w:r w:rsidRPr="00DC3DDA">
        <w:t>ání</w:t>
      </w:r>
      <w:r w:rsidR="00FE6868" w:rsidRPr="00DC3DDA">
        <w:t xml:space="preserve"> p</w:t>
      </w:r>
      <w:r w:rsidR="00FE6868" w:rsidRPr="00DC3DDA">
        <w:rPr>
          <w:rStyle w:val="Siln"/>
          <w:b w:val="0"/>
          <w:bCs w:val="0"/>
        </w:rPr>
        <w:t>odnikatelsk</w:t>
      </w:r>
      <w:r w:rsidRPr="00DC3DDA">
        <w:rPr>
          <w:rStyle w:val="Siln"/>
          <w:b w:val="0"/>
          <w:bCs w:val="0"/>
        </w:rPr>
        <w:t>ých</w:t>
      </w:r>
      <w:r w:rsidR="00FE6868" w:rsidRPr="00DC3DDA">
        <w:rPr>
          <w:rStyle w:val="Siln"/>
          <w:b w:val="0"/>
          <w:bCs w:val="0"/>
        </w:rPr>
        <w:t xml:space="preserve"> inkubátor</w:t>
      </w:r>
      <w:r w:rsidRPr="00DC3DDA">
        <w:rPr>
          <w:rStyle w:val="Siln"/>
          <w:b w:val="0"/>
          <w:bCs w:val="0"/>
        </w:rPr>
        <w:t>ů</w:t>
      </w:r>
      <w:r w:rsidR="00FE6868" w:rsidRPr="00DC3DDA">
        <w:rPr>
          <w:rStyle w:val="Siln"/>
          <w:b w:val="0"/>
          <w:bCs w:val="0"/>
        </w:rPr>
        <w:t xml:space="preserve"> a akcelerátor</w:t>
      </w:r>
      <w:r w:rsidRPr="00DC3DDA">
        <w:rPr>
          <w:rStyle w:val="Siln"/>
          <w:b w:val="0"/>
          <w:bCs w:val="0"/>
        </w:rPr>
        <w:t>ů</w:t>
      </w:r>
      <w:r w:rsidR="00FE6868" w:rsidRPr="00DC3DDA">
        <w:rPr>
          <w:rStyle w:val="Siln"/>
          <w:b w:val="0"/>
          <w:bCs w:val="0"/>
        </w:rPr>
        <w:t xml:space="preserve"> </w:t>
      </w:r>
      <w:r w:rsidR="00FE6868" w:rsidRPr="00DC3DDA">
        <w:t>na univerzitách.</w:t>
      </w:r>
    </w:p>
    <w:p w14:paraId="683CA2A5" w14:textId="515D8512" w:rsidR="00FE6868" w:rsidRPr="00DC3DDA" w:rsidRDefault="00FE6868" w:rsidP="00DC3DDA">
      <w:pPr>
        <w:pStyle w:val="HSpodbod"/>
      </w:pPr>
      <w:r w:rsidRPr="00DC3DDA">
        <w:t xml:space="preserve">Podporovat </w:t>
      </w:r>
      <w:r w:rsidR="00AB2F50" w:rsidRPr="00DC3DDA">
        <w:t>zahraniční praxe, stáže, výměnné pobyty studentů.</w:t>
      </w:r>
    </w:p>
    <w:p w14:paraId="0708EA1D" w14:textId="0A56E722" w:rsidR="00FE6868" w:rsidRPr="00DC3DDA" w:rsidRDefault="00FE6868" w:rsidP="00DC3DDA">
      <w:pPr>
        <w:pStyle w:val="HSpodbod"/>
      </w:pPr>
      <w:r w:rsidRPr="00DC3DDA">
        <w:t>Vypsat stipendijní programy pro talentované zahraniční studenty a učitele v Česku a současně podpořit české studenty na špičkových zahraničních univerzitách</w:t>
      </w:r>
      <w:r w:rsidR="00EA1C7D">
        <w:t xml:space="preserve"> k </w:t>
      </w:r>
      <w:r w:rsidRPr="00DC3DDA">
        <w:t>návratu do</w:t>
      </w:r>
      <w:r w:rsidR="00127B36">
        <w:t>mů</w:t>
      </w:r>
      <w:r w:rsidRPr="00DC3DDA">
        <w:t>.</w:t>
      </w:r>
    </w:p>
    <w:p w14:paraId="6A6A3582" w14:textId="77777777" w:rsidR="00AB2F50" w:rsidRPr="00DC3DDA" w:rsidRDefault="00AB2F50" w:rsidP="00DC3DDA">
      <w:pPr>
        <w:pStyle w:val="HSpodbod"/>
      </w:pPr>
      <w:r w:rsidRPr="00DC3DDA">
        <w:t>Podporovat účast v mezinárodních podnikatelských a technologických soutěžích.</w:t>
      </w:r>
    </w:p>
    <w:p w14:paraId="7C0A0FA8" w14:textId="73E65A05" w:rsidR="00FE6868" w:rsidRPr="00DC3DDA" w:rsidRDefault="00FE6868" w:rsidP="00DC3DDA">
      <w:pPr>
        <w:pStyle w:val="HSpodbod"/>
      </w:pPr>
      <w:r w:rsidRPr="00DC3DDA">
        <w:rPr>
          <w:rStyle w:val="Siln"/>
          <w:b w:val="0"/>
          <w:bCs w:val="0"/>
        </w:rPr>
        <w:t>Zavést start-up víza</w:t>
      </w:r>
      <w:r w:rsidRPr="00DC3DDA">
        <w:t>, speciální vízové programy pro zahraniční podnikatele, kteří chtějí založit své firmy v</w:t>
      </w:r>
      <w:r w:rsidR="00AF55AB" w:rsidRPr="00DC3DDA">
        <w:t> </w:t>
      </w:r>
      <w:r w:rsidRPr="00DC3DDA">
        <w:t>České republice, pro usnadnění jejich vstupu a pobytu, vč. jejich rodin.</w:t>
      </w:r>
    </w:p>
    <w:p w14:paraId="1BBDCEFC" w14:textId="2C4EA46F" w:rsidR="004D235A" w:rsidRPr="00DC3DDA" w:rsidRDefault="00FE6868" w:rsidP="00DC3DDA">
      <w:pPr>
        <w:pStyle w:val="HSpodbod"/>
      </w:pPr>
      <w:r w:rsidRPr="00DC3DDA">
        <w:t>V rámci exportní strategie podpořit především začínající české podnikatele a start-upy na mezinárodní scéně; a propagovat úspěšné projekty.</w:t>
      </w:r>
    </w:p>
    <w:p w14:paraId="0BDF7645" w14:textId="1891300C" w:rsidR="00FE6868" w:rsidRDefault="00FB1F1A" w:rsidP="003B03D1">
      <w:pPr>
        <w:pStyle w:val="HSNadpisIII3"/>
      </w:pPr>
      <w:bookmarkStart w:id="65" w:name="_Toc174703085"/>
      <w:r>
        <w:t>Pokročilé t</w:t>
      </w:r>
      <w:r w:rsidR="00FE6868">
        <w:t>echnologie</w:t>
      </w:r>
      <w:bookmarkEnd w:id="65"/>
    </w:p>
    <w:p w14:paraId="338859F0" w14:textId="77777777" w:rsidR="00FE6868" w:rsidRDefault="00FE6868" w:rsidP="00FE6868">
      <w:r w:rsidRPr="007D6486">
        <w:t>Zelené a digitální technologie jsou klíčové pro udržitelný rozvoj a hospodářskou konkurenceschopnost. Podpora jejich rozvoje je nezbytná pro plnění klimatických cílů EU a pro posílení digitální transformace, která je základním kamenem moderní ekonomiky. Zelené technologie přispívají ke snížení emisí skleníkových plynů, zlepšení energetické účinnosti a ochraně životního prostředí. Digitální technologie zase podporují inovace, zvyšují produktivitu a umožňují nové obchodní modely a služby.</w:t>
      </w:r>
    </w:p>
    <w:p w14:paraId="10EF1CF7" w14:textId="14E56165" w:rsidR="00FE6868" w:rsidRDefault="00FE6868" w:rsidP="00FE6868">
      <w:r>
        <w:t xml:space="preserve">Evropská unie ve svých aktuálních strategických dokumentech definovala jako klíčový </w:t>
      </w:r>
      <w:r w:rsidRPr="00527E2D">
        <w:t xml:space="preserve">cíl posílit </w:t>
      </w:r>
      <w:r w:rsidR="00BA77B7">
        <w:t xml:space="preserve">otevřenou </w:t>
      </w:r>
      <w:r w:rsidRPr="00527E2D">
        <w:t xml:space="preserve">strategickou autonomii a snížit strategickou závislost evropského průmyslu na třetích zemích podporou zavádění </w:t>
      </w:r>
      <w:r>
        <w:t xml:space="preserve">zelených, </w:t>
      </w:r>
      <w:r w:rsidRPr="00527E2D">
        <w:t xml:space="preserve">digitálních </w:t>
      </w:r>
      <w:r>
        <w:t xml:space="preserve">a </w:t>
      </w:r>
      <w:proofErr w:type="spellStart"/>
      <w:r>
        <w:t>deep</w:t>
      </w:r>
      <w:proofErr w:type="spellEnd"/>
      <w:r>
        <w:t>-tech inovací</w:t>
      </w:r>
      <w:r w:rsidR="00A62175">
        <w:t xml:space="preserve">, tj. </w:t>
      </w:r>
      <w:r w:rsidR="00A62175" w:rsidRPr="00A62175">
        <w:t>inovací, které vyžadují průlomový výzkum a vývoj a velké kapitálové investice</w:t>
      </w:r>
      <w:r>
        <w:t>. P</w:t>
      </w:r>
      <w:r w:rsidRPr="00527E2D">
        <w:t>odpora</w:t>
      </w:r>
      <w:r>
        <w:t xml:space="preserve"> těchto oblastí by měla přispět </w:t>
      </w:r>
      <w:r w:rsidR="008660E3">
        <w:t xml:space="preserve">k </w:t>
      </w:r>
      <w:r w:rsidRPr="00527E2D">
        <w:t>posí</w:t>
      </w:r>
      <w:r>
        <w:t xml:space="preserve">lení </w:t>
      </w:r>
      <w:r w:rsidR="00BA77B7">
        <w:t xml:space="preserve">ekonomické </w:t>
      </w:r>
      <w:r w:rsidRPr="00527E2D">
        <w:t>bezpečnosti a suverenity</w:t>
      </w:r>
      <w:r>
        <w:t xml:space="preserve">. </w:t>
      </w:r>
    </w:p>
    <w:p w14:paraId="4036DBDD" w14:textId="0B2994A2" w:rsidR="00FE6868" w:rsidRDefault="00FE6868" w:rsidP="00FE6868">
      <w:r>
        <w:t xml:space="preserve">Cílem této části strategie je prezentovat hlavní tematické okruhy, do kterých by měly být směřovány </w:t>
      </w:r>
      <w:r w:rsidRPr="00527E2D">
        <w:t>investice</w:t>
      </w:r>
      <w:r>
        <w:t xml:space="preserve">. V těchto oblastech by měl být podpořen </w:t>
      </w:r>
      <w:r w:rsidR="007758E6">
        <w:t>výzkum, vývoj, inovace</w:t>
      </w:r>
      <w:r w:rsidR="007758E6" w:rsidDel="007758E6">
        <w:t xml:space="preserve"> </w:t>
      </w:r>
      <w:r>
        <w:t>nebo výroba kritických technologií a ochrana a</w:t>
      </w:r>
      <w:r w:rsidR="00565483">
        <w:t> </w:t>
      </w:r>
      <w:r>
        <w:t>posílení příslušných dodavatelských řetězců. V těchto oblastech bude zároveň nezbytné podpořit řešení nedostatku pracovních sil a dovedností, které jsou kritické pro všechny druhy kvalitních pracovních míst, zejména prostřednictvím projektů celoživotního učení, vzdělávání a odborné přípravy.</w:t>
      </w:r>
    </w:p>
    <w:p w14:paraId="4679300B" w14:textId="68CAAB2D" w:rsidR="00E11439" w:rsidRPr="00E11439" w:rsidRDefault="00CD427C" w:rsidP="00E11439">
      <w:pPr>
        <w:pStyle w:val="HSNadpis4bezslovn"/>
      </w:pPr>
      <w:r>
        <w:t>Strategický</w:t>
      </w:r>
      <w:r w:rsidR="00E11439" w:rsidRPr="006C2504">
        <w:t xml:space="preserve"> </w:t>
      </w:r>
      <w:r w:rsidR="00E11439">
        <w:t>cíl</w:t>
      </w:r>
      <w:r w:rsidR="00E11439" w:rsidRPr="006C2504">
        <w:t>:</w:t>
      </w:r>
    </w:p>
    <w:p w14:paraId="18C23584" w14:textId="075F63F7" w:rsidR="00E11439" w:rsidRPr="00CD427C" w:rsidRDefault="007B1002" w:rsidP="00CD427C">
      <w:pPr>
        <w:pStyle w:val="HSpodbod"/>
      </w:pPr>
      <w:r w:rsidRPr="00CD427C">
        <w:t>Rozvíjet HTEC high-tech průmysl a služby náročné na znalosti</w:t>
      </w:r>
      <w:r w:rsidR="007633AA">
        <w:t>.</w:t>
      </w:r>
    </w:p>
    <w:p w14:paraId="6D8BC93D" w14:textId="77777777" w:rsidR="00E11439" w:rsidRPr="00CD427C" w:rsidRDefault="00E11439" w:rsidP="00CD427C">
      <w:pPr>
        <w:pStyle w:val="HSpodbod"/>
        <w:numPr>
          <w:ilvl w:val="0"/>
          <w:numId w:val="0"/>
        </w:numPr>
        <w:ind w:left="360"/>
      </w:pPr>
      <w:r w:rsidRPr="00CD427C">
        <w:t>Ukazatel: Podíl obchodu se špičkovými technologiemi</w:t>
      </w:r>
    </w:p>
    <w:p w14:paraId="139D869A" w14:textId="23CF6350" w:rsidR="00FE6868" w:rsidRDefault="00FE6868" w:rsidP="003C3221">
      <w:pPr>
        <w:pStyle w:val="HSNadpis4bezslovn"/>
      </w:pPr>
      <w:r w:rsidRPr="006C2504">
        <w:t>Hlavní opatření:</w:t>
      </w:r>
    </w:p>
    <w:p w14:paraId="76395FC3" w14:textId="376A961E" w:rsidR="00FE6868" w:rsidRPr="00060C64" w:rsidRDefault="00FE6868" w:rsidP="00511D1D">
      <w:pPr>
        <w:pStyle w:val="HSpodbod"/>
      </w:pPr>
      <w:r w:rsidRPr="00060C64">
        <w:t xml:space="preserve">Nasměrovat stávající finanční prostředky v jednotlivých programech na včasnou a cílenou podporu kritických technologií; aktivně k tomu využít programy </w:t>
      </w:r>
      <w:proofErr w:type="spellStart"/>
      <w:r w:rsidRPr="00060C64">
        <w:t>InvestEU</w:t>
      </w:r>
      <w:proofErr w:type="spellEnd"/>
      <w:r w:rsidRPr="00060C64">
        <w:t xml:space="preserve">, Horizont Evropa, Evropský obranný fond, Inovační fond, EU4Health, program Digitální Evropa, EFRR, ESF+, FST, </w:t>
      </w:r>
      <w:r w:rsidR="007758E6">
        <w:t xml:space="preserve">Nástroj pro propojení Evropy (CEF), </w:t>
      </w:r>
      <w:r w:rsidRPr="00060C64">
        <w:t>Nástroj pro oživení a odolnost.</w:t>
      </w:r>
    </w:p>
    <w:p w14:paraId="121BADCF" w14:textId="33CDB764" w:rsidR="00511D1D" w:rsidRPr="00060C64" w:rsidRDefault="00FE6868" w:rsidP="00511D1D">
      <w:pPr>
        <w:pStyle w:val="HSpodbod"/>
      </w:pPr>
      <w:r w:rsidRPr="00060C64">
        <w:t xml:space="preserve">Zaměřit podporu na následující technologické oblasti, které přispějí </w:t>
      </w:r>
      <w:r w:rsidR="00F9673A">
        <w:t xml:space="preserve">k </w:t>
      </w:r>
      <w:r w:rsidRPr="00060C64">
        <w:t>zelené a digitální transformaci ekonomiky:</w:t>
      </w:r>
    </w:p>
    <w:p w14:paraId="32BAAA6D" w14:textId="77777777" w:rsidR="00234DD5" w:rsidRPr="003B3F77" w:rsidRDefault="00234DD5" w:rsidP="00234DD5">
      <w:pPr>
        <w:pStyle w:val="HSNadpis5bezslovnPODTRENO"/>
        <w:ind w:left="360"/>
      </w:pPr>
      <w:r w:rsidRPr="003B3F77">
        <w:t>Čisté a udržitelné technologie</w:t>
      </w:r>
    </w:p>
    <w:p w14:paraId="3E28D890" w14:textId="77777777" w:rsidR="00234DD5" w:rsidRPr="00261EE1" w:rsidRDefault="00234DD5" w:rsidP="00234DD5">
      <w:pPr>
        <w:pStyle w:val="HSNadpis5bezslovn"/>
        <w:ind w:left="360"/>
      </w:pPr>
      <w:r w:rsidRPr="00261EE1">
        <w:t>Obnovitelné zdroje a inovace ve výrobě energie</w:t>
      </w:r>
    </w:p>
    <w:p w14:paraId="4008D24C" w14:textId="77777777" w:rsidR="00234DD5" w:rsidRPr="00B21930" w:rsidRDefault="00234DD5" w:rsidP="00234DD5">
      <w:pPr>
        <w:pStyle w:val="HSNormln3"/>
        <w:ind w:left="360"/>
      </w:pPr>
      <w:r w:rsidRPr="00B21930">
        <w:t>Solární technologie</w:t>
      </w:r>
    </w:p>
    <w:p w14:paraId="2D787A1D" w14:textId="0F0DDF95" w:rsidR="00234DD5" w:rsidRPr="00B21930" w:rsidRDefault="00234DD5" w:rsidP="00234DD5">
      <w:pPr>
        <w:pStyle w:val="HSNormln3"/>
        <w:ind w:left="360"/>
      </w:pPr>
      <w:r w:rsidRPr="00B21930">
        <w:t>Technologie pro výrobu větrné energie z obnovitelných zdrojů</w:t>
      </w:r>
    </w:p>
    <w:p w14:paraId="01F16F79" w14:textId="77777777" w:rsidR="00234DD5" w:rsidRPr="00B21930" w:rsidRDefault="00234DD5" w:rsidP="00234DD5">
      <w:pPr>
        <w:pStyle w:val="HSNormln3"/>
        <w:ind w:left="360"/>
      </w:pPr>
      <w:r w:rsidRPr="00B21930">
        <w:t>Technologie pro tepelná čerpadla a pro využití geotermální energie</w:t>
      </w:r>
    </w:p>
    <w:p w14:paraId="264E2CA1" w14:textId="77777777" w:rsidR="00234DD5" w:rsidRPr="00B21930" w:rsidRDefault="00234DD5" w:rsidP="00234DD5">
      <w:pPr>
        <w:pStyle w:val="HSNormln3"/>
        <w:ind w:left="360"/>
      </w:pPr>
      <w:r w:rsidRPr="00B21930">
        <w:t>Technologie v oblasti energie z jaderného štěpení</w:t>
      </w:r>
    </w:p>
    <w:p w14:paraId="2012F4C2" w14:textId="77777777" w:rsidR="00234DD5" w:rsidRPr="00B21930" w:rsidRDefault="00234DD5" w:rsidP="00234DD5">
      <w:pPr>
        <w:pStyle w:val="HSNormln3"/>
        <w:ind w:left="360"/>
      </w:pPr>
      <w:r w:rsidRPr="00B21930">
        <w:t>Technologie v oblasti hydroelektrické energie</w:t>
      </w:r>
    </w:p>
    <w:p w14:paraId="12447FE9" w14:textId="77777777" w:rsidR="00234DD5" w:rsidRPr="00B21930" w:rsidRDefault="00234DD5" w:rsidP="00234DD5">
      <w:pPr>
        <w:pStyle w:val="HSNormln3"/>
        <w:ind w:left="360"/>
      </w:pPr>
      <w:r w:rsidRPr="00B21930">
        <w:t>Technologie v oblasti energie z jiných obnovitelných zdrojů</w:t>
      </w:r>
    </w:p>
    <w:p w14:paraId="68EBC16B" w14:textId="77777777" w:rsidR="00234DD5" w:rsidRPr="0059791D" w:rsidRDefault="00234DD5" w:rsidP="00234DD5">
      <w:pPr>
        <w:pStyle w:val="HSNormln3"/>
        <w:ind w:left="360"/>
      </w:pPr>
      <w:r w:rsidRPr="0059791D">
        <w:t>Malé a střední modulární reaktory a jiné pokročilé jaderné technologie</w:t>
      </w:r>
    </w:p>
    <w:p w14:paraId="2EBDB8C7" w14:textId="77777777" w:rsidR="00234DD5" w:rsidRPr="006D5D6D" w:rsidRDefault="00234DD5" w:rsidP="00234DD5">
      <w:pPr>
        <w:pStyle w:val="HSNadpis5bezslovn"/>
        <w:ind w:left="360"/>
      </w:pPr>
      <w:r w:rsidRPr="006D5D6D">
        <w:lastRenderedPageBreak/>
        <w:t>Efektivní ukládání, přenos a distribuce energie</w:t>
      </w:r>
    </w:p>
    <w:p w14:paraId="3F667A04" w14:textId="77777777" w:rsidR="00234DD5" w:rsidRPr="00BB5751" w:rsidRDefault="00234DD5" w:rsidP="00234DD5">
      <w:pPr>
        <w:pStyle w:val="HSNormln3"/>
        <w:ind w:left="360"/>
      </w:pPr>
      <w:r w:rsidRPr="00B21930">
        <w:t>Bateriové technolo</w:t>
      </w:r>
      <w:r w:rsidRPr="00BB5751">
        <w:t>gie a technologie pro ukládání energie</w:t>
      </w:r>
    </w:p>
    <w:p w14:paraId="5963CF7B" w14:textId="77777777" w:rsidR="00234DD5" w:rsidRPr="00BB5751" w:rsidRDefault="00234DD5" w:rsidP="00234DD5">
      <w:pPr>
        <w:pStyle w:val="HSNormln3"/>
        <w:ind w:left="360"/>
      </w:pPr>
      <w:r w:rsidRPr="00BB5751">
        <w:t>Technologie v oblasti elektrizačních soustav</w:t>
      </w:r>
    </w:p>
    <w:p w14:paraId="651B8E54" w14:textId="77777777" w:rsidR="00234DD5" w:rsidRPr="006D5D6D" w:rsidRDefault="00234DD5" w:rsidP="00234DD5">
      <w:pPr>
        <w:pStyle w:val="HSNormln3"/>
        <w:ind w:left="360"/>
      </w:pPr>
      <w:r w:rsidRPr="00BB5751">
        <w:t>Technologie v oblas</w:t>
      </w:r>
      <w:r w:rsidRPr="00B21930">
        <w:t>ti energetické účinnosti související s energetickým systémem</w:t>
      </w:r>
    </w:p>
    <w:p w14:paraId="6D3014E3" w14:textId="77777777" w:rsidR="00234DD5" w:rsidRPr="00261EE1" w:rsidRDefault="00234DD5" w:rsidP="00234DD5">
      <w:pPr>
        <w:pStyle w:val="HSNadpis5bezslovn"/>
        <w:ind w:left="360"/>
      </w:pPr>
      <w:r w:rsidRPr="00261EE1">
        <w:t>Alternativní paliva a dekarbonizační technologie</w:t>
      </w:r>
    </w:p>
    <w:p w14:paraId="689E49A4" w14:textId="77777777" w:rsidR="00234DD5" w:rsidRPr="00B21930" w:rsidRDefault="00234DD5" w:rsidP="00234DD5">
      <w:pPr>
        <w:pStyle w:val="HSNormln3"/>
        <w:ind w:left="360"/>
      </w:pPr>
      <w:r w:rsidRPr="00B21930">
        <w:t>Vodíkové technologie</w:t>
      </w:r>
    </w:p>
    <w:p w14:paraId="1B7BF81D" w14:textId="77777777" w:rsidR="00234DD5" w:rsidRPr="00B21930" w:rsidRDefault="00234DD5" w:rsidP="00234DD5">
      <w:pPr>
        <w:pStyle w:val="HSNormln3"/>
        <w:ind w:left="360"/>
      </w:pPr>
      <w:r w:rsidRPr="00B21930">
        <w:t>Technologie udržitelné výroby bioplynu a biometanu</w:t>
      </w:r>
    </w:p>
    <w:p w14:paraId="7DEA3AB6" w14:textId="77777777" w:rsidR="00234DD5" w:rsidRPr="00B21930" w:rsidRDefault="00234DD5" w:rsidP="00234DD5">
      <w:pPr>
        <w:pStyle w:val="HSNormln3"/>
        <w:ind w:left="360"/>
      </w:pPr>
      <w:r w:rsidRPr="00B21930">
        <w:t>Udržitelné technologie v oblasti alternativních paliv</w:t>
      </w:r>
    </w:p>
    <w:p w14:paraId="1DDB5194" w14:textId="77777777" w:rsidR="00234DD5" w:rsidRPr="00B21930" w:rsidRDefault="00234DD5" w:rsidP="00234DD5">
      <w:pPr>
        <w:pStyle w:val="HSNormln3"/>
        <w:ind w:left="360"/>
      </w:pPr>
      <w:r w:rsidRPr="00B21930">
        <w:t>Paliva z obnovitelných zdrojů nebiologického původu</w:t>
      </w:r>
    </w:p>
    <w:p w14:paraId="01D55F2E" w14:textId="77777777" w:rsidR="00234DD5" w:rsidRPr="00B21930" w:rsidRDefault="00234DD5" w:rsidP="00234DD5">
      <w:pPr>
        <w:pStyle w:val="HSNormln3"/>
        <w:ind w:left="360"/>
      </w:pPr>
      <w:r w:rsidRPr="00B21930">
        <w:t>Technologie pro větrný a elektrický pohon v oblasti dopravy</w:t>
      </w:r>
    </w:p>
    <w:p w14:paraId="71B114F7" w14:textId="77777777" w:rsidR="00234DD5" w:rsidRPr="00B21930" w:rsidRDefault="00234DD5" w:rsidP="00234DD5">
      <w:pPr>
        <w:pStyle w:val="HSNormln3"/>
        <w:ind w:left="360"/>
      </w:pPr>
      <w:r w:rsidRPr="00B21930">
        <w:t>Biotechnologická řešení v oblasti klimatu a energetiky</w:t>
      </w:r>
    </w:p>
    <w:p w14:paraId="317E3CD9" w14:textId="77777777" w:rsidR="00234DD5" w:rsidRPr="00B21930" w:rsidRDefault="00234DD5" w:rsidP="00234DD5">
      <w:pPr>
        <w:pStyle w:val="HSNormln3"/>
        <w:ind w:left="360"/>
      </w:pPr>
      <w:r w:rsidRPr="00B21930">
        <w:t>Průlomové průmyslové technologie pro dekarbonizaci</w:t>
      </w:r>
    </w:p>
    <w:p w14:paraId="52F117A3" w14:textId="77777777" w:rsidR="00234DD5" w:rsidRPr="00B21930" w:rsidRDefault="00234DD5" w:rsidP="00234DD5">
      <w:pPr>
        <w:pStyle w:val="HSNormln3"/>
        <w:ind w:left="360"/>
      </w:pPr>
      <w:r w:rsidRPr="00B21930">
        <w:t>Technologie zachycování a ukládání uhlíku</w:t>
      </w:r>
    </w:p>
    <w:p w14:paraId="0624BB02" w14:textId="77777777" w:rsidR="00234DD5" w:rsidRPr="006D5D6D" w:rsidRDefault="00234DD5" w:rsidP="00234DD5">
      <w:pPr>
        <w:pStyle w:val="HSNormln3"/>
        <w:ind w:left="360"/>
      </w:pPr>
      <w:r w:rsidRPr="00B21930">
        <w:t>Technologie v oblasti přepravy a využívání CO</w:t>
      </w:r>
      <w:r>
        <w:rPr>
          <w:rFonts w:cstheme="minorHAnsi"/>
        </w:rPr>
        <w:t>₂</w:t>
      </w:r>
    </w:p>
    <w:p w14:paraId="4A26F9B1" w14:textId="77777777" w:rsidR="00234DD5" w:rsidRPr="003B3F77" w:rsidRDefault="00234DD5" w:rsidP="00234DD5">
      <w:pPr>
        <w:pStyle w:val="HSNadpis5bezslovnPODTRENO"/>
        <w:ind w:left="360"/>
      </w:pPr>
      <w:r w:rsidRPr="003B3F77">
        <w:t>Digitální technologie</w:t>
      </w:r>
    </w:p>
    <w:p w14:paraId="5445DD75" w14:textId="77777777" w:rsidR="00234DD5" w:rsidRPr="00261EE1" w:rsidRDefault="00234DD5" w:rsidP="00234DD5">
      <w:pPr>
        <w:pStyle w:val="HSNadpis5bezslovn"/>
        <w:ind w:left="360"/>
      </w:pPr>
      <w:r>
        <w:t>P</w:t>
      </w:r>
      <w:r w:rsidRPr="00261EE1">
        <w:t>okročilé technologie v oblasti IT a komunikace</w:t>
      </w:r>
    </w:p>
    <w:p w14:paraId="174DA966" w14:textId="77777777" w:rsidR="00234DD5" w:rsidRPr="00B21930" w:rsidRDefault="00234DD5" w:rsidP="00234DD5">
      <w:pPr>
        <w:pStyle w:val="HSNormln3"/>
        <w:ind w:left="360"/>
      </w:pPr>
      <w:r w:rsidRPr="00B21930">
        <w:t>Mikroelektronika</w:t>
      </w:r>
    </w:p>
    <w:p w14:paraId="19686401" w14:textId="77777777" w:rsidR="00234DD5" w:rsidRPr="00B21930" w:rsidRDefault="00234DD5" w:rsidP="00234DD5">
      <w:pPr>
        <w:pStyle w:val="HSNormln3"/>
        <w:ind w:left="360"/>
      </w:pPr>
      <w:r w:rsidRPr="00B21930">
        <w:t>Výpočetní technika vysoké výkonnosti</w:t>
      </w:r>
    </w:p>
    <w:p w14:paraId="54D14BCF" w14:textId="77777777" w:rsidR="00234DD5" w:rsidRPr="00B21930" w:rsidRDefault="00234DD5" w:rsidP="00234DD5">
      <w:pPr>
        <w:pStyle w:val="HSNormln3"/>
        <w:ind w:left="360"/>
      </w:pPr>
      <w:r w:rsidRPr="00B21930">
        <w:t xml:space="preserve">Cloud </w:t>
      </w:r>
      <w:proofErr w:type="spellStart"/>
      <w:r w:rsidRPr="00B21930">
        <w:t>computing</w:t>
      </w:r>
      <w:proofErr w:type="spellEnd"/>
      <w:r>
        <w:t xml:space="preserve"> a datová centra</w:t>
      </w:r>
    </w:p>
    <w:p w14:paraId="7C562F0B" w14:textId="77777777" w:rsidR="00234DD5" w:rsidRPr="006D5D6D" w:rsidRDefault="00234DD5" w:rsidP="00234DD5">
      <w:pPr>
        <w:pStyle w:val="HSNormln3"/>
        <w:ind w:left="360"/>
      </w:pPr>
      <w:r>
        <w:t>P</w:t>
      </w:r>
      <w:r w:rsidRPr="00B21930">
        <w:t>okročilá konektivita</w:t>
      </w:r>
    </w:p>
    <w:p w14:paraId="1157B9F3" w14:textId="77777777" w:rsidR="00234DD5" w:rsidRPr="00261EE1" w:rsidRDefault="00234DD5" w:rsidP="00234DD5">
      <w:pPr>
        <w:pStyle w:val="HSNadpis5bezslovn"/>
        <w:ind w:left="360"/>
      </w:pPr>
      <w:r w:rsidRPr="00261EE1">
        <w:t>Inovativní technologie v oblasti umělé inteligence a kybernetické bezpečnosti</w:t>
      </w:r>
    </w:p>
    <w:p w14:paraId="6D8569FA" w14:textId="77777777" w:rsidR="00234DD5" w:rsidRPr="00B21930" w:rsidRDefault="00234DD5" w:rsidP="00234DD5">
      <w:pPr>
        <w:pStyle w:val="HSNormln3"/>
        <w:ind w:left="360"/>
      </w:pPr>
      <w:r w:rsidRPr="00B21930">
        <w:t>Umělá inteligence</w:t>
      </w:r>
    </w:p>
    <w:p w14:paraId="323F9FB2" w14:textId="77777777" w:rsidR="00234DD5" w:rsidRPr="00B21930" w:rsidRDefault="00234DD5" w:rsidP="00234DD5">
      <w:pPr>
        <w:pStyle w:val="HSNormln3"/>
        <w:ind w:left="360"/>
      </w:pPr>
      <w:r w:rsidRPr="00B21930">
        <w:t>Kybernetická bezpečnost</w:t>
      </w:r>
    </w:p>
    <w:p w14:paraId="4DDE3D84" w14:textId="77777777" w:rsidR="00234DD5" w:rsidRPr="006D5D6D" w:rsidRDefault="00234DD5" w:rsidP="00234DD5">
      <w:pPr>
        <w:pStyle w:val="HSNormln3"/>
        <w:ind w:left="360"/>
      </w:pPr>
      <w:r w:rsidRPr="00B21930">
        <w:t>Robotika</w:t>
      </w:r>
    </w:p>
    <w:p w14:paraId="61EAC03A" w14:textId="22471313" w:rsidR="00234DD5" w:rsidRPr="00261EE1" w:rsidRDefault="00234DD5" w:rsidP="00234DD5">
      <w:pPr>
        <w:pStyle w:val="HSNadpis5bezslovn"/>
        <w:ind w:left="360"/>
      </w:pPr>
      <w:r w:rsidRPr="00261EE1">
        <w:t xml:space="preserve">Rozvoj kvantových a </w:t>
      </w:r>
      <w:r w:rsidR="007758E6" w:rsidRPr="00261EE1">
        <w:t>perif</w:t>
      </w:r>
      <w:r w:rsidR="007758E6">
        <w:t>erních</w:t>
      </w:r>
      <w:r w:rsidR="007758E6" w:rsidRPr="00261EE1">
        <w:t xml:space="preserve"> </w:t>
      </w:r>
      <w:r w:rsidRPr="00261EE1">
        <w:t>technologií</w:t>
      </w:r>
    </w:p>
    <w:p w14:paraId="05DD51A8" w14:textId="77777777" w:rsidR="00234DD5" w:rsidRPr="00257367" w:rsidRDefault="00234DD5" w:rsidP="00234DD5">
      <w:pPr>
        <w:pStyle w:val="HSNormln3"/>
        <w:ind w:left="360"/>
      </w:pPr>
      <w:proofErr w:type="spellStart"/>
      <w:r w:rsidRPr="00257367">
        <w:t>Quantum</w:t>
      </w:r>
      <w:proofErr w:type="spellEnd"/>
      <w:r w:rsidRPr="00257367">
        <w:t xml:space="preserve"> </w:t>
      </w:r>
      <w:proofErr w:type="spellStart"/>
      <w:r w:rsidRPr="00257367">
        <w:t>computing</w:t>
      </w:r>
      <w:proofErr w:type="spellEnd"/>
    </w:p>
    <w:p w14:paraId="169252AE" w14:textId="77777777" w:rsidR="00234DD5" w:rsidRPr="00257367" w:rsidRDefault="00234DD5" w:rsidP="00234DD5">
      <w:pPr>
        <w:pStyle w:val="HSNormln3"/>
        <w:ind w:left="360"/>
      </w:pPr>
      <w:proofErr w:type="spellStart"/>
      <w:r w:rsidRPr="00257367">
        <w:t>Edge</w:t>
      </w:r>
      <w:proofErr w:type="spellEnd"/>
      <w:r w:rsidRPr="00257367">
        <w:t xml:space="preserve"> </w:t>
      </w:r>
      <w:proofErr w:type="spellStart"/>
      <w:r w:rsidRPr="00257367">
        <w:t>computing</w:t>
      </w:r>
      <w:proofErr w:type="spellEnd"/>
    </w:p>
    <w:p w14:paraId="067A9CFB" w14:textId="23F022DA" w:rsidR="00234DD5" w:rsidRPr="00257367" w:rsidRDefault="00234DD5" w:rsidP="00234DD5">
      <w:pPr>
        <w:pStyle w:val="HSNormln3"/>
        <w:ind w:left="360"/>
      </w:pPr>
      <w:r w:rsidRPr="00257367">
        <w:t xml:space="preserve">Virtuální </w:t>
      </w:r>
      <w:r w:rsidR="007758E6">
        <w:t xml:space="preserve">a rozšířená </w:t>
      </w:r>
      <w:r w:rsidRPr="00257367">
        <w:t>realit</w:t>
      </w:r>
      <w:r>
        <w:t>a</w:t>
      </w:r>
    </w:p>
    <w:p w14:paraId="5E6EE886" w14:textId="477764F0" w:rsidR="00FE6868" w:rsidRPr="00234DD5" w:rsidRDefault="007758E6">
      <w:pPr>
        <w:ind w:left="360"/>
        <w:rPr>
          <w:szCs w:val="20"/>
        </w:rPr>
      </w:pPr>
      <w:r>
        <w:t>H</w:t>
      </w:r>
      <w:r w:rsidR="00234DD5" w:rsidRPr="00257367">
        <w:t>lubok</w:t>
      </w:r>
      <w:r>
        <w:t>é</w:t>
      </w:r>
      <w:r w:rsidR="00234DD5" w:rsidRPr="00257367">
        <w:t xml:space="preserve"> a digitální technologie pro vývoj obranných aplikací</w:t>
      </w:r>
    </w:p>
    <w:p w14:paraId="6B3A3E0E" w14:textId="120C012C" w:rsidR="009D4661" w:rsidRDefault="00FE6868" w:rsidP="00C00B8F">
      <w:pPr>
        <w:pStyle w:val="HSNadpisIII3"/>
      </w:pPr>
      <w:bookmarkStart w:id="66" w:name="_Toc174703086"/>
      <w:r>
        <w:t>Strategická odvětví</w:t>
      </w:r>
      <w:bookmarkEnd w:id="66"/>
    </w:p>
    <w:p w14:paraId="0A2FAEDB" w14:textId="799AD8C7" w:rsidR="00FE6868" w:rsidRDefault="00FE6868" w:rsidP="00511D1D">
      <w:r>
        <w:t xml:space="preserve">Výrobní faktory, práce a kapitál, se alokují podle principu komparativních výhod. Ekonomiky se dle tohoto principu přizpůsobují produkci těch statků, u kterých mají komparativní výhodu z hlediska výrobních faktorů, geografické pozice a úrovně institucionálního prostředí. Struktura každé ekonomiky tak do značné míry odpovídá tomu, jaké jsou její podmínky odpovídající těmto komparativním výhodám. </w:t>
      </w:r>
      <w:r w:rsidR="00511737">
        <w:t xml:space="preserve">Implementace Průmyslu 4.0 a pokročilých výrobních technologií je nezbytná pro zvýšení produktivity a kvality. </w:t>
      </w:r>
      <w:r>
        <w:t>Ovlivnit strukturu ekonomiky nasměrováním investic do určitých odvětví lze jen omezeně. Přesto v dlouhém období může rozumná investiční aktivita podpořit hospodářskou orientaci země na produkci s vysokou přidanou hodnotou a připravit ekonomiku na budoucí výzvy.</w:t>
      </w:r>
      <w:r w:rsidR="00511737">
        <w:t xml:space="preserve"> </w:t>
      </w:r>
    </w:p>
    <w:p w14:paraId="6253B38A" w14:textId="3122C9D1" w:rsidR="00FE6868" w:rsidRPr="00190EBC" w:rsidRDefault="00FE6868" w:rsidP="00511D1D">
      <w:r w:rsidRPr="00190EBC">
        <w:t>Hospodářská strategie</w:t>
      </w:r>
      <w:r w:rsidR="00B367AE">
        <w:t xml:space="preserve"> reflektuje probíhající globální trendy, které jsou ovlivněny politickými preferencemi.</w:t>
      </w:r>
      <w:r w:rsidRPr="00190EBC">
        <w:t xml:space="preserve"> </w:t>
      </w:r>
      <w:r w:rsidR="00B367AE">
        <w:t xml:space="preserve">Z tohoto důvodu jsou stanovena vybraná strategická odvětví s vysokou přidanou hodnotou, i když výběr může být </w:t>
      </w:r>
      <w:r>
        <w:t>problematick</w:t>
      </w:r>
      <w:r w:rsidR="00B367AE">
        <w:t>ý</w:t>
      </w:r>
      <w:r>
        <w:t xml:space="preserve"> z několika pohledů:</w:t>
      </w:r>
    </w:p>
    <w:p w14:paraId="401BA6E0" w14:textId="77777777" w:rsidR="00FE6868" w:rsidRPr="00190EBC" w:rsidRDefault="00FE6868" w:rsidP="00611088">
      <w:pPr>
        <w:pStyle w:val="HSpodbod"/>
        <w:spacing w:line="240" w:lineRule="auto"/>
      </w:pPr>
      <w:r w:rsidRPr="00190EBC">
        <w:t>(ne)dodržení rovného přístupu (zacházení);</w:t>
      </w:r>
    </w:p>
    <w:p w14:paraId="2028791B" w14:textId="1EA52827" w:rsidR="00B367AE" w:rsidRPr="00190EBC" w:rsidRDefault="00B367AE" w:rsidP="00611088">
      <w:pPr>
        <w:pStyle w:val="HSpodbod"/>
        <w:spacing w:line="240" w:lineRule="auto"/>
      </w:pPr>
      <w:r>
        <w:t xml:space="preserve">skutečnost, že i v rámci jednoho odvětví </w:t>
      </w:r>
      <w:r w:rsidR="00FF3BDA">
        <w:t>existují firmy s výrazně odlišnou výkonností;</w:t>
      </w:r>
    </w:p>
    <w:p w14:paraId="768A967F" w14:textId="77777777" w:rsidR="00FE6868" w:rsidRPr="00190EBC" w:rsidRDefault="00FE6868" w:rsidP="00611088">
      <w:pPr>
        <w:pStyle w:val="HSpodbod"/>
        <w:spacing w:line="240" w:lineRule="auto"/>
      </w:pPr>
      <w:r w:rsidRPr="00190EBC">
        <w:t>nebezpečí nežádoucího „dobývání renty“ a z toho vyplývající riziko zachovávání neefektivních výrob s negativním dopadem na spotřebitele;</w:t>
      </w:r>
    </w:p>
    <w:p w14:paraId="3DBC7F25" w14:textId="77777777" w:rsidR="00FE6868" w:rsidRPr="00190EBC" w:rsidRDefault="00FE6868" w:rsidP="00611088">
      <w:pPr>
        <w:pStyle w:val="HSpodbod"/>
        <w:spacing w:line="240" w:lineRule="auto"/>
      </w:pPr>
      <w:r w:rsidRPr="00190EBC">
        <w:lastRenderedPageBreak/>
        <w:t>morální hazard;</w:t>
      </w:r>
    </w:p>
    <w:p w14:paraId="036695C6" w14:textId="5BBFB660" w:rsidR="00FE6868" w:rsidRDefault="00FE6868" w:rsidP="00611088">
      <w:pPr>
        <w:pStyle w:val="HSpodbod"/>
        <w:spacing w:after="120" w:line="240" w:lineRule="auto"/>
      </w:pPr>
      <w:r w:rsidRPr="00190EBC">
        <w:t>snaha</w:t>
      </w:r>
      <w:r>
        <w:t xml:space="preserve"> a dlouhodobá politika České republiky</w:t>
      </w:r>
      <w:r w:rsidRPr="00190EBC">
        <w:t xml:space="preserve"> o prosazování rovných podmínek na mezinárodním poli jako prevence vzniku dotačních závodů</w:t>
      </w:r>
      <w:r>
        <w:t>.</w:t>
      </w:r>
    </w:p>
    <w:p w14:paraId="06A68982" w14:textId="792642E3" w:rsidR="00FE6868" w:rsidRDefault="00FE6868" w:rsidP="00C356F5">
      <w:r w:rsidRPr="008F0249">
        <w:rPr>
          <w:b/>
          <w:bCs/>
        </w:rPr>
        <w:t>Dekarbonizace ekonomiky</w:t>
      </w:r>
      <w:r>
        <w:t xml:space="preserve"> však představuje zásadní změnu nejen pro oblast spotřeby energií a fungování celého energetického systému, ale má rovněž zásadní dopady do </w:t>
      </w:r>
      <w:r w:rsidR="00E273B0">
        <w:t xml:space="preserve">výrobních </w:t>
      </w:r>
      <w:r>
        <w:t>odvětví.</w:t>
      </w:r>
      <w:r w:rsidR="00AE5E28">
        <w:t xml:space="preserve"> </w:t>
      </w:r>
      <w:r>
        <w:t xml:space="preserve">Česká republika je zemí s významnou rolí </w:t>
      </w:r>
      <w:r w:rsidRPr="00E659FD">
        <w:rPr>
          <w:b/>
          <w:bCs/>
        </w:rPr>
        <w:t>automobilového průmyslu</w:t>
      </w:r>
      <w:r>
        <w:t>. Má v něm silné kompetence a komparativní výhody. Současný výrobní model celého odvětví projde značnými proměnami. Cílem státu je vytvořit podmínky pro hladký přechod tuzemského průmyslu na čistou mobilitu. Ob</w:t>
      </w:r>
      <w:r w:rsidR="00F9673A">
        <w:t>last</w:t>
      </w:r>
      <w:r>
        <w:t xml:space="preserve"> </w:t>
      </w:r>
      <w:r w:rsidRPr="00E659FD">
        <w:rPr>
          <w:b/>
          <w:bCs/>
        </w:rPr>
        <w:t>čisté mobility</w:t>
      </w:r>
      <w:r>
        <w:t xml:space="preserve"> je z tohoto důvodu považován za strategické odvětví nikoliv jen z pohledu dopravního, ale i z pohledu průmyslového. Česká republika je připravena aktivně podpořit rozvoj průmyslového ekosystému zaměřeného na rozvoj průmyslu, technologií, služeb a aplikací v oblasti čisté mobility.</w:t>
      </w:r>
    </w:p>
    <w:p w14:paraId="6B15565B" w14:textId="04B17623" w:rsidR="007B1002" w:rsidRDefault="00FE6868" w:rsidP="00C356F5">
      <w:r w:rsidRPr="000B5314">
        <w:t xml:space="preserve">Další zásadní výzvou pro hospodářství nejen </w:t>
      </w:r>
      <w:r w:rsidR="008660E3" w:rsidRPr="000B5314">
        <w:t>Č</w:t>
      </w:r>
      <w:r w:rsidRPr="000B5314">
        <w:t>eské republiky je</w:t>
      </w:r>
      <w:r w:rsidR="00BA77B7" w:rsidRPr="000B5314">
        <w:t xml:space="preserve"> zajištění</w:t>
      </w:r>
      <w:r w:rsidRPr="000B5314">
        <w:t xml:space="preserve"> </w:t>
      </w:r>
      <w:r w:rsidRPr="000B5314">
        <w:rPr>
          <w:b/>
          <w:bCs/>
        </w:rPr>
        <w:t>ekonomick</w:t>
      </w:r>
      <w:r w:rsidR="00BA77B7" w:rsidRPr="000B5314">
        <w:rPr>
          <w:b/>
          <w:bCs/>
        </w:rPr>
        <w:t>é</w:t>
      </w:r>
      <w:r w:rsidRPr="000B5314">
        <w:rPr>
          <w:b/>
          <w:bCs/>
        </w:rPr>
        <w:t xml:space="preserve"> bezpečnost</w:t>
      </w:r>
      <w:r w:rsidR="00BA77B7" w:rsidRPr="000B5314">
        <w:rPr>
          <w:b/>
          <w:bCs/>
        </w:rPr>
        <w:t>i</w:t>
      </w:r>
      <w:r w:rsidRPr="000B5314">
        <w:rPr>
          <w:b/>
          <w:bCs/>
        </w:rPr>
        <w:t xml:space="preserve"> a digitalizace ekonomiky</w:t>
      </w:r>
      <w:r w:rsidRPr="000B5314">
        <w:t xml:space="preserve">. Druhým strategickým odvětvím, které si zaslouží zvláštní pozornost, je </w:t>
      </w:r>
      <w:r w:rsidRPr="000B5314">
        <w:rPr>
          <w:b/>
          <w:bCs/>
        </w:rPr>
        <w:t>výroba polovodičů</w:t>
      </w:r>
      <w:r w:rsidR="00AE5E28" w:rsidRPr="000B5314">
        <w:t>, která</w:t>
      </w:r>
      <w:r w:rsidRPr="000B5314">
        <w:t xml:space="preserve"> je klíčová pro moderní ekonomiku. Polovodičové čipy mají vysokou přidanou hodnotu a Česká republika má značný potenciál v oblasti výkonové elektroniky, návrhu integrovaných obvodů a</w:t>
      </w:r>
      <w:r w:rsidR="00AF55AB" w:rsidRPr="000B5314">
        <w:t> </w:t>
      </w:r>
      <w:r w:rsidRPr="000B5314">
        <w:t>produkce vysoce sofistikovaných zařízení potřebných pro výrobu čipů.</w:t>
      </w:r>
      <w:r w:rsidR="00AE5E28" w:rsidRPr="000B5314">
        <w:t xml:space="preserve"> </w:t>
      </w:r>
      <w:r w:rsidRPr="000B5314">
        <w:t xml:space="preserve">Nutnost posílit evropskou i českou soběstačnost v oblasti čipů odhalila pandemie </w:t>
      </w:r>
      <w:r w:rsidR="008660E3" w:rsidRPr="000B5314">
        <w:t>C</w:t>
      </w:r>
      <w:r w:rsidRPr="000B5314">
        <w:t>ovid-19 a rozpad dodavatelských řetězců. Cílem EU je zvýšit podíl na světové výrobě čipů z 10 na 20 procent, což má pozitivní vliv na rozvoj automobilového průmyslu. Moderní úsporné čipy jsou důležitou součástí elektromobilů.</w:t>
      </w:r>
      <w:r w:rsidR="00AE5E28" w:rsidRPr="000B5314">
        <w:t xml:space="preserve"> </w:t>
      </w:r>
      <w:r w:rsidRPr="000B5314">
        <w:t>K</w:t>
      </w:r>
      <w:r w:rsidR="006A4C75" w:rsidRPr="000B5314">
        <w:t> využití potenciálu České republiky v této oblasti</w:t>
      </w:r>
      <w:r w:rsidRPr="000B5314">
        <w:t xml:space="preserve"> je potřeba implementovat opatření na podporu rozvoje návrhů čipů, stabilizovat financování výzkumných aktivit s</w:t>
      </w:r>
      <w:r w:rsidR="00AF55AB" w:rsidRPr="000B5314">
        <w:t> </w:t>
      </w:r>
      <w:r w:rsidRPr="000B5314">
        <w:t>důrazem na excelenci a podporovat aplikovaný výzkum. Důraz by měl být také kladen na podporu terciálního vzdělávání a zvýšení odbornosti pracovní síly, aby byl zajištěn dostatek kvalifikovaných odborníků.</w:t>
      </w:r>
    </w:p>
    <w:p w14:paraId="1D38C577" w14:textId="42AC5DF1" w:rsidR="007C7DCE" w:rsidRDefault="007C7DCE" w:rsidP="007C7DCE">
      <w:pPr>
        <w:pStyle w:val="HSNadpisIII3"/>
        <w:ind w:left="851" w:hanging="851"/>
      </w:pPr>
      <w:bookmarkStart w:id="67" w:name="_Toc174703087"/>
      <w:r>
        <w:t>Industrializace v kontextu politik Evropské unie</w:t>
      </w:r>
      <w:bookmarkEnd w:id="67"/>
    </w:p>
    <w:p w14:paraId="25FC277F" w14:textId="5BA76E55" w:rsidR="007C7DCE" w:rsidRDefault="007C7DCE" w:rsidP="007C7DCE">
      <w:r>
        <w:t>Podíl průmyslu</w:t>
      </w:r>
      <w:r>
        <w:rPr>
          <w:rStyle w:val="Odkaznavysvtlivky"/>
        </w:rPr>
        <w:endnoteReference w:id="40"/>
      </w:r>
      <w:r>
        <w:t xml:space="preserve"> na HDP je v Evropské unii stabilní, byť se velmi mírně postupně snižuje. Mezi roky 2005 a 2023 klesl podíl průmyslu z 21 % na 20,5 %. Mírný pokles významu průmyslu je doprovázen vývojem ve stavebnictví, dopravě, ubytovacích a stravovacích službách. Na významu nabírají informační a komunikační činnosti a profesní, vědecké, technické, administrativní a podpůrné služby. Mírný pokles podílu průmyslu na HDP lze připsat řadě faktorů zahrnujících dynamický rozvoj dalších odvětví v sektoru služeb (vč. a zejm. digitálních), zvýšení automatizace, přesun manuálně náročných činností do zemí s nižšími osobními náklady a využívání mezinárodní dělby práce v rámci globálních hodnotových řetězců. </w:t>
      </w:r>
    </w:p>
    <w:p w14:paraId="5583EEA1" w14:textId="77777777" w:rsidR="007C7DCE" w:rsidRDefault="007C7DCE" w:rsidP="007C7DCE">
      <w:r>
        <w:t xml:space="preserve">Nástup nových technologií a hospodářský růst však v EU nedosahuje takové míry, aby byl schopen udržet ekonomické postavení Unie v rámci mezinárodní soutěže, a to i v souvislosti </w:t>
      </w:r>
      <w:r w:rsidRPr="00586B9F">
        <w:t>s dobíháním ekonomického rozvoje ze strany řady globálních aktérů – mimo Číny rovněž Indie, z</w:t>
      </w:r>
      <w:r>
        <w:t>emí jihovýchodní</w:t>
      </w:r>
      <w:r w:rsidRPr="00586B9F">
        <w:t xml:space="preserve"> Asie, Latinské Ameriky a další</w:t>
      </w:r>
      <w:r>
        <w:t xml:space="preserve">ch. Podíl Evropské unie na tvorbě světového produktu se snížil z 20 % v roce 2000 na 14 % v roce 2024. Německo kleslo ze 4 % na 3 % a Česká republika z 0,34 % na 0,30 %. </w:t>
      </w:r>
    </w:p>
    <w:p w14:paraId="416678DF" w14:textId="77777777" w:rsidR="007C7DCE" w:rsidRDefault="007C7DCE" w:rsidP="007C7DCE">
      <w:r>
        <w:t xml:space="preserve">Na hospodářský růst a podíly na světové ekonomice nelze pohlížet jako na hru s nulovým součtem, kdy růst jedné ekonomiky znamená ztrátu druhé. Evropské unii se daří udržet vysoké životní standardy. V rámci ukazatele HDP na obyvatele EU mírně snížila zaostávání vůči Spojeným státům. Přesto lze do budoucna očekávat přesun těžiště ekonomických center směrem do Asie. Za znepokojivé je třeba považovat, že k nárůstu hospodářského významu dochází u zemí, které neuznávají hodnoty západních demokracií. Podíl obou skupin na tvorbě světového produktu se oproti minulosti vyrovnal. </w:t>
      </w:r>
    </w:p>
    <w:p w14:paraId="1337C973" w14:textId="77777777" w:rsidR="007C7DCE" w:rsidRDefault="007C7DCE" w:rsidP="007C7DCE">
      <w:r>
        <w:t>Poslední data ukazují, že ke zkracování hodnotových řetězců v důsledku posledních krizí dochází zatím jen omezeně. Své aktivity relokují především mezinárodní firmy s vyšším podílem vysoce kvalifikovaných zaměstnanců, a spíše průmyslové firmy než ty orientované na služby. Přestože spíše své aktivity reorganizují firmy s vyšším podílem kvalifikovaných zaměstnanců, k realokacím dochází především u aktivit, které jsou méně náročné na dovednosti. Zjevná je však tendence alokovat části produkce do geograficky a hodnotově bližších oblastí. Zásadní obrat v </w:t>
      </w:r>
      <w:proofErr w:type="spellStart"/>
      <w:r>
        <w:t>reindustrializaci</w:t>
      </w:r>
      <w:proofErr w:type="spellEnd"/>
      <w:r>
        <w:t xml:space="preserve"> Unie zatím nepozorujeme, ačkoli unijní iniciativy z nedávné minulosti se na ni intenzivně zaměřují a určitý pozitivní vývoj v této oblasti lze očekávat. </w:t>
      </w:r>
    </w:p>
    <w:p w14:paraId="5E37EA5C" w14:textId="77777777" w:rsidR="007C7DCE" w:rsidRDefault="007C7DCE" w:rsidP="007C7DCE">
      <w:r>
        <w:t xml:space="preserve">Postupná </w:t>
      </w:r>
      <w:proofErr w:type="spellStart"/>
      <w:r>
        <w:t>desindustrializace</w:t>
      </w:r>
      <w:proofErr w:type="spellEnd"/>
      <w:r>
        <w:t xml:space="preserve"> zejména v některých zemích Evropské unie je dlouhodobým strukturálním jevem. Hlavní obchodní partneři české ekonomiky, a i samotná domácí ekonomika do covidové a energetické krize těžila z levných zdrojů energie a postupující globalizace využívající výhody mezinárodní dělby práce. Po proběhlých </w:t>
      </w:r>
      <w:r>
        <w:lastRenderedPageBreak/>
        <w:t xml:space="preserve">krizích a se zhoršenou bezpečnostní situací se tyto výhody Evropské unii i České republice snížily, zároveň vzrostla potřeba se více zaměřovat na bezpečnostní a ekonomicko-bezpečnostní aspekty. </w:t>
      </w:r>
    </w:p>
    <w:p w14:paraId="2226C45C" w14:textId="77777777" w:rsidR="007C7DCE" w:rsidRDefault="007C7DCE" w:rsidP="007C7DCE">
      <w:r>
        <w:t xml:space="preserve">Pro průmysl, zejména průmysl v České republice, ale i u hlavních evropských obchodních partnerů, jsou klíčové ceny energií. Konečné ceny elektřiny pro průmysl jsou v EU až třikrát vyšší než ve Spojených státech, přičemž historicky byly přibližně dvakrát vyšší. Obdobně, velkoobchodní ceny jsou v EU dvakrát vyšší, historicky byly vyšší přibližně o 30 %. Pozorovatelný je také diametrální rozdíl v cenách emisních povolenek v rámci světa. Od roku 2021 lze pozorovat v Evropě dramatický růst ceny emisních povolenek, který nebyl následován žádným jiným systémem emisního obchodování ve světě. Cenový rozdíl mezi americkou a evropskou cenou elektrické energie lze přisoudit zejména vyšším komoditním nákladům, nákladům na provoz, management a infrastrukturu, a dále pak vyšší ceně uhlíku, která ve Spojených státech není povětšinou vůbec uplatňována. Rovněž v ostatních zemích světa je zatížení uhlíkovými opatřeními nižší. </w:t>
      </w:r>
    </w:p>
    <w:p w14:paraId="4447B757" w14:textId="5E3E9B93" w:rsidR="007C7DCE" w:rsidRDefault="007C7DCE" w:rsidP="007C7DCE">
      <w:r>
        <w:t xml:space="preserve">Po </w:t>
      </w:r>
      <w:r w:rsidR="00BC2E34">
        <w:t>Českou republiku</w:t>
      </w:r>
      <w:r>
        <w:t xml:space="preserve"> i EU jako celek je zásadní udržet konkurenceschopnou pozici evropské ekonomiky. Ta by mohla být negativně ovlivněna určitými jednostrannými EU opatřeními, zejména v environmentální oblasti, a to i v důsledku jejich negativních dopadů na obchodování se třetími zeměmi. Česká republika bude proto podporovat ty hlasy v rámci EU, jež volají po důkladném vyhodnocení stávajících politik zejména v oblasti energetiky a klimatu, a to zejména ve vztahu ke konkurenceschopnosti evropského průmyslu. </w:t>
      </w:r>
    </w:p>
    <w:p w14:paraId="0E516E1C" w14:textId="77777777" w:rsidR="007C7DCE" w:rsidRDefault="007C7DCE" w:rsidP="007C7DCE">
      <w:r>
        <w:t xml:space="preserve">Pro českou otevřenou a exportně orientovanou ekonomiku je klíčové, aby byla zachována možnost konkurovat se svými produkty na světových trzích. Proto musí být naplněny následující parametry ve vztahu k celounijní politice. V oblasti cenové konkurence jde v současnosti zejména o ceny energií a vstupních surovin. V oblasti necenové konkurenceschopnosti o podnikatelské a investiční prostředí a o obchodní politiku. </w:t>
      </w:r>
    </w:p>
    <w:p w14:paraId="64F9D20E" w14:textId="77777777" w:rsidR="007C7DCE" w:rsidRDefault="007C7DCE" w:rsidP="007C7DCE">
      <w:r>
        <w:t>Úvaha o realizaci hospodářských politik na úrovni Evropské unie by se měla dle České republiky zabývat následujícími tématy:</w:t>
      </w:r>
    </w:p>
    <w:p w14:paraId="5EFC5187" w14:textId="77777777" w:rsidR="007C7DCE" w:rsidRDefault="007C7DCE" w:rsidP="007C7DCE">
      <w:r>
        <w:t>1.</w:t>
      </w:r>
      <w:r>
        <w:tab/>
        <w:t>Dekarbonizace nenarušující konkurenceschopnost</w:t>
      </w:r>
    </w:p>
    <w:p w14:paraId="10D09E35" w14:textId="77777777" w:rsidR="007C7DCE" w:rsidRDefault="007C7DCE" w:rsidP="007C7DCE">
      <w:r>
        <w:t>2.</w:t>
      </w:r>
      <w:r>
        <w:tab/>
        <w:t>Odpovědné financování dekarbonizace</w:t>
      </w:r>
    </w:p>
    <w:p w14:paraId="2E521BE4" w14:textId="77777777" w:rsidR="007C7DCE" w:rsidRDefault="007C7DCE" w:rsidP="007C7DCE">
      <w:r>
        <w:t>3.</w:t>
      </w:r>
      <w:r>
        <w:tab/>
        <w:t>Bránění dotačním závodům, podpora technologické neutrality a férové hospodářské soutěže</w:t>
      </w:r>
    </w:p>
    <w:p w14:paraId="1F04BBFE" w14:textId="77777777" w:rsidR="007C7DCE" w:rsidRDefault="007C7DCE" w:rsidP="007C7DCE">
      <w:r>
        <w:t>4.</w:t>
      </w:r>
      <w:r>
        <w:tab/>
        <w:t>Asignace rizik bez socializace ztrát</w:t>
      </w:r>
    </w:p>
    <w:p w14:paraId="13ACC1AA" w14:textId="77777777" w:rsidR="007C7DCE" w:rsidRDefault="007C7DCE" w:rsidP="007C7DCE">
      <w:r>
        <w:t>5.</w:t>
      </w:r>
      <w:r>
        <w:tab/>
        <w:t xml:space="preserve">Prohloubení vnitřního trhu EU </w:t>
      </w:r>
    </w:p>
    <w:p w14:paraId="658E47AF" w14:textId="77777777" w:rsidR="007C7DCE" w:rsidRDefault="007C7DCE" w:rsidP="007C7DCE">
      <w:r>
        <w:t>6.</w:t>
      </w:r>
      <w:r>
        <w:tab/>
        <w:t>Snížení regulatorní a administrativní zátěže na úrovni EU</w:t>
      </w:r>
    </w:p>
    <w:p w14:paraId="1E60F5DE" w14:textId="77777777" w:rsidR="007C7DCE" w:rsidRDefault="007C7DCE" w:rsidP="007C7DCE">
      <w:r>
        <w:t>7.</w:t>
      </w:r>
      <w:r>
        <w:tab/>
        <w:t>Zachování otevřené obchodní politiky EU se zaměřením na ekonomickou bezpečnost</w:t>
      </w:r>
    </w:p>
    <w:p w14:paraId="08C511B4" w14:textId="79CED583" w:rsidR="007C7DCE" w:rsidRDefault="007C7DCE" w:rsidP="007C7DCE">
      <w:r w:rsidRPr="00046E60">
        <w:rPr>
          <w:b/>
          <w:bCs/>
        </w:rPr>
        <w:t>Dekarbonizace nenarušující konkurenceschopnost:</w:t>
      </w:r>
      <w:r>
        <w:t xml:space="preserve"> </w:t>
      </w:r>
      <w:r w:rsidR="00BC2E34">
        <w:t>Česká republika</w:t>
      </w:r>
      <w:r>
        <w:t xml:space="preserve"> podporuje klimaticko-energetické ambice EU směřující k dosažení uhlíkové neutrality do r. 2050, za zásadní však považuje nastavování daných cílů tak, aby jejich naplňování nepřinášelo snižování komparativních výhod pro produkci průmyslových výrobků a jejich exportu do třetích zemí, pokud se v těchto zemích nebudou realizovat ekvivalentní opatření. Pokud země jako USA, Čína či Indie nebudou následovat stejně ambiciózní dekarbonizační úsilí, mohou se investice EU do dekarbonizace jevit jako neefektivně vynaložené. Výhody z takových investic by pak dosahovali výrobci a dodavatelé technologií pro dekarbonizaci, přičemž jejich značná část se nachází mimo EU. Riziko dalšího oslabení EU v tomto směru je třeba hodnotit jako významné.</w:t>
      </w:r>
    </w:p>
    <w:p w14:paraId="0B44E7E2" w14:textId="77777777" w:rsidR="007C7DCE" w:rsidRDefault="007C7DCE" w:rsidP="007C7DCE">
      <w:r w:rsidRPr="00046E60">
        <w:rPr>
          <w:b/>
          <w:bCs/>
        </w:rPr>
        <w:t>Odpovědné financování dekarbonizace:</w:t>
      </w:r>
      <w:r>
        <w:t xml:space="preserve"> Podstatnou součástí úvahy o hospodářské politice EU založené na úsilí o dosažení uhlíkové neutrality je otázka financování. Je třeba uvést, že na dekarbonizačním cíli v podobě roku 2050 byla mezi členskými státy EU jednoznačná shoda, nikoli již ovšem na způsobu jeho financování, kdy některá nová unijní finanční schémata jsou založena na dluhovém financování. Česká republika se vždy stavěla do role obezřetného hospodáře a klade proto důraz na účelné využití exitujících unijních finančních zdrojů namísto vytváření nových nástrojů financování. Tuto politiku bude nadále uplatňovat i ve vztahu k financování zelené tranzice. Česká republika proto bude obezřetná při vytváření nových nástrojů zvyšujících společné zadlužování a bude podporovat vznik opatření založených na aktivizaci soukromého kapitálu, například prostřednictvím dokončení Unie kapitálových trhů. </w:t>
      </w:r>
    </w:p>
    <w:p w14:paraId="6D807322" w14:textId="4FF276C6" w:rsidR="007C7DCE" w:rsidRDefault="007C7DCE" w:rsidP="007C7DCE">
      <w:r w:rsidRPr="00046E60">
        <w:rPr>
          <w:b/>
          <w:bCs/>
        </w:rPr>
        <w:t>Bránění dotačním závodům, podpora technologické neutrality a</w:t>
      </w:r>
      <w:r>
        <w:rPr>
          <w:b/>
          <w:bCs/>
        </w:rPr>
        <w:t> </w:t>
      </w:r>
      <w:r w:rsidRPr="00046E60">
        <w:rPr>
          <w:b/>
          <w:bCs/>
        </w:rPr>
        <w:t>férové hospodářské soutěže:</w:t>
      </w:r>
      <w:r>
        <w:t xml:space="preserve"> Cesta, kterou Evropská unie volí pro dekarbonizaci, je založena převážně na zjednodušení povolovacích procesů a na dotačních schématech, na rozdíl např. od USA, které volí cestu daňově-pobídkovou. Oproti dotačnímu systému lze tento způsob považovat do určité míry za spravedlivější a odolnější vůči působení zájmových skupin usilujících o prosazování specifických technologických řešení. Zároveň méně narušuje domácí hospodářskou soutěž, byť jeho </w:t>
      </w:r>
      <w:r>
        <w:lastRenderedPageBreak/>
        <w:t xml:space="preserve">legalita z pohledu pravidel WTO je minimálně sporná. Přijetí podobného schématu v EU by ovšem vyžadovalo plné dokončení hospodářské a měnové unie, včetně rozsáhlé harmonizace daňových režimů (což je zčásti a priori Smlouvami vyloučeno), zavedení podobných opatření čistě na národní by pak bylo rozporu s pravidly EU. Česká republika bude i nadále usilovat o zachovávání technologicky neutrálního přístupu a bude obezřetná vůči aktivitám, které by systematicky přispívaly k dalšímu roztáčení spirály dotačních závodů jak na vnitřním trhu EU, tak i ve vztahu ke třetím zemím. Namísto rozvolňování unijních pravidel veřejné podpory proto </w:t>
      </w:r>
      <w:r w:rsidR="00BC2E34">
        <w:t>Česká republika</w:t>
      </w:r>
      <w:r>
        <w:t xml:space="preserve"> podporuje zjednodušení stávajících pravidel tak, aby došlo ke snížení související administrativní zátěže, zrychlení povolovacích postupů a posílení rovných podmínek na vnitřním i globálním trhu, a to při zachování principu, že veřejná podpora je výjimkou, nikoliv pravidlem.</w:t>
      </w:r>
    </w:p>
    <w:p w14:paraId="73CDDBBB" w14:textId="77777777" w:rsidR="007C7DCE" w:rsidRDefault="007C7DCE" w:rsidP="007C7DCE">
      <w:r>
        <w:t xml:space="preserve">V současnosti vidíme nárůst administrativních a finančních zásahů do ekonomiky napříč státy v rámci průmyslové politiky. Česká republika bude na unijním a mezinárodním poli přistupovat obezřetně k vytváření dalších kanálů, kterými mohou vlády subvencovat podniky, neboť to má potenciál narušovat rovné podmínky a hospodářskou soutěž.  </w:t>
      </w:r>
    </w:p>
    <w:p w14:paraId="3B7382DB" w14:textId="77777777" w:rsidR="007C7DCE" w:rsidRDefault="007C7DCE" w:rsidP="007C7DCE">
      <w:r w:rsidRPr="00046E60">
        <w:rPr>
          <w:b/>
          <w:bCs/>
        </w:rPr>
        <w:t>Asignace rizik bez socializace ztrát:</w:t>
      </w:r>
      <w:r>
        <w:t xml:space="preserve"> Česká republika se bude také obezřetně stavět k tvorbě politik, které by vedly k přenášení rizik podnikatelského sektoru na sektor veřejný. To je nebezpečná tendence, kterou je třeba naopak odstraňovat. Rizika v podnikatelském sektoru, ať již vyplývají z bezpečnostních, energetických či jiných okolností, nemohou být primárně kryta veřejnými financemi. V praxi je nebezpečné posilovat dojem, že firmy nemusí tato rizika vyhodnocovat a podle toho řídit bezpečnost svých kontraktů a investic.</w:t>
      </w:r>
    </w:p>
    <w:p w14:paraId="596FD104" w14:textId="58A9D5DF" w:rsidR="007C7DCE" w:rsidRDefault="007C7DCE" w:rsidP="007C7DCE">
      <w:r w:rsidRPr="00CA133C">
        <w:rPr>
          <w:b/>
          <w:bCs/>
        </w:rPr>
        <w:t>Prohloubení vnitřního trhu EU:</w:t>
      </w:r>
      <w:r>
        <w:t xml:space="preserve"> Česká republika bude naopak prohlubovat úsilí v oblasti posílení vnitřního trhu EU, jakožto nejsilnějšího nástroje EU, který skýtá největší potenciál zvýšení hospodářského růstu. Konkrétně by se EU měla zaměřit na posílení jádra jednotného trhu, tedy svobodu pohybu, zejména v oblastech zboží a služeb, kde stále existuje významná fragmentace a rozdíly mezi národními předpisy. Přednost by měla mít zjednodušení a další harmonizace pravidel EU, jakož i tam, kde je to možné, aplikace principu vzájemného uznávání. Dodržování těchto principů pomůže odstranit fragmentaci a regulační složitost pro podniky, snížit náklady na</w:t>
      </w:r>
      <w:r w:rsidR="00565483">
        <w:t> </w:t>
      </w:r>
      <w:r>
        <w:t xml:space="preserve">dodržování předpisů a tím zvýšit konkurenceschopnost. Tak lze vytvořit podmínky pro to, aby evropské podniky mohly růst a soutěžit na mezinárodních trzích, a zároveň dojde k posílení odolnosti. Neméně podstatným aspektem v unijním kontextu je otázka mobility pracovní síly na vnitřním trhu EU. Česká republika bude proto nadále usilovat o odstranění přetrvávajících překážek pro vysílání pracovníků v rámci vnitřního trhu EU a uznávání odborných kvalifikací.  </w:t>
      </w:r>
    </w:p>
    <w:p w14:paraId="31B26EE8" w14:textId="23FF31F5" w:rsidR="007C7DCE" w:rsidRDefault="007C7DCE" w:rsidP="007C7DCE">
      <w:r w:rsidRPr="09392E50">
        <w:rPr>
          <w:b/>
          <w:bCs/>
        </w:rPr>
        <w:t xml:space="preserve">Snížení regulatorní a administrativní </w:t>
      </w:r>
      <w:r w:rsidRPr="0E9EF459">
        <w:rPr>
          <w:b/>
          <w:bCs/>
        </w:rPr>
        <w:t>zátěže</w:t>
      </w:r>
      <w:r w:rsidRPr="00CA133C">
        <w:rPr>
          <w:b/>
          <w:bCs/>
        </w:rPr>
        <w:t xml:space="preserve"> na úrovni EU:</w:t>
      </w:r>
      <w:r>
        <w:t xml:space="preserve"> Administrativní zátěž patří mezi hlavní překážky, kterým podniky v EU čelí při působení na vnitřním trhu. Nová Komise by měla zjednodušit podmínky pro podnikání a nadále omezovat byrokracii prostřednictvím zjednodušování a digitalizace stávajících postupů. Česká republika bude systematicky prosazovat snížení regulatorní zátěže, např</w:t>
      </w:r>
      <w:r w:rsidR="00165EB5">
        <w:t>.</w:t>
      </w:r>
      <w:r>
        <w:t xml:space="preserve"> důrazem na dodržování principů </w:t>
      </w:r>
      <w:r w:rsidRPr="08C175E5">
        <w:rPr>
          <w:i/>
          <w:iCs/>
        </w:rPr>
        <w:t>lepší regulace</w:t>
      </w:r>
      <w:r>
        <w:t xml:space="preserve">. </w:t>
      </w:r>
    </w:p>
    <w:p w14:paraId="7FCDA1DF" w14:textId="102C554E" w:rsidR="00985A28" w:rsidRPr="00165EB5" w:rsidRDefault="007C7DCE" w:rsidP="00165EB5">
      <w:r w:rsidRPr="00CA133C">
        <w:rPr>
          <w:b/>
          <w:bCs/>
        </w:rPr>
        <w:t>Zachování otevřené obchodní politiky EU s</w:t>
      </w:r>
      <w:r>
        <w:rPr>
          <w:b/>
          <w:bCs/>
        </w:rPr>
        <w:t> </w:t>
      </w:r>
      <w:r w:rsidRPr="00CA133C">
        <w:rPr>
          <w:b/>
          <w:bCs/>
        </w:rPr>
        <w:t>důrazem na ekonomickou bezpečnost:</w:t>
      </w:r>
      <w:r>
        <w:t xml:space="preserve"> Výzvy k protekcionismu v EU i globálně rostou a mezinárodní pravidla již nejsou plně respektována ani našimi partnery. V takovém prostředí se musí obchodní politika EU přizpůsobit. Otevřenost by měla být nadále základem obchodní politiky EU, s větším důrazem na ekonomickou bezpečnost a zejména na snižování našich strategických závislostí. Aby byla zajištěna ekonomická odolnost a růst, EU musí odolávat akcím vedoucím k protekcionismu a posílit koordinované úsilí o otevřenost, odolnost a bezpečnost, které není nijak vzájemně výlučné, nýbrž doplňkové. Navíc by otevřenost EU neměla být oslabována opatřeními, která Unie přijímá interně, proto Česká republika vidí jasnou prioritu v zajištění koherence mezi interními a externími politikami. Česká republika vidí následující aspekty jako priority pro zajištění obchodování založeného na pravidlech a ekonomické bezpečnosti: podporovat bezpečné prostředí a ekonomickou prosperitu v bezprostředním sousedství EU; prohlubovat vazby s partnery a diverzifikovat obchodní toky.</w:t>
      </w:r>
      <w:r w:rsidR="00985A28">
        <w:br w:type="page"/>
      </w:r>
    </w:p>
    <w:p w14:paraId="40DC39ED" w14:textId="343DF9D0" w:rsidR="00511D1D" w:rsidRDefault="00511D1D" w:rsidP="00511D1D">
      <w:pPr>
        <w:pStyle w:val="HSNadpisIII"/>
      </w:pPr>
      <w:bookmarkStart w:id="68" w:name="_Toc174703088"/>
      <w:r>
        <w:lastRenderedPageBreak/>
        <w:t>F</w:t>
      </w:r>
      <w:r w:rsidRPr="002A3218">
        <w:t>inancování</w:t>
      </w:r>
      <w:bookmarkEnd w:id="68"/>
    </w:p>
    <w:p w14:paraId="347168A5" w14:textId="25F7938D" w:rsidR="00511D1D" w:rsidRDefault="00511D1D">
      <w:pPr>
        <w:pStyle w:val="HSNadpisIII4"/>
      </w:pPr>
      <w:bookmarkStart w:id="69" w:name="_Toc174703089"/>
      <w:r>
        <w:t>Vybudování finanční infrastruktury dostupného kapitálu</w:t>
      </w:r>
      <w:bookmarkEnd w:id="69"/>
    </w:p>
    <w:p w14:paraId="0798DA4F" w14:textId="0DF369E5" w:rsidR="00511D1D" w:rsidRDefault="00511D1D" w:rsidP="00511D1D">
      <w:r>
        <w:t xml:space="preserve">Jednou z klíčových priorit </w:t>
      </w:r>
      <w:r w:rsidR="00AE5E28">
        <w:t>H</w:t>
      </w:r>
      <w:r>
        <w:t xml:space="preserve">ospodářské strategie České republiky je vybudování robustní finanční infrastruktury, která zajistí dostupnost kapitálu pro podniky všech velikostí. Dostupný kapitál je nezbytný pro podporu inovací, růst podniků a celkovou ekonomickou prosperitu. Tato kapitola se </w:t>
      </w:r>
      <w:r w:rsidR="00EC7290">
        <w:t xml:space="preserve">proto </w:t>
      </w:r>
      <w:r>
        <w:t xml:space="preserve">zaměřuje na kroky, které jsou </w:t>
      </w:r>
      <w:r w:rsidR="00EC7290">
        <w:t>stěžejní</w:t>
      </w:r>
      <w:r w:rsidR="00AE5E28">
        <w:t xml:space="preserve"> </w:t>
      </w:r>
      <w:r>
        <w:t>k</w:t>
      </w:r>
      <w:r w:rsidR="00AF55AB">
        <w:t> </w:t>
      </w:r>
      <w:r>
        <w:t>vytvoření prostředí podporující investice, zlepšení přístupu k financování a posílení kapitálového trhu.</w:t>
      </w:r>
    </w:p>
    <w:p w14:paraId="0DFBCADD" w14:textId="0B59022E" w:rsidR="00511D1D" w:rsidRDefault="00511D1D" w:rsidP="00511D1D">
      <w:r>
        <w:t>Česká republika se nachází v situaci, kdy přístup k financování, zejména pro malé a střední podniky, není dostatečně rozvinutý. Hlavní problémové okruhy zahrnují:</w:t>
      </w:r>
    </w:p>
    <w:p w14:paraId="0FA242AD" w14:textId="75BF538E" w:rsidR="00511D1D" w:rsidRDefault="00511D1D" w:rsidP="007D1C3F">
      <w:pPr>
        <w:pStyle w:val="HSpodbod"/>
      </w:pPr>
      <w:r>
        <w:t>omezenou diverzifikaci zdrojů financování,</w:t>
      </w:r>
    </w:p>
    <w:p w14:paraId="5EE497C6" w14:textId="77777777" w:rsidR="00511D1D" w:rsidRDefault="00511D1D" w:rsidP="007D1C3F">
      <w:pPr>
        <w:pStyle w:val="HSpodbod"/>
      </w:pPr>
      <w:r>
        <w:t>nedostatečně rozvinutý kapitálový trh,</w:t>
      </w:r>
    </w:p>
    <w:p w14:paraId="029F783A" w14:textId="77777777" w:rsidR="00511D1D" w:rsidRDefault="00511D1D" w:rsidP="007D1C3F">
      <w:pPr>
        <w:pStyle w:val="HSpodbod"/>
      </w:pPr>
      <w:r>
        <w:t>vysoké náklady na půjčky pro malé a střední podniky,</w:t>
      </w:r>
    </w:p>
    <w:p w14:paraId="3AD3EEC3" w14:textId="47F55A1C" w:rsidR="00511D1D" w:rsidRDefault="00511D1D" w:rsidP="001028C6">
      <w:pPr>
        <w:pStyle w:val="HSpodbod"/>
        <w:spacing w:after="120"/>
      </w:pPr>
      <w:r>
        <w:t>nízkou úroveň finanční gramotnosti a znalostí o alternativních formách financování.</w:t>
      </w:r>
    </w:p>
    <w:p w14:paraId="6F7B7054" w14:textId="3D6D6995" w:rsidR="00511D1D" w:rsidRDefault="00511D1D" w:rsidP="00511D1D">
      <w:r>
        <w:t xml:space="preserve">Problém kapitálového trhu není specifický pouze pro Českou republiku, ale týká se celé Evropy. Evropský finanční systém je tradičně založen více na bankovním financování než na kapitálových trzích. Firmy často preferují bankovní úvěry před vydáváním akcií nebo dluhopisů. </w:t>
      </w:r>
      <w:r w:rsidR="00EC7290" w:rsidRPr="00072FD5">
        <w:t xml:space="preserve">I přes pokračující iniciativu </w:t>
      </w:r>
      <w:proofErr w:type="spellStart"/>
      <w:r w:rsidR="00EC7290" w:rsidRPr="00072FD5">
        <w:t>Capital</w:t>
      </w:r>
      <w:proofErr w:type="spellEnd"/>
      <w:r w:rsidR="00EC7290" w:rsidRPr="00072FD5">
        <w:t xml:space="preserve"> </w:t>
      </w:r>
      <w:proofErr w:type="spellStart"/>
      <w:r w:rsidR="00EC7290" w:rsidRPr="00072FD5">
        <w:t>Markets</w:t>
      </w:r>
      <w:proofErr w:type="spellEnd"/>
      <w:r w:rsidR="00EC7290" w:rsidRPr="00072FD5">
        <w:t xml:space="preserve"> Union (CMU) v</w:t>
      </w:r>
      <w:r w:rsidR="00BC2E34">
        <w:t> </w:t>
      </w:r>
      <w:r w:rsidR="00EC7290" w:rsidRPr="00072FD5">
        <w:t xml:space="preserve">Evropské unii jsou kapitálové trhy v EU fragmentovány a investuje se lokálně. Nadále přetrvává investování spíše lokální, které snižuje efektivitu kapitálového trhu EU, která dopadá na i na kapitálový trh v </w:t>
      </w:r>
      <w:r w:rsidR="00BC2E34">
        <w:t>České republice</w:t>
      </w:r>
      <w:r w:rsidR="00EC7290" w:rsidRPr="00072FD5">
        <w:t>.</w:t>
      </w:r>
    </w:p>
    <w:p w14:paraId="6D912DEA" w14:textId="58564CB3" w:rsidR="00511D1D" w:rsidRDefault="00511D1D" w:rsidP="00511D1D">
      <w:r>
        <w:t>V mnoha evropských zemích, včetně České republiky, není investování na kapitálových trzích tak rozšířené</w:t>
      </w:r>
      <w:r w:rsidR="00EC7290">
        <w:t xml:space="preserve">, jelikož </w:t>
      </w:r>
      <w:r w:rsidR="00B61C05">
        <w:t>je zde zvyklost spoléhat na průběžný důchodový pilíř, ve srovnání</w:t>
      </w:r>
      <w:r>
        <w:t xml:space="preserve"> např</w:t>
      </w:r>
      <w:r w:rsidR="00B61C05">
        <w:t>.</w:t>
      </w:r>
      <w:r>
        <w:t xml:space="preserve"> </w:t>
      </w:r>
      <w:r w:rsidR="00B61C05">
        <w:t>s </w:t>
      </w:r>
      <w:r>
        <w:t>USA</w:t>
      </w:r>
      <w:r w:rsidR="00B61C05">
        <w:t>, kde je daleko větší váha zajištění na stáří ve fondových systémech</w:t>
      </w:r>
      <w:r>
        <w:t>. To se projevuje nižší účastí retailových investorů a menšími objemy obchodů na burzách. Nedostatek investiční kultury</w:t>
      </w:r>
      <w:r w:rsidR="001E3A33">
        <w:t>,</w:t>
      </w:r>
      <w:r>
        <w:t xml:space="preserve"> finanční gramotnosti </w:t>
      </w:r>
      <w:r w:rsidR="001E3A33">
        <w:t xml:space="preserve">a vyšší averze k riziku </w:t>
      </w:r>
      <w:r>
        <w:t>omezuje rozvoj kapitálového trhu.</w:t>
      </w:r>
    </w:p>
    <w:p w14:paraId="759B5D52" w14:textId="77777777" w:rsidR="00511D1D" w:rsidRPr="006C2504" w:rsidRDefault="00511D1D" w:rsidP="007D1C3F">
      <w:pPr>
        <w:pStyle w:val="HSNadpis4bezslovn"/>
      </w:pPr>
      <w:r w:rsidRPr="006C2504">
        <w:t>Hlavní opatření:</w:t>
      </w:r>
    </w:p>
    <w:p w14:paraId="183E4BA0" w14:textId="48951D24" w:rsidR="00741913" w:rsidRDefault="00741913" w:rsidP="00741913">
      <w:pPr>
        <w:pStyle w:val="HSpodbod"/>
      </w:pPr>
      <w:r>
        <w:t>Ukotvit jednotnou metodiku, dle které musí klíčové strategické investice obsahovat finanční plán investic i neinvestičních výdajů.</w:t>
      </w:r>
    </w:p>
    <w:p w14:paraId="45F8883E" w14:textId="244222D0" w:rsidR="00741913" w:rsidRDefault="00741913" w:rsidP="00741913">
      <w:pPr>
        <w:pStyle w:val="HSpodbod"/>
      </w:pPr>
      <w:r>
        <w:t>Vypracovat metodiky na vyhodnocování přínosů investičních pobídek.</w:t>
      </w:r>
    </w:p>
    <w:p w14:paraId="6458019B" w14:textId="4EB46B73" w:rsidR="00511D1D" w:rsidRPr="000B038F" w:rsidRDefault="00EC18CB" w:rsidP="007D1C3F">
      <w:pPr>
        <w:pStyle w:val="HSpodbod"/>
      </w:pPr>
      <w:r w:rsidRPr="00EC18CB">
        <w:t>Na unijní úrovni prosazovat snižování administrativní zátěže na kapitálových trzích a podporovat konkurenceschopnost na trzích</w:t>
      </w:r>
    </w:p>
    <w:p w14:paraId="53DD087A" w14:textId="26CC3FC2" w:rsidR="00AB2F50" w:rsidRPr="00CC6883" w:rsidRDefault="00AB2F50" w:rsidP="00AB2F50">
      <w:pPr>
        <w:pStyle w:val="HSpodbod"/>
      </w:pPr>
      <w:r w:rsidRPr="00AB2F50">
        <w:t>Sjednotit a zpřehlednit systém</w:t>
      </w:r>
      <w:r w:rsidRPr="00CC6883">
        <w:t xml:space="preserve"> podpor</w:t>
      </w:r>
      <w:r w:rsidR="00D00FAD">
        <w:t xml:space="preserve"> a fondů, např. v podobě Národní dotační agentury</w:t>
      </w:r>
      <w:r w:rsidRPr="00CC6883">
        <w:t>.</w:t>
      </w:r>
    </w:p>
    <w:p w14:paraId="1F428A07" w14:textId="52749DC2" w:rsidR="00511D1D" w:rsidRPr="000B038F" w:rsidRDefault="00AE5E28" w:rsidP="007D1C3F">
      <w:pPr>
        <w:pStyle w:val="HSpodbod"/>
      </w:pPr>
      <w:r>
        <w:t xml:space="preserve">Upravit systém </w:t>
      </w:r>
      <w:r w:rsidR="00511D1D" w:rsidRPr="00AA1AF9">
        <w:t>zaměstnanec</w:t>
      </w:r>
      <w:r w:rsidR="00511D1D" w:rsidRPr="000B038F">
        <w:t>k</w:t>
      </w:r>
      <w:r>
        <w:t>ých</w:t>
      </w:r>
      <w:r w:rsidR="00511D1D" w:rsidRPr="000B038F">
        <w:t xml:space="preserve"> akci</w:t>
      </w:r>
      <w:r>
        <w:t>í</w:t>
      </w:r>
      <w:r w:rsidR="00511D1D" w:rsidRPr="000B038F">
        <w:t xml:space="preserve"> </w:t>
      </w:r>
      <w:r>
        <w:t xml:space="preserve">pro </w:t>
      </w:r>
      <w:r w:rsidR="00511D1D" w:rsidRPr="000B038F">
        <w:t>posílení rozvoje start-upů.</w:t>
      </w:r>
    </w:p>
    <w:p w14:paraId="56B5E58A" w14:textId="156E25BE" w:rsidR="00511D1D" w:rsidRPr="000B038F" w:rsidRDefault="00511D1D" w:rsidP="007D1C3F">
      <w:pPr>
        <w:pStyle w:val="HSpodbod"/>
      </w:pPr>
      <w:r w:rsidRPr="00AA1AF9">
        <w:t xml:space="preserve">Nastavit příznivější podmínky pro </w:t>
      </w:r>
      <w:r w:rsidR="0028057E" w:rsidRPr="0028057E">
        <w:t>fond soukromého kapitálu</w:t>
      </w:r>
      <w:r w:rsidR="00233360">
        <w:t>,</w:t>
      </w:r>
      <w:r w:rsidRPr="00AA1AF9">
        <w:t xml:space="preserve"> a hlavně </w:t>
      </w:r>
      <w:r w:rsidR="0028057E">
        <w:t>fond rizikového kapitálu</w:t>
      </w:r>
      <w:r w:rsidRPr="00AA1AF9">
        <w:t xml:space="preserve"> </w:t>
      </w:r>
      <w:r w:rsidRPr="000B038F">
        <w:t>v </w:t>
      </w:r>
      <w:r w:rsidR="00C56CA1">
        <w:t>České republice</w:t>
      </w:r>
      <w:r w:rsidRPr="000B038F">
        <w:t>.</w:t>
      </w:r>
    </w:p>
    <w:p w14:paraId="4170473A" w14:textId="22262ABF" w:rsidR="00511D1D" w:rsidRPr="000B038F" w:rsidRDefault="00511D1D" w:rsidP="00681379">
      <w:pPr>
        <w:pStyle w:val="HSpodbod"/>
      </w:pPr>
      <w:r w:rsidRPr="000B038F">
        <w:t>Vytvořit specializované fondy a inkubátory, které poskytují kapitál pro začínající a inovativní podniky.</w:t>
      </w:r>
    </w:p>
    <w:p w14:paraId="0B696220" w14:textId="2D42B48F" w:rsidR="00511D1D" w:rsidRPr="000B038F" w:rsidRDefault="00511D1D" w:rsidP="007D1C3F">
      <w:pPr>
        <w:pStyle w:val="HSpodbod"/>
      </w:pPr>
      <w:r w:rsidRPr="000B038F">
        <w:t>Implementovat vzdělávací programy zaměřené na podnikatele a občany, které zvyšují povědomí o různých formách financování a kapitálovém trhu.</w:t>
      </w:r>
    </w:p>
    <w:p w14:paraId="6F9E1770" w14:textId="5D67D38C" w:rsidR="007D1C3F" w:rsidRDefault="00511D1D" w:rsidP="00EC18CB">
      <w:pPr>
        <w:pStyle w:val="HSpodbod"/>
      </w:pPr>
      <w:r w:rsidRPr="000B038F">
        <w:t xml:space="preserve">Posílit roli finančního poradenství pro podniky, zejména pro malé a střední podniky, které často nemají dostatečné </w:t>
      </w:r>
      <w:r w:rsidR="00942159" w:rsidRPr="00942159">
        <w:t>informace o možnostech financování</w:t>
      </w:r>
      <w:r w:rsidRPr="000B038F">
        <w:t>.</w:t>
      </w:r>
    </w:p>
    <w:p w14:paraId="2EFC0234" w14:textId="48BDB6D8" w:rsidR="00511D1D" w:rsidRDefault="00511D1D">
      <w:pPr>
        <w:pStyle w:val="HSNadpisIII4"/>
      </w:pPr>
      <w:bookmarkStart w:id="70" w:name="_Toc174703090"/>
      <w:r>
        <w:t xml:space="preserve">Nástroje pro financování </w:t>
      </w:r>
      <w:r w:rsidR="00AB3620">
        <w:t xml:space="preserve">a přípravu </w:t>
      </w:r>
      <w:r>
        <w:t>strategických investic</w:t>
      </w:r>
      <w:bookmarkEnd w:id="70"/>
    </w:p>
    <w:p w14:paraId="6F751354" w14:textId="331CFC1D" w:rsidR="00511D1D" w:rsidRDefault="00511D1D" w:rsidP="00511D1D">
      <w:r>
        <w:t>F</w:t>
      </w:r>
      <w:r w:rsidRPr="00110BD1">
        <w:t xml:space="preserve">inancování strategických investic </w:t>
      </w:r>
      <w:r w:rsidR="00AE039C">
        <w:t xml:space="preserve">je </w:t>
      </w:r>
      <w:r w:rsidRPr="00110BD1">
        <w:t xml:space="preserve">klíčovým prvkem hospodářské politiky, který umožňuje dlouhodobý ekonomický růst a rozvoj infrastruktury. </w:t>
      </w:r>
      <w:r>
        <w:t xml:space="preserve">Financování </w:t>
      </w:r>
      <w:r w:rsidR="00FE7B70">
        <w:t>kapitálově náročných</w:t>
      </w:r>
      <w:r>
        <w:t xml:space="preserve"> investic v České republice je</w:t>
      </w:r>
      <w:r w:rsidR="007633AA">
        <w:t> </w:t>
      </w:r>
      <w:r>
        <w:t>charakterizováno nízkým podílem soukromého kapitálu a zásadní rolí unijních fondů na rozvojových investicích. S ohledem na očekávané snížení prostředků z tohoto zásadního zdroje</w:t>
      </w:r>
      <w:r w:rsidR="00942159">
        <w:t xml:space="preserve"> financování</w:t>
      </w:r>
      <w:r>
        <w:t xml:space="preserve"> je zapotřebí připravit příslušná opatření</w:t>
      </w:r>
      <w:r w:rsidR="00FE7B70">
        <w:t xml:space="preserve"> s důrazem na komplementaritu různých zdrojů financování</w:t>
      </w:r>
      <w:r>
        <w:t>.</w:t>
      </w:r>
      <w:r w:rsidR="00FE7B70">
        <w:t xml:space="preserve"> </w:t>
      </w:r>
    </w:p>
    <w:p w14:paraId="7D50C678" w14:textId="77777777" w:rsidR="0071301E" w:rsidRPr="002A3218" w:rsidRDefault="0071301E" w:rsidP="0071301E">
      <w:pPr>
        <w:pStyle w:val="HSNadpis4bezslovn"/>
      </w:pPr>
      <w:r>
        <w:lastRenderedPageBreak/>
        <w:t>Hl</w:t>
      </w:r>
      <w:r w:rsidRPr="002A3218">
        <w:t>avní opatření:</w:t>
      </w:r>
    </w:p>
    <w:p w14:paraId="1EDAD7BE" w14:textId="483C795C" w:rsidR="0071301E" w:rsidRDefault="0071301E" w:rsidP="0071301E">
      <w:pPr>
        <w:pStyle w:val="HSpodbod"/>
      </w:pPr>
      <w:r>
        <w:t xml:space="preserve">Na </w:t>
      </w:r>
      <w:r w:rsidRPr="009B3130">
        <w:t>národní úrovni zpracovat matici zdrojů (</w:t>
      </w:r>
      <w:r>
        <w:t xml:space="preserve">evropských </w:t>
      </w:r>
      <w:r w:rsidRPr="009B3130">
        <w:t>dotačních, ze státního rozpočtu atd.) a jejich zacílení na konkrétní oblasti a témata</w:t>
      </w:r>
      <w:r>
        <w:t xml:space="preserve"> a</w:t>
      </w:r>
      <w:r w:rsidRPr="009B3130">
        <w:t xml:space="preserve"> sladit zacílení národních dotačních titulů s ostatními dotačními programy a</w:t>
      </w:r>
      <w:r w:rsidR="00565483">
        <w:t> </w:t>
      </w:r>
      <w:r w:rsidRPr="009B3130">
        <w:t>zdroji</w:t>
      </w:r>
      <w:r>
        <w:t>.</w:t>
      </w:r>
    </w:p>
    <w:p w14:paraId="5EDE8B43" w14:textId="77777777" w:rsidR="00511D1D" w:rsidRPr="00905220" w:rsidRDefault="00511D1D" w:rsidP="0059791D">
      <w:pPr>
        <w:pStyle w:val="HSNadpis3bezslovn"/>
      </w:pPr>
      <w:bookmarkStart w:id="71" w:name="_Toc174703091"/>
      <w:r w:rsidRPr="00905220">
        <w:t>Evropské fondy</w:t>
      </w:r>
      <w:bookmarkEnd w:id="71"/>
    </w:p>
    <w:p w14:paraId="1A916C53" w14:textId="7099C3FD" w:rsidR="00511D1D" w:rsidRDefault="00511D1D" w:rsidP="007D1C3F">
      <w:pPr>
        <w:pStyle w:val="HSpodbod"/>
      </w:pPr>
      <w:r>
        <w:t xml:space="preserve">Evropský fond pro regionální rozvoj: </w:t>
      </w:r>
      <w:r w:rsidR="0028057E">
        <w:t>f</w:t>
      </w:r>
      <w:r>
        <w:t>inancuje infrastrukturu, inovace a malé a střední podniky.</w:t>
      </w:r>
    </w:p>
    <w:p w14:paraId="57F55D9B" w14:textId="71AD78F1" w:rsidR="00511D1D" w:rsidRDefault="00511D1D" w:rsidP="007D1C3F">
      <w:pPr>
        <w:pStyle w:val="HSpodbod"/>
      </w:pPr>
      <w:r>
        <w:t xml:space="preserve">Evropský sociální fond: </w:t>
      </w:r>
      <w:r w:rsidR="0028057E">
        <w:t>p</w:t>
      </w:r>
      <w:r>
        <w:t>odporuje zaměstnanost, vzdělávání a sociální inkluzi.</w:t>
      </w:r>
    </w:p>
    <w:p w14:paraId="7B14D8A6" w14:textId="1DC4C559" w:rsidR="00511D1D" w:rsidRDefault="00511D1D" w:rsidP="007D1C3F">
      <w:pPr>
        <w:pStyle w:val="HSpodbod"/>
      </w:pPr>
      <w:r>
        <w:t xml:space="preserve">Kohezní fond: </w:t>
      </w:r>
      <w:r w:rsidR="0028057E">
        <w:t>z</w:t>
      </w:r>
      <w:r>
        <w:t>aměřuje se na dopravu a životní prostředí.</w:t>
      </w:r>
    </w:p>
    <w:p w14:paraId="69C8543C" w14:textId="6B08920D" w:rsidR="00511D1D" w:rsidRDefault="00511D1D" w:rsidP="007D1C3F">
      <w:pPr>
        <w:pStyle w:val="HSpodbod"/>
      </w:pPr>
      <w:r>
        <w:t>Nástroj pro oživení a odolnost (Národní plán obnovy)</w:t>
      </w:r>
      <w:r w:rsidR="00324460">
        <w:t>.</w:t>
      </w:r>
    </w:p>
    <w:p w14:paraId="45546C6B" w14:textId="42D7ED7D" w:rsidR="00511D1D" w:rsidRDefault="00511D1D" w:rsidP="007D1C3F">
      <w:pPr>
        <w:pStyle w:val="HSpodbod"/>
      </w:pPr>
      <w:r>
        <w:t>Modernizační fond</w:t>
      </w:r>
      <w:r w:rsidR="00324460">
        <w:t>.</w:t>
      </w:r>
    </w:p>
    <w:p w14:paraId="52D030EB" w14:textId="70BEBC7C" w:rsidR="00511D1D" w:rsidRDefault="00511D1D" w:rsidP="007D1C3F">
      <w:pPr>
        <w:pStyle w:val="HSpodbod"/>
      </w:pPr>
      <w:r>
        <w:t>Sociálně klimatický fond</w:t>
      </w:r>
      <w:r w:rsidR="00324460">
        <w:t>.</w:t>
      </w:r>
    </w:p>
    <w:p w14:paraId="17F17E5E" w14:textId="6051C659" w:rsidR="00511D1D" w:rsidRDefault="00511D1D" w:rsidP="007D1C3F">
      <w:pPr>
        <w:pStyle w:val="HSpodbod"/>
      </w:pPr>
      <w:proofErr w:type="spellStart"/>
      <w:r w:rsidRPr="00CC6883">
        <w:t>InvestEU</w:t>
      </w:r>
      <w:proofErr w:type="spellEnd"/>
      <w:r w:rsidR="00324460">
        <w:t>.</w:t>
      </w:r>
    </w:p>
    <w:p w14:paraId="26898B35" w14:textId="136C2961" w:rsidR="00511D1D" w:rsidRDefault="00511D1D" w:rsidP="007D1C3F">
      <w:pPr>
        <w:pStyle w:val="HSpodbod"/>
      </w:pPr>
      <w:r w:rsidRPr="00CC6883">
        <w:t>Horizont Evropa</w:t>
      </w:r>
      <w:r w:rsidR="00324460">
        <w:t>.</w:t>
      </w:r>
    </w:p>
    <w:p w14:paraId="05AE266E" w14:textId="377C290F" w:rsidR="00511D1D" w:rsidRDefault="00511D1D" w:rsidP="007D1C3F">
      <w:pPr>
        <w:pStyle w:val="HSpodbod"/>
      </w:pPr>
      <w:r w:rsidRPr="00CC6883">
        <w:t>program Digitální Evropa</w:t>
      </w:r>
      <w:r w:rsidR="00324460">
        <w:t>.</w:t>
      </w:r>
    </w:p>
    <w:p w14:paraId="050509F4" w14:textId="7CACA9D7" w:rsidR="00511D1D" w:rsidRDefault="00511D1D" w:rsidP="007D1C3F">
      <w:pPr>
        <w:pStyle w:val="HSpodbod"/>
      </w:pPr>
      <w:r w:rsidRPr="00CC6883">
        <w:t>Evropský obranný fond</w:t>
      </w:r>
      <w:r w:rsidR="00324460">
        <w:t>.</w:t>
      </w:r>
    </w:p>
    <w:p w14:paraId="2D5B8DC3" w14:textId="06FC900D" w:rsidR="00511D1D" w:rsidRDefault="00511D1D" w:rsidP="007D1C3F">
      <w:pPr>
        <w:pStyle w:val="HSpodbod"/>
      </w:pPr>
      <w:r w:rsidRPr="00CC6883">
        <w:t>Inovační fond</w:t>
      </w:r>
      <w:r w:rsidR="00324460">
        <w:t>.</w:t>
      </w:r>
    </w:p>
    <w:p w14:paraId="44E86609" w14:textId="423213F2" w:rsidR="00324460" w:rsidRDefault="00511D1D" w:rsidP="001F1003">
      <w:pPr>
        <w:pStyle w:val="HSpodbod"/>
        <w:spacing w:after="120"/>
      </w:pPr>
      <w:r w:rsidRPr="00CC6883">
        <w:t>EU4Health</w:t>
      </w:r>
      <w:r w:rsidR="00324460">
        <w:t>.</w:t>
      </w:r>
    </w:p>
    <w:p w14:paraId="4AD4F9FD" w14:textId="31B9A8DC" w:rsidR="00511D1D" w:rsidRDefault="00511D1D" w:rsidP="007D1C3F">
      <w:r w:rsidRPr="007D1C3F">
        <w:rPr>
          <w:b/>
          <w:bCs/>
        </w:rPr>
        <w:t>Kohezní politika pro období 2028+</w:t>
      </w:r>
      <w:r>
        <w:t xml:space="preserve"> je na unijní úrovni předmětem intenzivních debat a je možné, že dozná řadu změn čerpajících inspiraci např. v Nástroji pro oživení a odolnost, včetně výpočtu způsobilosti regionu ke kohezní politice.</w:t>
      </w:r>
      <w:r w:rsidR="00985A28">
        <w:rPr>
          <w:rStyle w:val="Odkaznavysvtlivky"/>
        </w:rPr>
        <w:endnoteReference w:id="41"/>
      </w:r>
      <w:r w:rsidR="00985A28">
        <w:t xml:space="preserve"> </w:t>
      </w:r>
      <w:r>
        <w:t>Lze předpokládat, že bude pokračovat trend provázání rozpočtu EU s prioritami a novými politikami EU, například důraz na financování zelené a digitální transformace, ale také</w:t>
      </w:r>
      <w:r w:rsidR="0028057E">
        <w:t>, že</w:t>
      </w:r>
      <w:r>
        <w:t xml:space="preserve"> bude kladen větší důraz na využívání návratných forem podpory. Očekává se, že </w:t>
      </w:r>
      <w:r w:rsidR="0028057E">
        <w:t xml:space="preserve">se bude </w:t>
      </w:r>
      <w:r>
        <w:t xml:space="preserve">financování ve větší </w:t>
      </w:r>
      <w:r w:rsidR="00B0737C">
        <w:t xml:space="preserve">míře </w:t>
      </w:r>
      <w:r w:rsidR="0028057E">
        <w:t xml:space="preserve">zaměřovat </w:t>
      </w:r>
      <w:r>
        <w:t>na dosahování výsledků</w:t>
      </w:r>
      <w:r w:rsidR="0028057E">
        <w:t xml:space="preserve"> (výkonové rozpočtování)</w:t>
      </w:r>
      <w:r>
        <w:t>, včetně provazování investic a klíčových reforem. Bude proto vyvíjen silný tlak na efektivní využití těchto zdrojů, a to ve třech následujících dimenzích:</w:t>
      </w:r>
    </w:p>
    <w:p w14:paraId="67874808" w14:textId="77777777" w:rsidR="00511D1D" w:rsidRDefault="00511D1D" w:rsidP="007D1C3F">
      <w:pPr>
        <w:pStyle w:val="HSpodbodysla1"/>
      </w:pPr>
      <w:r>
        <w:t>zacílení podpory,</w:t>
      </w:r>
    </w:p>
    <w:p w14:paraId="4BE3550A" w14:textId="77777777" w:rsidR="00511D1D" w:rsidRDefault="00511D1D" w:rsidP="007D1C3F">
      <w:pPr>
        <w:pStyle w:val="HSpodbodysla1"/>
      </w:pPr>
      <w:r>
        <w:t>forma poskytování podpory,</w:t>
      </w:r>
    </w:p>
    <w:p w14:paraId="6B423D51" w14:textId="7E8B36C7" w:rsidR="00511D1D" w:rsidRDefault="00511D1D" w:rsidP="0028057E">
      <w:pPr>
        <w:pStyle w:val="HSpodbodysla1"/>
        <w:spacing w:after="120"/>
      </w:pPr>
      <w:r>
        <w:t>způsob administrování podpory.</w:t>
      </w:r>
    </w:p>
    <w:p w14:paraId="673740B6" w14:textId="77777777" w:rsidR="00511D1D" w:rsidRPr="00CF30C1" w:rsidRDefault="00511D1D" w:rsidP="007D1C3F">
      <w:pPr>
        <w:pStyle w:val="HSNadpis5bezslovn"/>
      </w:pPr>
      <w:r>
        <w:t>Zacílení podpory</w:t>
      </w:r>
    </w:p>
    <w:p w14:paraId="4DBA82B9" w14:textId="3A8FD7BD" w:rsidR="00511D1D" w:rsidRDefault="00511D1D" w:rsidP="00511D1D">
      <w:r>
        <w:t xml:space="preserve">Lze očekávat, že zacílení podpory bude celkově na unijní úrovni více směřovat do tzv. „měkkých“ podpor vázaných na sociální dimenzi a uplatnění jednotlivce na trhu práce, a to </w:t>
      </w:r>
      <w:r w:rsidR="00942159">
        <w:t>v souvislosti s</w:t>
      </w:r>
      <w:r>
        <w:t> dvojí tranzic</w:t>
      </w:r>
      <w:r w:rsidR="00942159">
        <w:t>í</w:t>
      </w:r>
      <w:r>
        <w:t>. Úbytek prostředků lze očekávat pro oblast tradičních podpor</w:t>
      </w:r>
      <w:r w:rsidR="008F3A58">
        <w:t>,</w:t>
      </w:r>
      <w:r>
        <w:t xml:space="preserve"> např. do běžné městské infrastruktury. Ještě vyšší pozornost bude věnována nov</w:t>
      </w:r>
      <w:r w:rsidR="008F3A58">
        <w:t>ým</w:t>
      </w:r>
      <w:r>
        <w:t xml:space="preserve"> inovativní</w:t>
      </w:r>
      <w:r w:rsidR="008F3A58">
        <w:t>m</w:t>
      </w:r>
      <w:r>
        <w:t xml:space="preserve"> technologií</w:t>
      </w:r>
      <w:r w:rsidR="008F3A58">
        <w:t>m</w:t>
      </w:r>
      <w:r>
        <w:t>, dekarbonizac</w:t>
      </w:r>
      <w:r w:rsidR="008F3A58">
        <w:t>i</w:t>
      </w:r>
      <w:r>
        <w:t xml:space="preserve"> a digitalizac</w:t>
      </w:r>
      <w:r w:rsidR="008F3A58">
        <w:t>i</w:t>
      </w:r>
      <w:r>
        <w:t>. Na úrovni České republiky je</w:t>
      </w:r>
      <w:r w:rsidR="007633AA">
        <w:t> </w:t>
      </w:r>
      <w:r>
        <w:t>proto klíčové začít připravovat komplexní plán pro efektivní zacílení podpor z unijních nástrojů.</w:t>
      </w:r>
    </w:p>
    <w:p w14:paraId="0735CFAC" w14:textId="77777777" w:rsidR="00511D1D" w:rsidRPr="00CF30C1" w:rsidRDefault="00511D1D" w:rsidP="007D1C3F">
      <w:pPr>
        <w:pStyle w:val="HSNadpis5bezslovn"/>
      </w:pPr>
      <w:r>
        <w:t xml:space="preserve">Forma poskytování podpory a </w:t>
      </w:r>
      <w:r w:rsidRPr="00BF3F6A">
        <w:t>zdroje financování</w:t>
      </w:r>
    </w:p>
    <w:p w14:paraId="366CB281" w14:textId="2DD80BEB" w:rsidR="00511D1D" w:rsidRDefault="00511D1D" w:rsidP="00511D1D">
      <w:r>
        <w:t>Řada dosavadních poznatků poukazuje na to, že přínos alokovaných prostředků by mohl být pro ekonomiku vyšší, pokud by byly více využívány finanční nástroje a další alternativní pobídkové systémy, které jsou více orientovány na skutečný dosažený efekt u příjemce podpory. Cílem je zabránit vzniku firem, jejichž existence je</w:t>
      </w:r>
      <w:r w:rsidR="007633AA">
        <w:t> </w:t>
      </w:r>
      <w:r>
        <w:t xml:space="preserve">závislá na příjmu z dotací. </w:t>
      </w:r>
      <w:r w:rsidR="0028057E" w:rsidRPr="0028057E">
        <w:t xml:space="preserve">To by </w:t>
      </w:r>
      <w:r w:rsidR="00CA2589">
        <w:t xml:space="preserve">ostatně </w:t>
      </w:r>
      <w:r w:rsidR="0028057E" w:rsidRPr="0028057E">
        <w:t>nemělo být důsledkem jakék</w:t>
      </w:r>
      <w:r w:rsidR="0028057E">
        <w:t>o</w:t>
      </w:r>
      <w:r w:rsidR="0028057E" w:rsidRPr="0028057E">
        <w:t>liv podpory z veřejných zdrojů, byť formou finančních, daňových nebo jiných schémat.</w:t>
      </w:r>
    </w:p>
    <w:p w14:paraId="0308E179" w14:textId="77777777" w:rsidR="00511D1D" w:rsidRDefault="00511D1D" w:rsidP="00511D1D">
      <w:r>
        <w:t>Hlavní formy podpory by měly kombinovat zejména:</w:t>
      </w:r>
    </w:p>
    <w:p w14:paraId="06BE93EF" w14:textId="1B34B410" w:rsidR="00511D1D" w:rsidRDefault="005C0ACF" w:rsidP="007D1C3F">
      <w:pPr>
        <w:pStyle w:val="HSpodbod"/>
      </w:pPr>
      <w:r>
        <w:t>daňové úlevy (obdobně jako investiční pobídky na národní úrovni)</w:t>
      </w:r>
      <w:r w:rsidR="00511D1D">
        <w:t>,</w:t>
      </w:r>
    </w:p>
    <w:p w14:paraId="583DFB69" w14:textId="065DC2B2" w:rsidR="00511D1D" w:rsidRDefault="00511D1D" w:rsidP="008A27CF">
      <w:pPr>
        <w:pStyle w:val="HSpodbod"/>
        <w:spacing w:after="120"/>
      </w:pPr>
      <w:r>
        <w:t>finanční nástroje</w:t>
      </w:r>
      <w:r w:rsidR="0028057E">
        <w:t>, jako jsou</w:t>
      </w:r>
      <w:r>
        <w:t xml:space="preserve"> </w:t>
      </w:r>
      <w:r w:rsidR="00942159">
        <w:t xml:space="preserve">rizikový kapitál, </w:t>
      </w:r>
      <w:r>
        <w:t>půjčky</w:t>
      </w:r>
      <w:r w:rsidRPr="00431BF2">
        <w:t>, záruky, me</w:t>
      </w:r>
      <w:r>
        <w:t>zaninové financování</w:t>
      </w:r>
      <w:r w:rsidRPr="00431BF2">
        <w:t>, finanční nástroje kombinované s</w:t>
      </w:r>
      <w:r>
        <w:t> </w:t>
      </w:r>
      <w:r w:rsidRPr="00431BF2">
        <w:t>grantem</w:t>
      </w:r>
      <w:r>
        <w:t>.</w:t>
      </w:r>
    </w:p>
    <w:p w14:paraId="63EC4966" w14:textId="6120ACDE" w:rsidR="008A27CF" w:rsidRDefault="005C0ACF" w:rsidP="008A27CF">
      <w:bookmarkStart w:id="72" w:name="_Hlk172722519"/>
      <w:r>
        <w:t>Daňové úlevy</w:t>
      </w:r>
      <w:r w:rsidR="008A27CF">
        <w:t xml:space="preserve"> </w:t>
      </w:r>
      <w:r w:rsidR="00CA2589">
        <w:t>představují</w:t>
      </w:r>
      <w:r w:rsidR="008A27CF">
        <w:t xml:space="preserve"> nástroj hospodářské politiky, kdy je možno cíleně motivovat podniky k investicím v určité oblasti či odvětví. Chybí v něm však jasná metodika, napojení na plnění strategických cílů </w:t>
      </w:r>
      <w:r w:rsidR="00C56CA1">
        <w:t>České republiky</w:t>
      </w:r>
      <w:r w:rsidR="008A27CF">
        <w:t xml:space="preserve">, </w:t>
      </w:r>
      <w:r w:rsidR="008A27CF">
        <w:lastRenderedPageBreak/>
        <w:t>vyhodnocení přínosů a dosažených cílů ex post, včetně případného přehodnocení výše veřejné podpory. U přímých zahraničních investic jde obvykle o formu slevy na</w:t>
      </w:r>
      <w:r w:rsidR="007633AA">
        <w:t> </w:t>
      </w:r>
      <w:r w:rsidR="008A27CF">
        <w:t>dani z příjmů, tj. o podporu ziskových firem a projektů.</w:t>
      </w:r>
    </w:p>
    <w:bookmarkEnd w:id="72"/>
    <w:p w14:paraId="1EE3BC16" w14:textId="5F107F81" w:rsidR="00942159" w:rsidRDefault="00942159" w:rsidP="00942159">
      <w:r>
        <w:t>Finanční nástroje umožňují dle fáze vývoje, potřeb a strategie firmy rychle nasměrovat vhodnou podporu a objem finančních prostředků. Rizikový kapitál a andělské investice prostřednictvím nákupu podílu ve firmě podporují vznik a rozvoj mladých inovativních a rychle rostoucích firem. Tradičnější formy financování jako záruky a úvěry se státní garancí zvyšují likviditu na trhu pro zavedenější malé a střední podniky rovněž tím, ž</w:t>
      </w:r>
      <w:r w:rsidR="007633AA">
        <w:t>e </w:t>
      </w:r>
      <w:r>
        <w:t xml:space="preserve">umožňují prostředky směřovat také na operativní a provozní výdaje firem. </w:t>
      </w:r>
      <w:proofErr w:type="spellStart"/>
      <w:r>
        <w:t>Mezzaninové</w:t>
      </w:r>
      <w:proofErr w:type="spellEnd"/>
      <w:r>
        <w:t xml:space="preserve"> financování a finanční nástroje kombinované s grantem pak nabízejí kombinace různých finančních nástrojů. Společným jmenovatelem finančních nástrojů je jejich vysoká návratnost a možnost cirkulovat v ekonomice i desítky let před svým úplným vyčerpáním.</w:t>
      </w:r>
    </w:p>
    <w:p w14:paraId="0DA21011" w14:textId="42973A97" w:rsidR="008A27CF" w:rsidRDefault="008A27CF" w:rsidP="008A27CF">
      <w:r>
        <w:t>Zmíněné formy financování podporují přechod od sporně vnímané dotační ekonomiky k více motivačnímu systému udělování podpory.</w:t>
      </w:r>
    </w:p>
    <w:p w14:paraId="71851588" w14:textId="77777777" w:rsidR="00511D1D" w:rsidRPr="00CF30C1" w:rsidRDefault="00511D1D" w:rsidP="007D1C3F">
      <w:pPr>
        <w:pStyle w:val="HSNadpis5bezslovn"/>
      </w:pPr>
      <w:r>
        <w:t>Způsob administrování podpory</w:t>
      </w:r>
    </w:p>
    <w:p w14:paraId="1997F6FF" w14:textId="16F84FE8" w:rsidR="00511D1D" w:rsidRDefault="00511D1D" w:rsidP="00511D1D">
      <w:r>
        <w:t xml:space="preserve">Vyšší efektivity a synergických efektů pak lze jednoznačně dosáhnout v oblasti administrování operačních programů. Současný český systém je charakteristický svou výraznou roztříštěností, nejednotností a složitou koordinací. Nejen z těchto důvodů je vhodné se pro období 2028+ zamyslet nad sloučením některých operačních programů, a tedy snížením jejich počtu. V současném </w:t>
      </w:r>
      <w:r w:rsidR="00AE039C">
        <w:t xml:space="preserve">programovém </w:t>
      </w:r>
      <w:r>
        <w:t>období se jedná celkem o 12 programů. Například na Slovensku existuje pouze jeden hlavní operační program (Program Slovensko), který je rozdělen do</w:t>
      </w:r>
      <w:r w:rsidR="007633AA">
        <w:t> </w:t>
      </w:r>
      <w:r>
        <w:t>několika komponent s různými gescemi. V Polsku došlo ke sloučení agendy životního prostředí a dopravy do</w:t>
      </w:r>
      <w:r w:rsidR="007633AA">
        <w:t> </w:t>
      </w:r>
      <w:r>
        <w:t xml:space="preserve">jednoho podpůrného operačního programu. Sloučením operačních programů by se zajistila vyšší koncentrace prostředků na strategické projekty a zároveň by se přispělo ke snížení úředního aparátu </w:t>
      </w:r>
      <w:proofErr w:type="spellStart"/>
      <w:r>
        <w:t>administrujícího</w:t>
      </w:r>
      <w:proofErr w:type="spellEnd"/>
      <w:r>
        <w:t xml:space="preserve"> tento vysoký počet programů.</w:t>
      </w:r>
    </w:p>
    <w:p w14:paraId="61DDA84E" w14:textId="458CFBD3" w:rsidR="00511D1D" w:rsidRDefault="00511D1D" w:rsidP="006E5591">
      <w:r>
        <w:t>Současně je vhodné podpořit existenci jednotného monitorovacího systému pro administraci podpor všech druhů. Díky ucelenému systému by byla zajištěna dostupnost všech informací o žadateli všem poskytovatelům podpory.</w:t>
      </w:r>
    </w:p>
    <w:p w14:paraId="0F8E995F" w14:textId="033C0629" w:rsidR="00511D1D" w:rsidRPr="002A3218" w:rsidRDefault="006E5591" w:rsidP="006E5591">
      <w:pPr>
        <w:pStyle w:val="HSNadpis4bezslovn"/>
      </w:pPr>
      <w:r>
        <w:t>Hl</w:t>
      </w:r>
      <w:r w:rsidR="00511D1D" w:rsidRPr="002A3218">
        <w:t>avní opatření:</w:t>
      </w:r>
    </w:p>
    <w:p w14:paraId="6C9E8D9A" w14:textId="5B27B74F" w:rsidR="00511D1D" w:rsidRDefault="00511D1D" w:rsidP="007D1C3F">
      <w:pPr>
        <w:pStyle w:val="HSpodbod"/>
      </w:pPr>
      <w:r>
        <w:t>Připravit komplexní plán zacílení evropských programů po roce 2028.</w:t>
      </w:r>
    </w:p>
    <w:p w14:paraId="19AB40B6" w14:textId="4F1E3B2A" w:rsidR="00511D1D" w:rsidRDefault="00511D1D" w:rsidP="007D1C3F">
      <w:pPr>
        <w:pStyle w:val="HSpodbod"/>
      </w:pPr>
      <w:r>
        <w:t>Prosadit nové formy financování založené na finančních nástrojích a přejít od dotační podpory k </w:t>
      </w:r>
      <w:r w:rsidR="005C0ACF">
        <w:t xml:space="preserve">daňové </w:t>
      </w:r>
      <w:r>
        <w:t>formě s kompenzací pro státní rozpočet.</w:t>
      </w:r>
    </w:p>
    <w:p w14:paraId="59DE5205" w14:textId="1DB02E50" w:rsidR="00511D1D" w:rsidRDefault="00511D1D" w:rsidP="007D1C3F">
      <w:pPr>
        <w:pStyle w:val="HSpodbod"/>
      </w:pPr>
      <w:r>
        <w:t>Sloučit administraci programů do jednoho kompetenčního centra.</w:t>
      </w:r>
    </w:p>
    <w:p w14:paraId="40FD63BB" w14:textId="6EC10553" w:rsidR="00511D1D" w:rsidRDefault="00511D1D" w:rsidP="008A27CF">
      <w:pPr>
        <w:pStyle w:val="HSpodbod"/>
        <w:spacing w:after="120"/>
      </w:pPr>
      <w:r>
        <w:t>Posílit účast v </w:t>
      </w:r>
      <w:r w:rsidR="00881DA4" w:rsidRPr="00881DA4">
        <w:t xml:space="preserve">rámcových </w:t>
      </w:r>
      <w:r>
        <w:t>programech EU.</w:t>
      </w:r>
    </w:p>
    <w:p w14:paraId="7FF93DAB" w14:textId="7DF645EC" w:rsidR="00511D1D" w:rsidRPr="007D1C3F" w:rsidRDefault="00511D1D" w:rsidP="00743C12">
      <w:pPr>
        <w:pStyle w:val="HSNadpis3bezslovn"/>
      </w:pPr>
      <w:bookmarkStart w:id="73" w:name="_Toc174703092"/>
      <w:r w:rsidRPr="007D1C3F">
        <w:t xml:space="preserve">Státní rozpočet a </w:t>
      </w:r>
      <w:r w:rsidR="00A832E8">
        <w:t>státní fondy</w:t>
      </w:r>
      <w:bookmarkEnd w:id="73"/>
    </w:p>
    <w:p w14:paraId="17BFBE16" w14:textId="32ED0BE0" w:rsidR="00511D1D" w:rsidRDefault="00511D1D" w:rsidP="00511D1D">
      <w:r w:rsidRPr="004C79F4">
        <w:t xml:space="preserve">Investiční financování </w:t>
      </w:r>
      <w:r>
        <w:t>ze státního rozpočtu je zapotřebí více zpřehlednit a udělat systém více transparentní s prvky finančního plánování, kter</w:t>
      </w:r>
      <w:r w:rsidR="005764A4">
        <w:t>é</w:t>
      </w:r>
      <w:r>
        <w:t xml:space="preserve"> bude přehledn</w:t>
      </w:r>
      <w:r w:rsidR="005764A4">
        <w:t>é</w:t>
      </w:r>
      <w:r>
        <w:t>. V následujících letech vyvstane potřeba financovat řadu klíčových infrastrukturních projektů – projekt nových jaderných zdrojů, vysokorychlostní železnice, dostavba dálniční a železniční sítě, modernizace energetiky. Přestože není technicky možné oddělit investiční rozpočet od</w:t>
      </w:r>
      <w:r w:rsidR="007633AA">
        <w:t> </w:t>
      </w:r>
      <w:r>
        <w:t>zbytku státního rozpočtu, je zapotřebí, aby existoval přehledný systém, ze kterého bude zřejmý dlouhodobý finanční plán strategických investic</w:t>
      </w:r>
      <w:r w:rsidR="008A27CF">
        <w:t xml:space="preserve"> a také s vyčíslením jejich dopadů do ekonomiky</w:t>
      </w:r>
      <w:r>
        <w:t>.</w:t>
      </w:r>
      <w:r w:rsidR="005764A4">
        <w:t xml:space="preserve"> Potažmo bude nutné přejít na systém rozpočtování, který obecně bude mnohem silněji zaměřen na výstupy a efektivnost vynakládaných prostředků.</w:t>
      </w:r>
    </w:p>
    <w:p w14:paraId="72E9D424" w14:textId="05D4DFA2" w:rsidR="005C0ACF" w:rsidRDefault="005C0ACF" w:rsidP="00511D1D">
      <w:r w:rsidRPr="005C0ACF">
        <w:t xml:space="preserve">Ze státního rozpočtu jsou také financovány investiční pobídky poskytované podle zákona č. 72/2000 Sb., které slouží k podpoře vybraných investic soukromých investorů na území </w:t>
      </w:r>
      <w:r w:rsidR="00BC2E34">
        <w:t>České republiky</w:t>
      </w:r>
      <w:r w:rsidRPr="005C0ACF">
        <w:t>. Podporovány jsou zejména investice pro Českou republiku strategické svým rozsahem nebo svým zaměřením, které bývají realizovány primárně velkými podniky, jež mají omezené možnosti podpory z Evropských fondů.</w:t>
      </w:r>
    </w:p>
    <w:p w14:paraId="31EC1A4D" w14:textId="5336A878" w:rsidR="00511D1D" w:rsidRDefault="00511D1D" w:rsidP="00511D1D">
      <w:r>
        <w:t>V řadě oblastí má Česká republika investiční deficity, vč. infrastrukturního dluhu místních samospráv. Současná úprava a skladebnost způsobů financování napříč jednotlivými nástroji není příznivá pro efektivní investování. Specifickým problémem je dlouhodobě deficitní hospodaření ústřední vlády, a naopak generování přebytků v místních samosprávách, které se však uskutečňují často na úkor infrastrukturního dluhu. Obdobná situace je</w:t>
      </w:r>
      <w:r w:rsidR="007633AA">
        <w:t> </w:t>
      </w:r>
      <w:r>
        <w:t>jak u krajů, tak i obcí.</w:t>
      </w:r>
    </w:p>
    <w:p w14:paraId="49B9BA50" w14:textId="77777777" w:rsidR="00511D1D" w:rsidRPr="002A3218" w:rsidRDefault="00511D1D" w:rsidP="007D1C3F">
      <w:pPr>
        <w:pStyle w:val="HSNadpis4bezslovn"/>
      </w:pPr>
      <w:r w:rsidRPr="002A3218">
        <w:lastRenderedPageBreak/>
        <w:t>Hlavní opatření:</w:t>
      </w:r>
    </w:p>
    <w:p w14:paraId="752D6DB2" w14:textId="57F5E208" w:rsidR="00511D1D" w:rsidRDefault="00511D1D" w:rsidP="007D1C3F">
      <w:pPr>
        <w:pStyle w:val="HSpodbod"/>
      </w:pPr>
      <w:r>
        <w:t xml:space="preserve">Připravit investiční </w:t>
      </w:r>
      <w:r w:rsidR="008A27CF">
        <w:t xml:space="preserve">plán </w:t>
      </w:r>
      <w:r>
        <w:t>České republiky reflektující klíčové strategi</w:t>
      </w:r>
      <w:r w:rsidR="008A27CF">
        <w:t>e</w:t>
      </w:r>
      <w:r w:rsidR="003B5162">
        <w:t xml:space="preserve"> a</w:t>
      </w:r>
      <w:r w:rsidR="008A27CF" w:rsidRPr="008A27CF">
        <w:t xml:space="preserve"> jejich ekonomické, sociální a rozpočtové dopady</w:t>
      </w:r>
      <w:r>
        <w:t>.</w:t>
      </w:r>
    </w:p>
    <w:p w14:paraId="6AD62F50" w14:textId="5F1753E1" w:rsidR="00511D1D" w:rsidRDefault="00511D1D" w:rsidP="007D1C3F">
      <w:pPr>
        <w:pStyle w:val="HSpodbod"/>
      </w:pPr>
      <w:r>
        <w:t>Přejít od indexového rozpočtování k výkonovému.</w:t>
      </w:r>
    </w:p>
    <w:p w14:paraId="35E1EE66" w14:textId="03D28828" w:rsidR="00511D1D" w:rsidRDefault="00511D1D" w:rsidP="007D1C3F">
      <w:pPr>
        <w:pStyle w:val="HSpodbod"/>
      </w:pPr>
      <w:r>
        <w:t>Systematicky uplatňovat tzv. revize výdajů státu</w:t>
      </w:r>
      <w:r w:rsidR="008A27CF" w:rsidRPr="008A27CF">
        <w:t xml:space="preserve"> a sledovat a vyhodnocovat hodnotu za peníze</w:t>
      </w:r>
      <w:r>
        <w:t>.</w:t>
      </w:r>
    </w:p>
    <w:p w14:paraId="4CC16F8E" w14:textId="641F4B33" w:rsidR="00511D1D" w:rsidRPr="005729BA" w:rsidRDefault="00511D1D" w:rsidP="00A62175">
      <w:pPr>
        <w:pStyle w:val="HSpodbod"/>
      </w:pPr>
      <w:r w:rsidRPr="005729BA">
        <w:t xml:space="preserve">Upřednostňovat tržně konformní nástroje a </w:t>
      </w:r>
      <w:r>
        <w:t xml:space="preserve">snižovat </w:t>
      </w:r>
      <w:r w:rsidRPr="005729BA">
        <w:t>podíl veřejné podpory formou dotací</w:t>
      </w:r>
      <w:r>
        <w:t>.</w:t>
      </w:r>
    </w:p>
    <w:p w14:paraId="33E17B2B" w14:textId="6D9501AA" w:rsidR="00511D1D" w:rsidRDefault="00511D1D" w:rsidP="007D1C3F">
      <w:pPr>
        <w:pStyle w:val="HSpodbod"/>
      </w:pPr>
      <w:r w:rsidRPr="005729BA">
        <w:t>Připravit návrh mechanismu koordinované a odborné přípravy programů podpory, který bere v úvahu dopady na konkurenceschopnost a nastavuje řešení</w:t>
      </w:r>
      <w:r>
        <w:t xml:space="preserve"> </w:t>
      </w:r>
      <w:r w:rsidRPr="005729BA">
        <w:t>veřejné podpory a sdílení nejlepší praxe</w:t>
      </w:r>
      <w:r>
        <w:t>.</w:t>
      </w:r>
    </w:p>
    <w:p w14:paraId="53851D68" w14:textId="1F94CD54" w:rsidR="00A832E8" w:rsidRDefault="008A27CF">
      <w:pPr>
        <w:pStyle w:val="HSpodbod"/>
        <w:spacing w:after="120"/>
      </w:pPr>
      <w:r>
        <w:t>R</w:t>
      </w:r>
      <w:r w:rsidR="00511D1D" w:rsidRPr="00215382">
        <w:t>eflektovat aspekty efektivního a koordinovaného investování napříč úrovněmi vlády.</w:t>
      </w:r>
    </w:p>
    <w:p w14:paraId="34C5F028" w14:textId="086AE968" w:rsidR="00A832E8" w:rsidRDefault="00A832E8" w:rsidP="00A832E8">
      <w:pPr>
        <w:pStyle w:val="HSNadpis3bezslovn"/>
      </w:pPr>
      <w:bookmarkStart w:id="74" w:name="_Toc174703093"/>
      <w:r>
        <w:t>R</w:t>
      </w:r>
      <w:r w:rsidRPr="007D1C3F">
        <w:t>ozpočty</w:t>
      </w:r>
      <w:r>
        <w:t xml:space="preserve"> obcí a krajů</w:t>
      </w:r>
      <w:bookmarkEnd w:id="74"/>
    </w:p>
    <w:p w14:paraId="1501C09B" w14:textId="15D8D7DC" w:rsidR="00BC2A2F" w:rsidRDefault="00BC2A2F" w:rsidP="00BC2A2F">
      <w:r>
        <w:t xml:space="preserve">Státní správa a samospráva poskytují služby občanům. Samospráva představuje </w:t>
      </w:r>
      <w:r w:rsidR="006D0CE8">
        <w:t xml:space="preserve">paralelní a </w:t>
      </w:r>
      <w:r>
        <w:t>specifický způsob řízení územního celku, kde daný subjekt o některých svých záležitostech rozhoduje sám autonomním způsobem. Výhodou samosprávy je, že je blíže spravovaným subjektům, než bývá vnější nebo centrální řízení, proto je</w:t>
      </w:r>
      <w:r w:rsidR="007633AA">
        <w:t> </w:t>
      </w:r>
      <w:r>
        <w:t>za</w:t>
      </w:r>
      <w:r w:rsidR="006D0CE8">
        <w:t> </w:t>
      </w:r>
      <w:r>
        <w:t>předpokladu napl</w:t>
      </w:r>
      <w:r w:rsidR="009850B6">
        <w:t>ňová</w:t>
      </w:r>
      <w:r>
        <w:t>ní standardů dobré praxe při zabezpečování lokálních záležitostí efektivnější a levnější</w:t>
      </w:r>
      <w:r w:rsidR="00EE0D73">
        <w:t>, a to především díky pohotovosti, uplatňované při minimalizaci škod v mimořádných situacích</w:t>
      </w:r>
      <w:r>
        <w:t>.</w:t>
      </w:r>
    </w:p>
    <w:p w14:paraId="5851897D" w14:textId="5123BC64" w:rsidR="00BC2A2F" w:rsidRDefault="00BC2A2F" w:rsidP="00BC2A2F">
      <w:r>
        <w:t>Příjmy samosprávních rozpočtů jsou determinovány zákonem rozpočtového určení daní</w:t>
      </w:r>
      <w:r w:rsidR="00741913">
        <w:t>,</w:t>
      </w:r>
      <w:r>
        <w:t xml:space="preserve"> který stanovuje způsob a úroveň transferů </w:t>
      </w:r>
      <w:r w:rsidR="00735FD5">
        <w:t xml:space="preserve">mixu </w:t>
      </w:r>
      <w:r>
        <w:t xml:space="preserve">svěřených nebo sdílených daní podle jejich typu. Specifikem České republiky oproti jiným zemím je rovnoměrnější distribuce daňových výnosů směrem k samosprávám v zájmu snižování socioekonomických regionálních rozdílů, která je docílená </w:t>
      </w:r>
      <w:r w:rsidR="00144740">
        <w:t>přesunem</w:t>
      </w:r>
      <w:r>
        <w:t xml:space="preserve"> </w:t>
      </w:r>
      <w:r w:rsidR="00144740">
        <w:t>daně z příjmů osob působících v</w:t>
      </w:r>
      <w:r w:rsidR="00432679">
        <w:t> </w:t>
      </w:r>
      <w:r w:rsidR="00144740">
        <w:t>daném území z</w:t>
      </w:r>
      <w:r w:rsidR="00EE0D73">
        <w:t> </w:t>
      </w:r>
      <w:r w:rsidR="00144740">
        <w:t>kategorie svěřených daní do kategorie sdílených daní</w:t>
      </w:r>
      <w:r>
        <w:t>.</w:t>
      </w:r>
      <w:r w:rsidR="00297A81">
        <w:t xml:space="preserve"> </w:t>
      </w:r>
      <w:r w:rsidR="00B82552">
        <w:t>Principiální výhodou rovnoměrného přidělování zdrojů j</w:t>
      </w:r>
      <w:r w:rsidR="00F17EEC">
        <w:t>sou</w:t>
      </w:r>
      <w:r w:rsidR="00B82552">
        <w:t xml:space="preserve"> stabilizace výkonu přenesené působnosti a provozu činností především v menších obcích. Naopak nevýhodou </w:t>
      </w:r>
      <w:r w:rsidR="00884E30">
        <w:t xml:space="preserve">rovného </w:t>
      </w:r>
      <w:r w:rsidR="00B82552">
        <w:t>nastavení, charakteriz</w:t>
      </w:r>
      <w:r w:rsidR="00884E30">
        <w:t>ovaného</w:t>
      </w:r>
      <w:r w:rsidR="00B82552">
        <w:t xml:space="preserve"> absenc</w:t>
      </w:r>
      <w:r w:rsidR="00884E30">
        <w:t>í</w:t>
      </w:r>
      <w:r w:rsidR="00B82552">
        <w:t xml:space="preserve"> prvku soutěže o zdroje, jsou ztráta motivace uspět a pokles snahy neustále zvyšovat svůj výkon, které jsou doprovázeny nežádoucími jevy, jako jsou například tzv. „NIMBY“</w:t>
      </w:r>
      <w:r w:rsidR="00791A37">
        <w:t xml:space="preserve"> (</w:t>
      </w:r>
      <w:r w:rsidR="00791A37" w:rsidRPr="00127B36">
        <w:rPr>
          <w:lang w:val="en-GB"/>
        </w:rPr>
        <w:t>not in my back yard</w:t>
      </w:r>
      <w:r w:rsidR="00791A37">
        <w:t>)</w:t>
      </w:r>
      <w:r w:rsidR="00B82552">
        <w:t xml:space="preserve"> </w:t>
      </w:r>
      <w:r w:rsidR="00FF71D5">
        <w:t>efekt</w:t>
      </w:r>
      <w:r w:rsidR="00B82552">
        <w:t xml:space="preserve">, </w:t>
      </w:r>
      <w:proofErr w:type="spellStart"/>
      <w:r w:rsidR="00B82552">
        <w:t>podinvestování</w:t>
      </w:r>
      <w:proofErr w:type="spellEnd"/>
      <w:r w:rsidR="00B82552">
        <w:t>, znehodnocení úspor, zaostávání v rámci regionu nebo odliv talentu.</w:t>
      </w:r>
    </w:p>
    <w:p w14:paraId="2FFCCAB9" w14:textId="77777777" w:rsidR="00791A37" w:rsidRDefault="00BC2A2F" w:rsidP="00791A37">
      <w:r>
        <w:t>Samosprávy</w:t>
      </w:r>
      <w:r w:rsidR="00CB0E6A">
        <w:t xml:space="preserve"> </w:t>
      </w:r>
      <w:r w:rsidR="00791A37">
        <w:t xml:space="preserve">by se měly </w:t>
      </w:r>
      <w:r w:rsidR="00CB0E6A">
        <w:t>i</w:t>
      </w:r>
      <w:r w:rsidR="009B750F">
        <w:t xml:space="preserve"> přes svoji autonomní sílu</w:t>
      </w:r>
      <w:r w:rsidR="00CB0E6A">
        <w:t xml:space="preserve"> a nižší závislost </w:t>
      </w:r>
      <w:r w:rsidR="009850B6">
        <w:t xml:space="preserve">na </w:t>
      </w:r>
      <w:r w:rsidR="00CB0E6A">
        <w:t>hospodářském cyklu</w:t>
      </w:r>
      <w:r w:rsidR="009B750F">
        <w:t xml:space="preserve">, když </w:t>
      </w:r>
      <w:r>
        <w:t>usilují o rozvoj a integraci s</w:t>
      </w:r>
      <w:r w:rsidR="00CB0E6A">
        <w:t>pravovaného</w:t>
      </w:r>
      <w:r>
        <w:t xml:space="preserve"> území</w:t>
      </w:r>
      <w:r w:rsidR="009B750F">
        <w:t>,</w:t>
      </w:r>
      <w:r>
        <w:t xml:space="preserve"> aktivně podílet na infrastrukturních projektech </w:t>
      </w:r>
      <w:r w:rsidR="00CB0E6A">
        <w:t xml:space="preserve">a </w:t>
      </w:r>
      <w:r>
        <w:t>investicích většího rozsahu.</w:t>
      </w:r>
    </w:p>
    <w:p w14:paraId="4B14638A" w14:textId="135AFA74" w:rsidR="00BC2A2F" w:rsidRDefault="00791A37" w:rsidP="00791A37">
      <w:pPr>
        <w:pStyle w:val="HSNadpis4bezslovn"/>
      </w:pPr>
      <w:r w:rsidRPr="002A3218">
        <w:t>Hlavní opatření:</w:t>
      </w:r>
    </w:p>
    <w:p w14:paraId="75CB1392" w14:textId="1BC41E83" w:rsidR="00297A81" w:rsidRDefault="00297A81" w:rsidP="00297A81">
      <w:pPr>
        <w:pStyle w:val="HSpodbod"/>
      </w:pPr>
      <w:r>
        <w:t>Motivovat samosprávy ke vzájemné spolupráci a spolufinancování rozvoje infrastruktury na všech úrovních.</w:t>
      </w:r>
    </w:p>
    <w:p w14:paraId="4DD347F4" w14:textId="074F9374" w:rsidR="00735FD5" w:rsidRDefault="00735FD5" w:rsidP="00297A81">
      <w:pPr>
        <w:pStyle w:val="HSpodbod"/>
      </w:pPr>
      <w:r>
        <w:t xml:space="preserve">Posílit </w:t>
      </w:r>
      <w:r w:rsidR="006963F6">
        <w:t xml:space="preserve">strategické </w:t>
      </w:r>
      <w:r>
        <w:t xml:space="preserve">kompetence a standardizovat výkon </w:t>
      </w:r>
      <w:r w:rsidR="0067725F">
        <w:t xml:space="preserve">orgánů </w:t>
      </w:r>
      <w:r>
        <w:t>s</w:t>
      </w:r>
      <w:r w:rsidR="009850B6">
        <w:t>tátní správy a samosprávy na úrovni obcí.</w:t>
      </w:r>
    </w:p>
    <w:p w14:paraId="0ABAAD32" w14:textId="7A37A67A" w:rsidR="00297A81" w:rsidRDefault="009B750F" w:rsidP="00297A81">
      <w:pPr>
        <w:pStyle w:val="HSpodbod"/>
      </w:pPr>
      <w:r>
        <w:t>Posílit koordinační roli státu v</w:t>
      </w:r>
      <w:r w:rsidR="009850B6">
        <w:t xml:space="preserve"> realizaci </w:t>
      </w:r>
      <w:r>
        <w:t xml:space="preserve">investičních a rozvojových </w:t>
      </w:r>
      <w:r w:rsidR="009850B6">
        <w:t>záměrů</w:t>
      </w:r>
      <w:r>
        <w:t>.</w:t>
      </w:r>
    </w:p>
    <w:p w14:paraId="47E1A99E" w14:textId="0806A0A2" w:rsidR="00511D1D" w:rsidRDefault="00A832E8" w:rsidP="00743C12">
      <w:pPr>
        <w:pStyle w:val="HSNadpis3bezslovn"/>
      </w:pPr>
      <w:bookmarkStart w:id="75" w:name="_Toc174703094"/>
      <w:r>
        <w:t>Partnerství</w:t>
      </w:r>
      <w:r w:rsidRPr="00B76C69">
        <w:t xml:space="preserve"> veřejného </w:t>
      </w:r>
      <w:r>
        <w:t xml:space="preserve">a </w:t>
      </w:r>
      <w:r w:rsidR="00511D1D" w:rsidRPr="00B76C69">
        <w:t>soukromého sektoru</w:t>
      </w:r>
      <w:bookmarkEnd w:id="75"/>
    </w:p>
    <w:p w14:paraId="24112864" w14:textId="55D0A9D3" w:rsidR="00F41CE7" w:rsidRDefault="00F41CE7" w:rsidP="00F41CE7">
      <w:r>
        <w:t>Jedním z možných způsobů, jak urychlit strategické investice, je využití modelu PPP (partnerství veřejného a</w:t>
      </w:r>
      <w:r w:rsidR="007633AA">
        <w:t> </w:t>
      </w:r>
      <w:r>
        <w:t>soukromého sektoru). Tento model nepřispívá k okamžité zadluženosti státu, mění roli státu z přímého investora na klienta, umožňuje platit pouze za funkční službu a náklady jsou rozloženy v čase, kdy investice již přináší zisky prostřednictvím aktivit zapojených firem a výběru daní. Navíc může být tento přístup rychlejší a ekonomičtější.</w:t>
      </w:r>
      <w:r w:rsidR="00006544">
        <w:rPr>
          <w:rStyle w:val="Odkaznavysvtlivky"/>
        </w:rPr>
        <w:endnoteReference w:id="42"/>
      </w:r>
    </w:p>
    <w:p w14:paraId="414745E4" w14:textId="77777777" w:rsidR="00F41CE7" w:rsidRDefault="00F41CE7" w:rsidP="00F41CE7">
      <w:r>
        <w:t>PPP projekty se však obvykle pojí s vyšší mírou výnosnosti pro soukromého partnera oproti běžnému financování prostřednictvím státních dluhopisů. Stát musí zajistit odborný postoj k vyhodnocování ziskových marží zainteresovaných účastníků, PPP projekty mohou navíc vytvářet skrytý dluh státu, který však musí být splacen. K PPP projektům je proto potřeba přistupovat velmi obezřetně a je třeba vždy doložit, že jsou společensky přínosné oproti běžné formě financování.</w:t>
      </w:r>
    </w:p>
    <w:p w14:paraId="01EACDC5" w14:textId="6F86EC09" w:rsidR="00511D1D" w:rsidRDefault="00F41CE7" w:rsidP="00A62175">
      <w:r>
        <w:t xml:space="preserve">Typickým příkladem PPP projektů je rozvoj </w:t>
      </w:r>
      <w:r w:rsidR="00511D1D">
        <w:t xml:space="preserve">dopravní infrastruktury, ať už se jedná o dálnice nebo železniční tratě včetně rychlovlaků. Tato infrastruktura je klíčovým faktorem pro směřování soukromých investic a rozhodování o jejich lokalizaci. Zároveň má významný vliv na mobilitu pracovní síly. Důležitá je nejen propojenost </w:t>
      </w:r>
      <w:r w:rsidR="00C56CA1">
        <w:t>České republiky</w:t>
      </w:r>
      <w:r w:rsidR="00511D1D">
        <w:t xml:space="preserve"> se sousedními státy, ale také vnitrostátní propojenost.</w:t>
      </w:r>
    </w:p>
    <w:p w14:paraId="27E4B963" w14:textId="77777777" w:rsidR="00511D1D" w:rsidRPr="002A3218" w:rsidRDefault="00511D1D" w:rsidP="007D1C3F">
      <w:pPr>
        <w:pStyle w:val="HSNadpis4bezslovn"/>
      </w:pPr>
      <w:r w:rsidRPr="002A3218">
        <w:t>Hlavní opatření:</w:t>
      </w:r>
    </w:p>
    <w:p w14:paraId="0CA8D500" w14:textId="374DCF53" w:rsidR="00511D1D" w:rsidRDefault="00511D1D" w:rsidP="007D1C3F">
      <w:pPr>
        <w:pStyle w:val="HSpodbod"/>
      </w:pPr>
      <w:r w:rsidRPr="00D92F46">
        <w:t>Evaluovat využití a finanční výhodnost využívání PPP projektů.</w:t>
      </w:r>
    </w:p>
    <w:p w14:paraId="3F17774C" w14:textId="3CB831A9" w:rsidR="00CA0AF1" w:rsidRDefault="00CA0AF1" w:rsidP="00CA0AF1">
      <w:pPr>
        <w:pStyle w:val="HSpodbod"/>
        <w:spacing w:after="120"/>
      </w:pPr>
      <w:r w:rsidRPr="00CA0AF1">
        <w:lastRenderedPageBreak/>
        <w:t>Posílení role Ministerstva financí v metodické a dohledové činnosti.</w:t>
      </w:r>
    </w:p>
    <w:p w14:paraId="527779FB" w14:textId="77777777" w:rsidR="00511D1D" w:rsidRDefault="00511D1D" w:rsidP="00743C12">
      <w:pPr>
        <w:pStyle w:val="HSNadpis3bezslovn"/>
      </w:pPr>
      <w:bookmarkStart w:id="76" w:name="_Toc174703095"/>
      <w:r w:rsidRPr="00D92F46">
        <w:t>Národní rozvojová banka</w:t>
      </w:r>
      <w:bookmarkEnd w:id="76"/>
    </w:p>
    <w:p w14:paraId="4C8F8546" w14:textId="63F3E793" w:rsidR="00006544" w:rsidRDefault="00511D1D" w:rsidP="00511D1D">
      <w:r>
        <w:t xml:space="preserve">Velké možnosti </w:t>
      </w:r>
      <w:r w:rsidRPr="00D92F46">
        <w:t>využívání financování EU nejsou optimálně naplňovány; jednotlivé programy jsou řízeny parciálně, nejsou respektovány a využívány možnosti synergií mezi nimi; účel jejich využití není vždy přínosný; možnosti mimo „zaručenou národní obálku“ jsou využívány sporadicky; dominantně převládá jednorázová forma dotační podpory nad moderními inovativními možnostmi návratného financování. Cestou k nápravě může být podstatné zvýšení role Národní rozvojové banky</w:t>
      </w:r>
      <w:r w:rsidR="002432E8">
        <w:t xml:space="preserve"> (NRB)</w:t>
      </w:r>
      <w:r w:rsidRPr="00D92F46">
        <w:t>, coby realizátora inovativních finančních nástrojů z financování EU, národního kompetenčního centra pro finanční nástroje a klíčového aktéra při uskutečňování strategických investic v souladu s vládními prioritami.</w:t>
      </w:r>
      <w:r w:rsidR="00006544">
        <w:rPr>
          <w:rStyle w:val="Odkaznavysvtlivky"/>
        </w:rPr>
        <w:endnoteReference w:id="43"/>
      </w:r>
    </w:p>
    <w:p w14:paraId="38F8A845" w14:textId="77777777" w:rsidR="00511D1D" w:rsidRPr="002A3218" w:rsidRDefault="00511D1D" w:rsidP="007D1C3F">
      <w:pPr>
        <w:pStyle w:val="HSNadpis4bezslovn"/>
      </w:pPr>
      <w:r w:rsidRPr="002A3218">
        <w:t>Hlavní opatření:</w:t>
      </w:r>
    </w:p>
    <w:p w14:paraId="365C30BD" w14:textId="410FEF40" w:rsidR="00511D1D" w:rsidRPr="00D92F46" w:rsidRDefault="00511D1D" w:rsidP="00CA0AF1">
      <w:pPr>
        <w:pStyle w:val="HSpodbod"/>
        <w:spacing w:after="120"/>
      </w:pPr>
      <w:r w:rsidRPr="00D92F46">
        <w:t xml:space="preserve">Posílení role NRB pro podporu ekonomiky a výrazné posílení a přizpůsobení její </w:t>
      </w:r>
      <w:r w:rsidR="00881DA4">
        <w:t xml:space="preserve">organizační a kapitálové </w:t>
      </w:r>
      <w:r w:rsidRPr="00D92F46">
        <w:t>struktury vymezeným potřebám.</w:t>
      </w:r>
    </w:p>
    <w:p w14:paraId="235D6CF3" w14:textId="2619F81A" w:rsidR="00511D1D" w:rsidRDefault="00511D1D" w:rsidP="00743C12">
      <w:pPr>
        <w:pStyle w:val="HSNadpis3bezslovn"/>
      </w:pPr>
      <w:bookmarkStart w:id="77" w:name="_Toc174703096"/>
      <w:r w:rsidRPr="00D92F46">
        <w:t>Státní investiční a rozvojová společnost</w:t>
      </w:r>
      <w:bookmarkEnd w:id="77"/>
    </w:p>
    <w:p w14:paraId="52297207" w14:textId="4C5619C6" w:rsidR="00511D1D" w:rsidRPr="00F13DDD" w:rsidRDefault="00511D1D" w:rsidP="00511D1D">
      <w:r w:rsidRPr="00F13DDD">
        <w:t xml:space="preserve">Podpora velkých strategicky významných investic, u kterých je uplatňován individuální přístup, bude úkolem pro Státní investiční a rozvojovou společnost (SIRS), </w:t>
      </w:r>
      <w:r w:rsidR="00CA0AF1">
        <w:t>která byla založena v roce 2024</w:t>
      </w:r>
      <w:r w:rsidR="0078201F">
        <w:t>,</w:t>
      </w:r>
      <w:r w:rsidR="00CA0AF1">
        <w:t xml:space="preserve"> a </w:t>
      </w:r>
      <w:r w:rsidRPr="00F13DDD">
        <w:t>která investorům nabídne vhodné plochy pro rychlou realizaci investičních záměrů.</w:t>
      </w:r>
    </w:p>
    <w:p w14:paraId="1B0868E3" w14:textId="1B5A3DCC" w:rsidR="00511D1D" w:rsidRDefault="00511D1D" w:rsidP="00511D1D">
      <w:r w:rsidRPr="00F13DDD">
        <w:t xml:space="preserve">V kooperaci se státní agenturou CzechInvest </w:t>
      </w:r>
      <w:r w:rsidR="0078201F">
        <w:t xml:space="preserve">bude </w:t>
      </w:r>
      <w:r w:rsidRPr="00F13DDD">
        <w:t>předmětem příprava a zhodnocení například brownfieldů nebo státních pozemků procházejících rekultivací či odstraňováním historických zátěží, které dnes náleží státnímu podniku DIAMO</w:t>
      </w:r>
      <w:bookmarkStart w:id="78" w:name="_Hlk173488372"/>
      <w:r w:rsidRPr="00F13DDD">
        <w:t>.</w:t>
      </w:r>
    </w:p>
    <w:p w14:paraId="2CAC86FC" w14:textId="77777777" w:rsidR="00511D1D" w:rsidRPr="002A3218" w:rsidRDefault="00511D1D" w:rsidP="007D1C3F">
      <w:pPr>
        <w:pStyle w:val="HSNadpis4bezslovn"/>
      </w:pPr>
      <w:r w:rsidRPr="002A3218">
        <w:t>Hlavní opatření:</w:t>
      </w:r>
    </w:p>
    <w:p w14:paraId="308F2D97" w14:textId="05073F1F" w:rsidR="007D1C3F" w:rsidRDefault="00511D1D" w:rsidP="007D1C3F">
      <w:pPr>
        <w:pStyle w:val="HSpodbod"/>
      </w:pPr>
      <w:r w:rsidRPr="007D1C3F">
        <w:t>Nastavit funkční mo</w:t>
      </w:r>
      <w:bookmarkEnd w:id="78"/>
      <w:r w:rsidRPr="007D1C3F">
        <w:t>del a strategii S</w:t>
      </w:r>
      <w:r w:rsidR="0051469C">
        <w:t>IRS</w:t>
      </w:r>
      <w:r w:rsidRPr="007D1C3F">
        <w:t xml:space="preserve"> a definovat potřebné typy připravovaných ploch pro realizaci investičních záměrů v souladu s dlouhodobými potřebami ekonomiky.</w:t>
      </w:r>
    </w:p>
    <w:p w14:paraId="715102D0" w14:textId="509C1D3A" w:rsidR="00BB30A2" w:rsidRDefault="00244831" w:rsidP="00743C12">
      <w:pPr>
        <w:pStyle w:val="HSNadpis3bezslovn"/>
      </w:pPr>
      <w:bookmarkStart w:id="79" w:name="_Toc174703097"/>
      <w:r>
        <w:t>Finanční sektor</w:t>
      </w:r>
      <w:r w:rsidR="008854F1">
        <w:t xml:space="preserve"> a soukromý kapitál</w:t>
      </w:r>
      <w:bookmarkEnd w:id="79"/>
    </w:p>
    <w:p w14:paraId="5B41F88F" w14:textId="402FE478" w:rsidR="00383AD0" w:rsidRPr="004E529F" w:rsidRDefault="00383AD0" w:rsidP="002670F6">
      <w:r w:rsidRPr="00EC7899">
        <w:t xml:space="preserve">Finanční sektor v České republice je relativně dobře rozvinutý, avšak stále se potýká s některými omezeními, </w:t>
      </w:r>
      <w:r w:rsidR="00EF20C4">
        <w:t>a to</w:t>
      </w:r>
      <w:r w:rsidR="007633AA">
        <w:t> </w:t>
      </w:r>
      <w:r w:rsidR="00EF20C4">
        <w:t>hlavně</w:t>
      </w:r>
      <w:r w:rsidRPr="00EC7899">
        <w:t xml:space="preserve"> v oblasti dostupnosti velkého </w:t>
      </w:r>
      <w:r w:rsidR="00EF20C4">
        <w:t xml:space="preserve">objemu </w:t>
      </w:r>
      <w:r w:rsidRPr="00EC7899">
        <w:t xml:space="preserve">kapitálu pro strategické investice. </w:t>
      </w:r>
      <w:r w:rsidR="00EF20C4">
        <w:t>Finanční sektor, který je zejména pod zahraniční kontrolou,</w:t>
      </w:r>
      <w:r w:rsidRPr="00EC7899">
        <w:t xml:space="preserve"> j</w:t>
      </w:r>
      <w:r w:rsidR="00EF20C4">
        <w:t>e</w:t>
      </w:r>
      <w:r w:rsidRPr="00EC7899">
        <w:t xml:space="preserve"> hlavním poskytovatel</w:t>
      </w:r>
      <w:r w:rsidR="00EF20C4">
        <w:t>em</w:t>
      </w:r>
      <w:r w:rsidRPr="00EC7899">
        <w:t xml:space="preserve"> financování, ale je</w:t>
      </w:r>
      <w:r w:rsidR="00EF20C4">
        <w:t>ho</w:t>
      </w:r>
      <w:r w:rsidRPr="00EC7899">
        <w:t xml:space="preserve"> schopnost poskytovat velké úvěry je</w:t>
      </w:r>
      <w:r w:rsidR="007633AA">
        <w:t> </w:t>
      </w:r>
      <w:r w:rsidRPr="00EC7899">
        <w:t>omezená velikostí domácího trhu. Mobilizace kapitálu pro strategické investice je klíčová pro ekonomický rozvoj České republiky. Přestože jsou k dispozici dostatečné finanční zdroje, úspěch závisí na schopnosti vytvářet vhodné investiční struktury</w:t>
      </w:r>
      <w:r w:rsidR="00EF20C4">
        <w:t xml:space="preserve"> a</w:t>
      </w:r>
      <w:r w:rsidRPr="00EC7899">
        <w:t xml:space="preserve"> </w:t>
      </w:r>
      <w:r w:rsidR="00EF20C4">
        <w:t>účinně</w:t>
      </w:r>
      <w:r w:rsidRPr="00EC7899">
        <w:t xml:space="preserve"> spolupracovat mezi veřejným a soukromým sektorem. </w:t>
      </w:r>
      <w:r w:rsidR="00EF20C4" w:rsidRPr="002B573E">
        <w:t xml:space="preserve">Strukturované financování představuje nástroj pro dosažení tohoto cíle. </w:t>
      </w:r>
      <w:r w:rsidRPr="00EC7899">
        <w:t>Typické aranžmá strukturovaného financování zahrnuje několik klíčových prvků:</w:t>
      </w:r>
    </w:p>
    <w:p w14:paraId="0CE95F0B" w14:textId="6CA3CF77" w:rsidR="00383AD0" w:rsidRPr="00EF20C4" w:rsidRDefault="00383AD0">
      <w:pPr>
        <w:pStyle w:val="HSpodbod"/>
      </w:pPr>
      <w:r w:rsidRPr="00EF20C4">
        <w:t>SPV (</w:t>
      </w:r>
      <w:r w:rsidRPr="00127B36">
        <w:rPr>
          <w:lang w:val="en-GB"/>
        </w:rPr>
        <w:t>Special Purpose Vehicle</w:t>
      </w:r>
      <w:r w:rsidRPr="00EF20C4">
        <w:t>): Založení subjektu, který je právně oddělené od mateřské společnosti, umožňuje snížit rizika a optimalizovat financování.</w:t>
      </w:r>
    </w:p>
    <w:p w14:paraId="6FEFDB58" w14:textId="77777777" w:rsidR="00383AD0" w:rsidRPr="00EF20C4" w:rsidRDefault="00383AD0">
      <w:pPr>
        <w:pStyle w:val="HSpodbod"/>
      </w:pPr>
      <w:proofErr w:type="spellStart"/>
      <w:r w:rsidRPr="00127B36">
        <w:rPr>
          <w:lang w:val="en-GB"/>
        </w:rPr>
        <w:t>Tranching</w:t>
      </w:r>
      <w:proofErr w:type="spellEnd"/>
      <w:r w:rsidRPr="00EF20C4">
        <w:t>: Rozdělení finanční struktury do několika tranší s různou úrovní rizika a výnosu, což umožňuje přilákání širokého spektra investorů.</w:t>
      </w:r>
    </w:p>
    <w:p w14:paraId="5FBEC191" w14:textId="77777777" w:rsidR="00383AD0" w:rsidRPr="00EF20C4" w:rsidRDefault="00383AD0">
      <w:pPr>
        <w:pStyle w:val="HSpodbod"/>
      </w:pPr>
      <w:r w:rsidRPr="00EF20C4">
        <w:t>Zajištění: Použití zajišťovacích instrumentů ke snížení rizik, například záruk, derivátů nebo pojištění.</w:t>
      </w:r>
    </w:p>
    <w:p w14:paraId="1E602983" w14:textId="70098D70" w:rsidR="00383AD0" w:rsidRDefault="00383AD0" w:rsidP="00EF20C4">
      <w:pPr>
        <w:pStyle w:val="HSpodbod"/>
      </w:pPr>
      <w:proofErr w:type="spellStart"/>
      <w:r w:rsidRPr="00EF20C4">
        <w:t>Syndikace</w:t>
      </w:r>
      <w:proofErr w:type="spellEnd"/>
      <w:r w:rsidRPr="00EF20C4">
        <w:t>: Zapojení několika finančních institucí do financování projektu, což snižuje individuální expozici riziku a zvyšuje dostupný kapitál.</w:t>
      </w:r>
    </w:p>
    <w:p w14:paraId="3F1FD404" w14:textId="77777777" w:rsidR="00EF20C4" w:rsidRPr="002A3218" w:rsidRDefault="00EF20C4" w:rsidP="00EF20C4">
      <w:pPr>
        <w:pStyle w:val="HSNadpis4bezslovn"/>
      </w:pPr>
      <w:r w:rsidRPr="002A3218">
        <w:t>Hlavní opatření:</w:t>
      </w:r>
    </w:p>
    <w:p w14:paraId="0798127A" w14:textId="580EB5D3" w:rsidR="00EF20C4" w:rsidRPr="007D1C3F" w:rsidRDefault="00EF20C4" w:rsidP="002670F6">
      <w:pPr>
        <w:pStyle w:val="HSpodbod"/>
      </w:pPr>
      <w:r>
        <w:t>Připravit regulační rámec výhodný pro spolupráci veřejného a soukromého sektoru.</w:t>
      </w:r>
    </w:p>
    <w:p w14:paraId="2CF7DD62" w14:textId="763724B8" w:rsidR="00CA0AF1" w:rsidRDefault="00CB69E1">
      <w:pPr>
        <w:pStyle w:val="HSNadpisIII4"/>
      </w:pPr>
      <w:bookmarkStart w:id="80" w:name="_Toc174703098"/>
      <w:r>
        <w:lastRenderedPageBreak/>
        <w:t>Financování udržitelnosti</w:t>
      </w:r>
      <w:bookmarkEnd w:id="80"/>
    </w:p>
    <w:p w14:paraId="389EFD38" w14:textId="3C889BA8" w:rsidR="00CA0AF1" w:rsidRPr="003100B1" w:rsidRDefault="00CB69E1" w:rsidP="00F55E52">
      <w:pPr>
        <w:pStyle w:val="HSNadpisIII43"/>
      </w:pPr>
      <w:r>
        <w:t>F</w:t>
      </w:r>
      <w:r w:rsidR="00CA0AF1" w:rsidRPr="003100B1">
        <w:t xml:space="preserve">inancování </w:t>
      </w:r>
      <w:r>
        <w:t xml:space="preserve">udržitelnosti </w:t>
      </w:r>
      <w:r w:rsidR="00CA0AF1" w:rsidRPr="003100B1">
        <w:t>v soukromém sektoru</w:t>
      </w:r>
    </w:p>
    <w:p w14:paraId="46650E3B" w14:textId="020D3719" w:rsidR="00CA0AF1" w:rsidRDefault="00CA0AF1" w:rsidP="00CA0AF1">
      <w:r>
        <w:t>Klíčovou úlohu při plnění politických cílů</w:t>
      </w:r>
      <w:r w:rsidR="002146C1">
        <w:t>,</w:t>
      </w:r>
      <w:r>
        <w:t xml:space="preserve"> v rámci </w:t>
      </w:r>
      <w:proofErr w:type="gramStart"/>
      <w:r>
        <w:t>Zelené</w:t>
      </w:r>
      <w:proofErr w:type="gramEnd"/>
      <w:r>
        <w:t xml:space="preserve"> dohody pro Evropu</w:t>
      </w:r>
      <w:r w:rsidR="002146C1">
        <w:t>,</w:t>
      </w:r>
      <w:r>
        <w:t xml:space="preserve"> hraje Rámec EU pro financování udržitelnosti (</w:t>
      </w:r>
      <w:r w:rsidRPr="00127B36">
        <w:rPr>
          <w:lang w:val="en-GB"/>
        </w:rPr>
        <w:t>EU Sustainable Finance Framework</w:t>
      </w:r>
      <w:r>
        <w:t>). Rámec poskytuje jednotná vodítka a nástroje pro nasměrování veřejných a soukromých investic do přechodu na klimaticky neutrální, odolnou a alokačně efektivní ekonomiku. Základní pilíře Rámce tvoří taxonomie EU, povinný režim zveřejňování informací a soubor investičních nástrojů.</w:t>
      </w:r>
    </w:p>
    <w:p w14:paraId="2DDFD2D0" w14:textId="09BE55ED" w:rsidR="00CA0AF1" w:rsidRDefault="00CA0AF1" w:rsidP="00CA0AF1">
      <w:r>
        <w:t>Rámec a související opatření představují zásadní revizi fungování finančních trhů a vnímání investičních rizik. V jejich důsledku dojde k výrazné proměně investičního rozhodování a alokace kapitálu. Klíčové subjekty finančního trhu EU (banky, pojišťovny, penzijní a investiční fondy) velmi silně vnímají rovinu udržitelnosti, což se</w:t>
      </w:r>
      <w:r w:rsidR="007633AA">
        <w:t> </w:t>
      </w:r>
      <w:r>
        <w:t xml:space="preserve">propisuje do korporátních modelů a obchodních strategií. </w:t>
      </w:r>
    </w:p>
    <w:p w14:paraId="723C63FF" w14:textId="722A6B33" w:rsidR="00CA0AF1" w:rsidRDefault="00CA0AF1" w:rsidP="00CA0AF1">
      <w:r>
        <w:t>Očekává se, že soukromé investice</w:t>
      </w:r>
      <w:r w:rsidR="008F683C" w:rsidRPr="008F683C">
        <w:t xml:space="preserve"> </w:t>
      </w:r>
      <w:r w:rsidR="008F683C">
        <w:t>budou plnit roli primárního hybatele zelené tranzice</w:t>
      </w:r>
      <w:r>
        <w:t>. V současné době je</w:t>
      </w:r>
      <w:r w:rsidR="007633AA">
        <w:t> </w:t>
      </w:r>
      <w:r>
        <w:t xml:space="preserve">patrná rostoucí poptávka finančních institucí (včetně těch domácích) po financování „udržitelných“ projektů. </w:t>
      </w:r>
      <w:r w:rsidR="008F683C" w:rsidRPr="008F683C">
        <w:t xml:space="preserve">Relativně významná část českého finančního sektoru je zároveň pod kontrolou zahraničních vlastníků, kteří mají stanoveny velmi ambiciózní strategie udržitelnosti a disponují know-how v oblasti financování udržitelnosti. Interní směrnice finančních skupin přitom mnohdy předbíhají regulaci na úrovni EU, a výrazně tak mění podmínky přístupu k úvěrovému financování v </w:t>
      </w:r>
      <w:r w:rsidR="00BC2E34">
        <w:t>České republice</w:t>
      </w:r>
      <w:r w:rsidR="008F683C" w:rsidRPr="008F683C">
        <w:t xml:space="preserve">. </w:t>
      </w:r>
      <w:r>
        <w:t>Tyto skutečnosti jsou příčinnou stavu, kdy finanční instituce významně formují podobu zelené tranzice a kdy se</w:t>
      </w:r>
      <w:r w:rsidR="007633AA">
        <w:t> </w:t>
      </w:r>
      <w:r>
        <w:t>přístup k úvěrům stává mnohem obtížnějším pro projekty/podniky, které neprokáží dlouhodobou udržitelnost.</w:t>
      </w:r>
    </w:p>
    <w:p w14:paraId="11D50F45" w14:textId="6A74C5BF" w:rsidR="00CA0AF1" w:rsidRPr="00F55E52" w:rsidRDefault="00CA0AF1" w:rsidP="00F55E52">
      <w:pPr>
        <w:pStyle w:val="HSNadpis5bezslovn"/>
      </w:pPr>
      <w:r w:rsidRPr="00F55E52">
        <w:t>Mechanismy a nástroje Rámce EU pro financování udržitelnosti</w:t>
      </w:r>
    </w:p>
    <w:p w14:paraId="36254DE1" w14:textId="1871C41E" w:rsidR="00CA0AF1" w:rsidRDefault="00CA0AF1" w:rsidP="00CA0AF1">
      <w:r>
        <w:t>Rámec EU pro financování udržitelnosti byl vytvořen s cílem zlepšit řízení finančního rizika plynoucího z klimat</w:t>
      </w:r>
      <w:r w:rsidR="00E66754">
        <w:t>ických rizik</w:t>
      </w:r>
      <w:r>
        <w:t xml:space="preserve"> a podporovat transparentnost a dlouhodobost finančních a ekonomických činností. Jedním z</w:t>
      </w:r>
      <w:r w:rsidR="007633AA">
        <w:t> </w:t>
      </w:r>
      <w:r>
        <w:t>předpokladů pro splnění těchto cílů je zveřejňování relevantních, srovnatelných a spolehlivých informací podniky o environmetálních, sociálních a správních aspektech (ESG) jejich činností. Zároveň budou podniky zveřejňovat soulad hospodářských činností s taxonomií EU</w:t>
      </w:r>
      <w:r w:rsidR="008F683C">
        <w:t>, která klasifikuje environmentálně udržitelné činnosti.</w:t>
      </w:r>
      <w:r>
        <w:t xml:space="preserve"> Tyto informace jsou klíčové pro účastníky finančního trhu </w:t>
      </w:r>
      <w:r w:rsidR="008F683C">
        <w:t>v rámci</w:t>
      </w:r>
      <w:r>
        <w:t xml:space="preserve"> investiční</w:t>
      </w:r>
      <w:r w:rsidR="008F683C">
        <w:t>ho</w:t>
      </w:r>
      <w:r>
        <w:t xml:space="preserve"> rozhodování</w:t>
      </w:r>
      <w:r w:rsidR="004C0312">
        <w:t xml:space="preserve"> i v souvislosti s jejich vlastními povinnostmi vykazovat informace o udržitelnosti</w:t>
      </w:r>
      <w:r>
        <w:t>.</w:t>
      </w:r>
      <w:r w:rsidR="004C0312">
        <w:t xml:space="preserve"> P</w:t>
      </w:r>
      <w:r>
        <w:t>řístup ke</w:t>
      </w:r>
      <w:r w:rsidR="007633AA">
        <w:t> </w:t>
      </w:r>
      <w:r>
        <w:t>zvýhodněnému financování</w:t>
      </w:r>
      <w:r w:rsidR="004C0312">
        <w:t xml:space="preserve"> pak umožní evropský standard zelených dluhopisů (EUGBS)</w:t>
      </w:r>
      <w:r>
        <w:t xml:space="preserve">, </w:t>
      </w:r>
      <w:r w:rsidR="004C0312">
        <w:t xml:space="preserve">který </w:t>
      </w:r>
      <w:r>
        <w:t>vyžaduje, aby emitenti takových dluhopisů zajistili, že peněžní prostředky získané z emise budou alokovány do činnosti v souladu s taxonomií EU.</w:t>
      </w:r>
      <w:r w:rsidR="004C0312">
        <w:t xml:space="preserve"> </w:t>
      </w:r>
      <w:r>
        <w:t>Celkové hodnocení a verifikaci zveřejňovaných informací</w:t>
      </w:r>
      <w:r w:rsidR="004C0312" w:rsidRPr="004C0312">
        <w:t xml:space="preserve"> </w:t>
      </w:r>
      <w:r w:rsidR="004C0312">
        <w:t>o udržitelnosti</w:t>
      </w:r>
      <w:r>
        <w:t xml:space="preserve"> pak poskytnou ratingy ESG. Ty investorům umožní vyhodnotit informace podniků v oblasti udržitelnosti a pomohou rozpoznat kvalitu finančních produktů a zelených dluhopisů.</w:t>
      </w:r>
    </w:p>
    <w:p w14:paraId="50297E97" w14:textId="77777777" w:rsidR="00CA0AF1" w:rsidRPr="00F55E52" w:rsidRDefault="00CA0AF1" w:rsidP="00F55E52">
      <w:pPr>
        <w:pStyle w:val="HSNadpis5bezslovn"/>
      </w:pPr>
      <w:r w:rsidRPr="00F55E52">
        <w:t>Současný stav</w:t>
      </w:r>
    </w:p>
    <w:p w14:paraId="20F9627D" w14:textId="74FA82A7" w:rsidR="00CA0AF1" w:rsidRDefault="00CA0AF1" w:rsidP="00CA0AF1">
      <w:r>
        <w:t xml:space="preserve">Pro </w:t>
      </w:r>
      <w:r w:rsidR="00C56CA1">
        <w:t>Českou republiku</w:t>
      </w:r>
      <w:r>
        <w:t xml:space="preserve">, jako jednu z uhlíkově nejnáročnějších ekonomik EU, představuje zelená tranzice obrovskou výzvu. V tomto ohledu bude hrát </w:t>
      </w:r>
      <w:r w:rsidR="00090883">
        <w:t>agenda</w:t>
      </w:r>
      <w:r>
        <w:t xml:space="preserve"> financování udržitelnosti</w:t>
      </w:r>
      <w:r w:rsidR="00C56CA1">
        <w:t xml:space="preserve"> </w:t>
      </w:r>
      <w:r>
        <w:t xml:space="preserve">klíčovou roli. </w:t>
      </w:r>
      <w:r w:rsidR="00090883">
        <w:t>S</w:t>
      </w:r>
      <w:r>
        <w:t>oukromý sektor již dlouhodobě volá po ucelené strategii a jednotném přístupu státní správy v oblasti financování tranzice na nízkouhlíkové hospodářství.</w:t>
      </w:r>
      <w:r w:rsidR="00090883">
        <w:t xml:space="preserve"> </w:t>
      </w:r>
      <w:r>
        <w:t>V současné době státní správa v této oblasti realizuje pouze dílčí aktivity bez vazby na jednotlivé prvky agendy financování udržitelnosti. Absence koncepčního pojetí sebou nese rizika vyšších nákladů financování dekarbonizace, omezení čerpání prostředků z fondů EU, zpoždění projektů, omezení investiční činnosti samospráv, zvýšení administrativní zátěže pro soukromý sektor (zejména pro malé a střední podniky) a chybných rozhodnutí s nepříznivými dopady na</w:t>
      </w:r>
      <w:r w:rsidR="007633AA">
        <w:t> </w:t>
      </w:r>
      <w:r>
        <w:t xml:space="preserve">konkurenceschopnost </w:t>
      </w:r>
      <w:r w:rsidR="00C56CA1">
        <w:t>České republiky</w:t>
      </w:r>
      <w:r>
        <w:t>.</w:t>
      </w:r>
    </w:p>
    <w:p w14:paraId="1A441F11" w14:textId="6892A1E7" w:rsidR="00CA0AF1" w:rsidRDefault="00CA0AF1" w:rsidP="00CA0AF1">
      <w:r>
        <w:t>Státní správa rovněž nedisponuje dostatečnými mechanismy sběru a zajištění potřebných dat, která jsou klíčovým předpokladem pro zmapování procesu dekarbonizace a souvisejících potřeb, z čehož plyne neschopnost identifikace potřebných opatření, nebo politik, které by zajistily finanční prostředky pro úspěšnou zelenou tranzici.</w:t>
      </w:r>
    </w:p>
    <w:p w14:paraId="41968DBE" w14:textId="07B2873B" w:rsidR="00CA0AF1" w:rsidRPr="00F55E52" w:rsidRDefault="00CA0AF1" w:rsidP="00F55E52">
      <w:pPr>
        <w:pStyle w:val="HSNadpis5bezslovn"/>
      </w:pPr>
      <w:r w:rsidRPr="00F55E52">
        <w:t>Návrhy řešení</w:t>
      </w:r>
    </w:p>
    <w:p w14:paraId="47C87C0D" w14:textId="3FD42177" w:rsidR="00CA0AF1" w:rsidRDefault="00CA0AF1" w:rsidP="00CA0AF1">
      <w:r>
        <w:t>Státní správa by měla v oblasti financování udržitelnosti zajistit vytvoření kvalitního institucionální</w:t>
      </w:r>
      <w:r w:rsidR="00CB69E1">
        <w:t>ho</w:t>
      </w:r>
      <w:r>
        <w:t xml:space="preserve"> rámce, jehož cílem bude nasměrování kapitálových toků do zelené tranzice, a podporovat využívání mechanismů a</w:t>
      </w:r>
      <w:r w:rsidR="002006E0">
        <w:t> </w:t>
      </w:r>
      <w:r>
        <w:t xml:space="preserve">nástrojů financování udržitelnosti soukromým sektorem. Nástroje a mechanismy mohou pro podniky představovat přínosy v podobě zlepšení řízení interních procesů, zvýšení transparentnosti, posílení </w:t>
      </w:r>
      <w:r>
        <w:lastRenderedPageBreak/>
        <w:t>konkurenceschopnosti, snížení rizik, zlepšení přístupu ke kapitálu a celkové transformace výrobních postupů a</w:t>
      </w:r>
      <w:r w:rsidR="002006E0">
        <w:t> </w:t>
      </w:r>
      <w:r>
        <w:t>podnikových procesů.</w:t>
      </w:r>
    </w:p>
    <w:p w14:paraId="714BEA3E" w14:textId="2A3C5428" w:rsidR="00CA0AF1" w:rsidRPr="002A3218" w:rsidRDefault="00CA0AF1" w:rsidP="003666A4">
      <w:pPr>
        <w:pStyle w:val="HSNadpis4bezslovn"/>
      </w:pPr>
      <w:r w:rsidRPr="002A3218">
        <w:t>Vytvoření národního rámce v oblasti financování</w:t>
      </w:r>
      <w:r>
        <w:t xml:space="preserve"> udržitelnosti</w:t>
      </w:r>
      <w:r w:rsidRPr="002A3218">
        <w:t xml:space="preserve"> bude mít za cíl:</w:t>
      </w:r>
    </w:p>
    <w:p w14:paraId="08663F78" w14:textId="77777777" w:rsidR="00CA0AF1" w:rsidRDefault="00CA0AF1" w:rsidP="006E5591">
      <w:pPr>
        <w:pStyle w:val="HSpodbod"/>
      </w:pPr>
      <w:r>
        <w:t>Koncepční uchopení agendy a systémové propojení klíčových aktérů státní správy.</w:t>
      </w:r>
    </w:p>
    <w:p w14:paraId="559D8448" w14:textId="0729510A" w:rsidR="00CA0AF1" w:rsidRDefault="00CA0AF1" w:rsidP="006E5591">
      <w:pPr>
        <w:pStyle w:val="HSpodbod"/>
      </w:pPr>
      <w:r>
        <w:t>Zjednodušení komunikace podniků se státní správou.</w:t>
      </w:r>
    </w:p>
    <w:p w14:paraId="16E8A602" w14:textId="198B5B09" w:rsidR="00CA0AF1" w:rsidRDefault="00CA0AF1" w:rsidP="006E5591">
      <w:pPr>
        <w:pStyle w:val="HSpodbod"/>
      </w:pPr>
      <w:r>
        <w:t xml:space="preserve">Stanovení priorit </w:t>
      </w:r>
      <w:r w:rsidR="00C56CA1">
        <w:t>České republiky</w:t>
      </w:r>
      <w:r>
        <w:t xml:space="preserve"> v oblasti financování udržitelnosti.</w:t>
      </w:r>
    </w:p>
    <w:p w14:paraId="76356B1F" w14:textId="6F71C463" w:rsidR="00CA0AF1" w:rsidRDefault="00CA0AF1" w:rsidP="006E5591">
      <w:pPr>
        <w:pStyle w:val="HSpodbod"/>
      </w:pPr>
      <w:r>
        <w:t>Zmapování trhu a jeho subjektů a identifikace nástrojů pro mobilizaci soukromých finančních prostředků</w:t>
      </w:r>
      <w:r w:rsidR="00090883" w:rsidRPr="00F75255">
        <w:t xml:space="preserve"> </w:t>
      </w:r>
      <w:r w:rsidR="00090883">
        <w:t>pro přechod na nízkouhlíkové hospodářství</w:t>
      </w:r>
      <w:r>
        <w:t>.</w:t>
      </w:r>
    </w:p>
    <w:p w14:paraId="23630180" w14:textId="1AC351E6" w:rsidR="00CA0AF1" w:rsidRDefault="00CA0AF1" w:rsidP="006E5591">
      <w:pPr>
        <w:pStyle w:val="HSpodbod"/>
      </w:pPr>
      <w:r>
        <w:t xml:space="preserve">Zlepšení reputace a atraktivity investičního prostředí </w:t>
      </w:r>
      <w:r w:rsidR="00C56CA1">
        <w:t>České republiky</w:t>
      </w:r>
      <w:r>
        <w:t xml:space="preserve"> (podpora přílivu investic).</w:t>
      </w:r>
    </w:p>
    <w:p w14:paraId="5357AF74" w14:textId="5F194188" w:rsidR="00CA0AF1" w:rsidRDefault="00CA0AF1" w:rsidP="006E5591">
      <w:pPr>
        <w:pStyle w:val="HSpodbod"/>
      </w:pPr>
      <w:r>
        <w:t>Zajištění souladu agendy financování udržitelnosti se sektorovými politikami (energetika, průmysl, doprava, budovy atd.).</w:t>
      </w:r>
    </w:p>
    <w:p w14:paraId="65F2D6EC" w14:textId="5878A93B" w:rsidR="00CA0AF1" w:rsidRDefault="00CA0AF1" w:rsidP="00DC3DDA">
      <w:pPr>
        <w:pStyle w:val="HSpodbod"/>
        <w:spacing w:after="120"/>
      </w:pPr>
      <w:r>
        <w:t>Snížení zátěže pro soukromý sektor.</w:t>
      </w:r>
    </w:p>
    <w:p w14:paraId="6C8A5D0D" w14:textId="66FA984E" w:rsidR="009F2AB0" w:rsidRDefault="009F2AB0" w:rsidP="00DC3DDA">
      <w:pPr>
        <w:pStyle w:val="HSpodbod"/>
        <w:spacing w:after="120"/>
      </w:pPr>
      <w:r>
        <w:t>Restrukturalizace rozpočtových principů a přechod k rozpočtování podle jednotlivých systémů veřejných služeb.</w:t>
      </w:r>
    </w:p>
    <w:p w14:paraId="302BF726" w14:textId="089520C4" w:rsidR="00CA0AF1" w:rsidRDefault="00090883" w:rsidP="00CA0AF1">
      <w:r>
        <w:t>S</w:t>
      </w:r>
      <w:r w:rsidR="00CA0AF1">
        <w:t xml:space="preserve">tátní správa </w:t>
      </w:r>
      <w:r>
        <w:t xml:space="preserve">může </w:t>
      </w:r>
      <w:r w:rsidR="00CA0AF1">
        <w:t xml:space="preserve">přispět ke zmírnění zátěže </w:t>
      </w:r>
      <w:r>
        <w:t xml:space="preserve">podniků spojené se zaváděním mechanismů a postupů potřebných pro plnění stanovených povinností, a to prostřednictvím </w:t>
      </w:r>
      <w:r w:rsidR="00CA0AF1">
        <w:t>tvorb</w:t>
      </w:r>
      <w:r>
        <w:t>y</w:t>
      </w:r>
      <w:r w:rsidR="00CA0AF1">
        <w:t xml:space="preserve"> metodických materiálů a vodítek s cílem:</w:t>
      </w:r>
    </w:p>
    <w:p w14:paraId="21B5375C" w14:textId="5C16A9B0" w:rsidR="00CA0AF1" w:rsidRDefault="00CA0AF1" w:rsidP="006E5591">
      <w:pPr>
        <w:pStyle w:val="HSpodbod"/>
      </w:pPr>
      <w:r>
        <w:t>Zajištění jednotného výkladu regulace.</w:t>
      </w:r>
    </w:p>
    <w:p w14:paraId="401993FF" w14:textId="77777777" w:rsidR="00CA0AF1" w:rsidRDefault="00CA0AF1" w:rsidP="006E5591">
      <w:pPr>
        <w:pStyle w:val="HSpodbod"/>
      </w:pPr>
      <w:r>
        <w:t>Vytvoření datového centra (tzv. ESG data hub) pro snazší přístup k datům potřebným k vykazování.</w:t>
      </w:r>
    </w:p>
    <w:p w14:paraId="304F73BB" w14:textId="77777777" w:rsidR="00CA0AF1" w:rsidRDefault="00CA0AF1" w:rsidP="006E5591">
      <w:pPr>
        <w:pStyle w:val="HSpodbod"/>
      </w:pPr>
      <w:r>
        <w:t xml:space="preserve">Rozšíření investičních možností a zajištění přístupu k tržnímu financování pro malé a střední podniky. </w:t>
      </w:r>
    </w:p>
    <w:p w14:paraId="73179B75" w14:textId="77777777" w:rsidR="00CA0AF1" w:rsidRDefault="00CA0AF1" w:rsidP="006E5591">
      <w:pPr>
        <w:pStyle w:val="HSpodbod"/>
      </w:pPr>
      <w:r>
        <w:t>Vyjasnění pravidel čerpání prostředků z fondů EU v souladu s principy udržitelnosti.</w:t>
      </w:r>
    </w:p>
    <w:p w14:paraId="69B836EB" w14:textId="77777777" w:rsidR="00CA0AF1" w:rsidRDefault="00CA0AF1" w:rsidP="006E5591">
      <w:pPr>
        <w:pStyle w:val="HSpodbod"/>
      </w:pPr>
      <w:r>
        <w:t>Zjednodušení projektových řízení a zajištění kompatibility se stávajícími procesy (např. EIA).</w:t>
      </w:r>
    </w:p>
    <w:p w14:paraId="26900588" w14:textId="542ACBD7" w:rsidR="00CA0AF1" w:rsidRPr="006E5591" w:rsidRDefault="00CA0AF1" w:rsidP="006E5591">
      <w:pPr>
        <w:pStyle w:val="HSpodbod"/>
      </w:pPr>
      <w:r>
        <w:t>Vyjasnění pravidel Rámce pro podniky s majetkovou účastí státu.</w:t>
      </w:r>
    </w:p>
    <w:p w14:paraId="7E3101E7" w14:textId="341A964B" w:rsidR="00CA0AF1" w:rsidRPr="00F55E52" w:rsidRDefault="00CA0AF1" w:rsidP="00F55E52">
      <w:pPr>
        <w:pStyle w:val="HSNadpisIII43"/>
        <w:ind w:left="567" w:hanging="567"/>
      </w:pPr>
      <w:r w:rsidRPr="00F55E52">
        <w:t>Financování udržitelnosti ve veřejném sektoru</w:t>
      </w:r>
    </w:p>
    <w:p w14:paraId="00E68027" w14:textId="77777777" w:rsidR="00090883" w:rsidRDefault="00090883" w:rsidP="00090883">
      <w:r>
        <w:t>Pro veřejný je klíčová taxonomie EU, která poskytuje klasifikační systém pro hodnocení ekonomických aktivit (a souvisejících investic) z pohledu environmentální udržitelnosti Lze ji využívat na dobrovolné bázi např. při plánování a řízení veřejných investic. Tyto investice pak mohou být financovány prostřednictvím evropských zelených dluhopisů (ty zavádí EUGBS), které jsou s taxonomií EU provázány.</w:t>
      </w:r>
    </w:p>
    <w:p w14:paraId="5EF88E35" w14:textId="61F5A0A3" w:rsidR="00CA0AF1" w:rsidRPr="003100B1" w:rsidRDefault="00090883" w:rsidP="00090883">
      <w:r>
        <w:t>Řada zemí EU rozvíjí tzv. zelené rozpočtování, jež v základní podobě představuje nástroj pro monitorování veřejných výdajů v environmentálních souvislostech, v pokročilé podobě pak zahrnuje evaluaci efektivnosti veřejných výdajů s cílem zajistit efektivnější výdajovou politiku a nastavení investičních priorit. Pro zelené rozpočtování, stejně jako pro zadávání veřejných zakázek zohledňujících udržitelnost, jsou do značné míry využitelné principy zavedené v rámci agendy financování udržitelnosti, především pak vhodně vybraná technická kritéria taxonomie EU</w:t>
      </w:r>
      <w:r w:rsidR="00CA0AF1" w:rsidRPr="003100B1">
        <w:t>.</w:t>
      </w:r>
    </w:p>
    <w:p w14:paraId="00747E3F" w14:textId="5FE58251" w:rsidR="00CA0AF1" w:rsidRPr="00F55E52" w:rsidRDefault="00CA0AF1" w:rsidP="00F55E52">
      <w:pPr>
        <w:pStyle w:val="HSNadpis5bezslovn"/>
      </w:pPr>
      <w:r w:rsidRPr="00F55E52">
        <w:t>Podmínky udržitelnosti při poskytování veřejné podpory</w:t>
      </w:r>
    </w:p>
    <w:p w14:paraId="434AF31D" w14:textId="4D8A0285" w:rsidR="00090883" w:rsidRDefault="00090883" w:rsidP="00090883">
      <w:r>
        <w:t xml:space="preserve">Podstatným prvkem agendy financování udržitelnosti pro veřejný sektor je rovněž tzv. zásada významně nepoškozovat (do no </w:t>
      </w:r>
      <w:proofErr w:type="spellStart"/>
      <w:r>
        <w:t>significant</w:t>
      </w:r>
      <w:proofErr w:type="spellEnd"/>
      <w:r>
        <w:t xml:space="preserve"> </w:t>
      </w:r>
      <w:proofErr w:type="spellStart"/>
      <w:r>
        <w:t>harm</w:t>
      </w:r>
      <w:proofErr w:type="spellEnd"/>
      <w:r>
        <w:t>, DNSH), která se propisuje do evropské legislativy pro jednotlivé fondy EU nebo Nástroje pro oživení a odolnost (</w:t>
      </w:r>
      <w:proofErr w:type="spellStart"/>
      <w:r>
        <w:t>Recovery</w:t>
      </w:r>
      <w:proofErr w:type="spellEnd"/>
      <w:r>
        <w:t xml:space="preserve"> and </w:t>
      </w:r>
      <w:proofErr w:type="spellStart"/>
      <w:r>
        <w:t>Resilience</w:t>
      </w:r>
      <w:proofErr w:type="spellEnd"/>
      <w:r>
        <w:t xml:space="preserve"> Facility, RRF) a tedy do realizace opatření v rámci Národních plánů obnovy (NPO). Cílem je podporovat projekty a investice, které nenarušují plnění environmentálních cílů EU a rovněž závazků jednotlivých členských států.</w:t>
      </w:r>
    </w:p>
    <w:p w14:paraId="6E0BCB72" w14:textId="1D720400" w:rsidR="00CA0AF1" w:rsidRPr="003100B1" w:rsidRDefault="00090883" w:rsidP="00090883">
      <w:r>
        <w:t>Implementace zásady DNSH v mnoha případech předpokládá plnění podmínek nad rámec stávající (domácí) legislativní úpravy – vychází z předpokladu, že legislativní rámec je pouze minimálním standardem, avšak z</w:t>
      </w:r>
      <w:r w:rsidR="00BC2E34">
        <w:t> </w:t>
      </w:r>
      <w:r>
        <w:t>pohledu nových investic a podpory z veřejných rozpočtů by měly být prostředky vynakládány nejen účelně, ale i</w:t>
      </w:r>
      <w:r w:rsidR="00BC2E34">
        <w:t> </w:t>
      </w:r>
      <w:r>
        <w:t>s</w:t>
      </w:r>
      <w:r w:rsidR="00BC2E34">
        <w:t> </w:t>
      </w:r>
      <w:r>
        <w:t xml:space="preserve">ohledem na dopady na životní prostředí a klimatickou odolnost infrastruktury. Stávající legislativa v </w:t>
      </w:r>
      <w:r w:rsidR="00BC2E34">
        <w:t>České republice</w:t>
      </w:r>
      <w:r>
        <w:t xml:space="preserve"> tyto požadavky mnohdy neplní.</w:t>
      </w:r>
    </w:p>
    <w:p w14:paraId="5588B9FA" w14:textId="77777777" w:rsidR="00CA0AF1" w:rsidRPr="00F55E52" w:rsidRDefault="00CA0AF1" w:rsidP="00F55E52">
      <w:pPr>
        <w:pStyle w:val="HSNadpis5bezslovn"/>
      </w:pPr>
      <w:r w:rsidRPr="00F55E52">
        <w:lastRenderedPageBreak/>
        <w:t>Současný stav</w:t>
      </w:r>
    </w:p>
    <w:p w14:paraId="06D3CE84" w14:textId="19EC77CE" w:rsidR="001971A6" w:rsidRDefault="001971A6" w:rsidP="001971A6">
      <w:r>
        <w:t>Politiky financování udržitelnosti zahrnují řadu různých nástrojů, které vyžadují spolupráci napříč sektory a rezorty a dochází zde nevyhnutelně k propojování znalostí z ekonomie, finanční analýzy, řízení rizik, technologií a</w:t>
      </w:r>
      <w:r w:rsidR="00BC2E34">
        <w:t> </w:t>
      </w:r>
      <w:r>
        <w:t xml:space="preserve">životního prostředí. </w:t>
      </w:r>
    </w:p>
    <w:p w14:paraId="06A664C4" w14:textId="294B45AB" w:rsidR="001971A6" w:rsidRDefault="001971A6" w:rsidP="001971A6">
      <w:r>
        <w:t>Horizontálním problémem agendy financování udržitelnosti je dosavadní absence systémového uchopení ze strany státní správy. Tato skutečnost může nepříznivě ovlivnit schopnost ČR čerpat prostředky z fondů EU a</w:t>
      </w:r>
      <w:r w:rsidR="00BC2E34">
        <w:t> </w:t>
      </w:r>
      <w:r>
        <w:t xml:space="preserve">rovněž podmínky tržního financování investičních aktivit veřejné sektoru. Zajištění dostupnosti těchto prostředků pro úspěšný přechod na nízkouhlíkové hospodářství je přitom pro ČR zcela zásadní.  </w:t>
      </w:r>
    </w:p>
    <w:p w14:paraId="38745944" w14:textId="22F8C169" w:rsidR="001971A6" w:rsidRDefault="001971A6" w:rsidP="001971A6">
      <w:r>
        <w:t>V ČR rovněž chybí efektivní mechanismus monitorování a kontroly souladu veřejných příjmů a výdajů se závazky v oblasti klimatu a životního prostředí. Tato skutečnost znesnadňuje zajišťování soudržnosti rozpočtových a fiskálních politik s vnitrostátními cíli v oblasti udržitelnosti a znemožňuje efektivní nastavení investičních priorit a</w:t>
      </w:r>
      <w:r w:rsidR="00BC2E34">
        <w:t> </w:t>
      </w:r>
      <w:r>
        <w:t>alokace veřejných prostředků.</w:t>
      </w:r>
    </w:p>
    <w:p w14:paraId="62916A08" w14:textId="77777777" w:rsidR="001971A6" w:rsidRDefault="001971A6" w:rsidP="001971A6">
      <w:r>
        <w:t xml:space="preserve">Důležitou problematikou je rovněž systém veřejného zadávání, který ve stávající podobě dostatečně nezohledňuje environmentální hlediska při realizaci veřejných zakázek. Zadávání veřejných zakázek se rovněž významně dotkne regulace Evropské unie týkající se principů ESG a taxonomie EU. Realizace udržitelných projektů není stanovena jako povinnost, respektování principů udržitelnosti však bude mít zásadní dopad na budoucí možnosti zajištění financování těchto projektů a ochoty dodavatelů se podílet na jejich realizaci. </w:t>
      </w:r>
    </w:p>
    <w:p w14:paraId="7F9D970F" w14:textId="77777777" w:rsidR="001971A6" w:rsidRDefault="001971A6" w:rsidP="001971A6">
      <w:r>
        <w:t xml:space="preserve">Podobně je zapotřebí zvážit zohlednění environmentálních hledisek při snaze snížit náklady na obsluhu státního dluhu. Nástroje financování udržitelnosti mohou přispívat ke snižování investičních nákladů veřejného sektoru prostřednictvím realizace projektů v souladu s kritérii udržitelnosti. </w:t>
      </w:r>
    </w:p>
    <w:p w14:paraId="5BB918B4" w14:textId="77777777" w:rsidR="001971A6" w:rsidRDefault="001971A6" w:rsidP="001971A6">
      <w:r>
        <w:t>Výzvou pro udržitelnost veřejných financí představuje rovněž očekávané postupné snižování daňových příjmů souvisejících se spotřebou fosilních paliv (např. spotřební daně a licenční poplatky).</w:t>
      </w:r>
    </w:p>
    <w:p w14:paraId="66F58DC6" w14:textId="6D8BA02F" w:rsidR="001971A6" w:rsidRDefault="00BC2E34" w:rsidP="001971A6">
      <w:r>
        <w:t>Česká republika</w:t>
      </w:r>
      <w:r w:rsidR="001971A6">
        <w:t xml:space="preserve"> bude rovněž povinna zajistit vykazování environmentálně škodlivých dotací a dotací do fosilních paliv. Na základě této povinnosti musí </w:t>
      </w:r>
      <w:r>
        <w:t>Česká republika</w:t>
      </w:r>
      <w:r w:rsidR="001971A6">
        <w:t xml:space="preserve"> od roku 2025 zavést podrobnou statistiku dotací a jejich environmentálních souvislostí. </w:t>
      </w:r>
      <w:r>
        <w:t>V</w:t>
      </w:r>
      <w:r w:rsidR="001971A6">
        <w:t xml:space="preserve"> těchto oblastech </w:t>
      </w:r>
      <w:r>
        <w:t xml:space="preserve">však zatím </w:t>
      </w:r>
      <w:r w:rsidR="001971A6">
        <w:t xml:space="preserve">nedisponuje vyhovujícími systémovými nástroji. </w:t>
      </w:r>
    </w:p>
    <w:p w14:paraId="508B2588" w14:textId="21C87D7C" w:rsidR="00CA0AF1" w:rsidRPr="003100B1" w:rsidRDefault="001971A6" w:rsidP="001971A6">
      <w:r>
        <w:t>Další výzvou pro státní správu je povinnost vykazovat nefinanční informace na základě směrnice o podávání zpráv o udržitelnosti (CSRD) a nařízení o taxonomii, jenž od roku 2024 dopadne postupně na všechny velké podniky a kótované malé a střední podniky a některé podniky ze třetích zemí. Tato povinnost se bude vztahovat i na řadu podniků s majetkovou účastí státu.</w:t>
      </w:r>
    </w:p>
    <w:p w14:paraId="052BA475" w14:textId="3F2E59ED" w:rsidR="00CA0AF1" w:rsidRPr="00F55E52" w:rsidRDefault="00CA0AF1" w:rsidP="00F55E52">
      <w:pPr>
        <w:pStyle w:val="HSNadpis5bezslovn"/>
      </w:pPr>
      <w:r w:rsidRPr="00F55E52">
        <w:t>Návrhy řešení</w:t>
      </w:r>
    </w:p>
    <w:p w14:paraId="7650CC01" w14:textId="1C0844D4" w:rsidR="00CA0AF1" w:rsidRPr="003100B1" w:rsidRDefault="001971A6" w:rsidP="00CA0AF1">
      <w:r>
        <w:t>V</w:t>
      </w:r>
      <w:r w:rsidR="00CA0AF1" w:rsidRPr="003100B1">
        <w:t>yužívání mechanismů a</w:t>
      </w:r>
      <w:r w:rsidR="00655668">
        <w:t> </w:t>
      </w:r>
      <w:r w:rsidR="00CA0AF1" w:rsidRPr="003100B1">
        <w:t>nástrojů financování</w:t>
      </w:r>
      <w:r w:rsidR="00CA0AF1">
        <w:t xml:space="preserve"> udržitelnosti</w:t>
      </w:r>
      <w:r w:rsidR="00CA0AF1" w:rsidRPr="003100B1">
        <w:t xml:space="preserve"> veřejným sektorem představ</w:t>
      </w:r>
      <w:r>
        <w:t>uje</w:t>
      </w:r>
      <w:r w:rsidR="00CA0AF1" w:rsidRPr="003100B1">
        <w:t xml:space="preserve"> přínosy v podobě efektivního plánování investičních projektů, odolnosti veřejných investic, prevence rizik, přístupu k levnějším zdrojům financování, úspor nákladů na obsluhu státního dluhu a snížení nepříznivých dopadů na</w:t>
      </w:r>
      <w:r w:rsidR="00CA0AF1">
        <w:t xml:space="preserve"> klima a</w:t>
      </w:r>
      <w:r w:rsidR="00CA0AF1" w:rsidRPr="003100B1">
        <w:t xml:space="preserve"> životní prostředí.</w:t>
      </w:r>
    </w:p>
    <w:p w14:paraId="14AF48B6" w14:textId="77A99270" w:rsidR="00CA0AF1" w:rsidRPr="002A3218" w:rsidRDefault="00CA0AF1" w:rsidP="003666A4">
      <w:pPr>
        <w:pStyle w:val="HSNadpis4bezslovn"/>
      </w:pPr>
      <w:r w:rsidRPr="002A3218">
        <w:t>Vytvoření národního rámce v oblasti financování</w:t>
      </w:r>
      <w:r>
        <w:t xml:space="preserve"> udržitelnosti</w:t>
      </w:r>
      <w:r w:rsidRPr="002A3218">
        <w:t xml:space="preserve"> bude mít za cíl:</w:t>
      </w:r>
    </w:p>
    <w:p w14:paraId="23853BD2" w14:textId="77777777" w:rsidR="00CA0AF1" w:rsidRPr="003100B1" w:rsidRDefault="00CA0AF1" w:rsidP="006E5591">
      <w:pPr>
        <w:pStyle w:val="HSpodbod"/>
      </w:pPr>
      <w:r w:rsidRPr="003100B1">
        <w:t>Systémové uchopení a efektivní koordina</w:t>
      </w:r>
      <w:r>
        <w:t>ci</w:t>
      </w:r>
      <w:r w:rsidRPr="003100B1">
        <w:t xml:space="preserve"> agendy udržitelného financování napříč státní správou.</w:t>
      </w:r>
    </w:p>
    <w:p w14:paraId="7F6F56F0" w14:textId="39948597" w:rsidR="00CA0AF1" w:rsidRPr="003100B1" w:rsidRDefault="00CA0AF1" w:rsidP="00F140AD">
      <w:pPr>
        <w:pStyle w:val="HSpodbod"/>
      </w:pPr>
      <w:r w:rsidRPr="003100B1">
        <w:t>Zohlednění principů udržitelnosti při plánování veřejných investic a infrastruktury</w:t>
      </w:r>
      <w:r w:rsidR="001971A6">
        <w:t>,</w:t>
      </w:r>
      <w:r w:rsidRPr="003100B1">
        <w:t xml:space="preserve"> při využívání prostředků z fondů EU</w:t>
      </w:r>
      <w:r w:rsidR="001971A6">
        <w:t>,</w:t>
      </w:r>
      <w:r w:rsidRPr="003100B1">
        <w:t xml:space="preserve"> v systému veřejného zadávání</w:t>
      </w:r>
      <w:r w:rsidR="001971A6">
        <w:t xml:space="preserve"> a </w:t>
      </w:r>
      <w:r w:rsidRPr="003100B1">
        <w:t xml:space="preserve">při obsluze státního dluhu (udržitelné dluhopisy). </w:t>
      </w:r>
    </w:p>
    <w:p w14:paraId="6D6727FA" w14:textId="7298B244" w:rsidR="00CA0AF1" w:rsidRPr="003100B1" w:rsidRDefault="00CA0AF1" w:rsidP="006E5591">
      <w:pPr>
        <w:pStyle w:val="HSpodbod"/>
      </w:pPr>
      <w:r w:rsidRPr="003100B1">
        <w:t>Zavedení monitoringu a kontroly souladu veřejných příjmů a výdajů s</w:t>
      </w:r>
      <w:r>
        <w:t>e</w:t>
      </w:r>
      <w:r w:rsidRPr="003100B1">
        <w:t xml:space="preserve"> závazky </w:t>
      </w:r>
      <w:r w:rsidR="00C56CA1">
        <w:t>České republiky</w:t>
      </w:r>
      <w:r>
        <w:t xml:space="preserve"> v oblasti klimatu a životního prostředí</w:t>
      </w:r>
      <w:r w:rsidRPr="003100B1">
        <w:t xml:space="preserve"> (zelené rozpočtování).</w:t>
      </w:r>
    </w:p>
    <w:p w14:paraId="29758627" w14:textId="5DB43698" w:rsidR="00CA0AF1" w:rsidRPr="003100B1" w:rsidRDefault="00CA0AF1" w:rsidP="006E5591">
      <w:pPr>
        <w:pStyle w:val="HSpodbod"/>
      </w:pPr>
      <w:r w:rsidRPr="003100B1">
        <w:t xml:space="preserve">Zmapování souladu legislativy </w:t>
      </w:r>
      <w:r w:rsidR="00C56CA1">
        <w:t>České republiky</w:t>
      </w:r>
      <w:r w:rsidRPr="003100B1">
        <w:t xml:space="preserve"> s kritérii udržitelnosti taxonomie EU a identifikace legislativních mezer. </w:t>
      </w:r>
    </w:p>
    <w:p w14:paraId="1CA8420A" w14:textId="77777777" w:rsidR="00CA0AF1" w:rsidRPr="003100B1" w:rsidRDefault="00CA0AF1" w:rsidP="006E5591">
      <w:pPr>
        <w:pStyle w:val="HSpodbod"/>
      </w:pPr>
      <w:r w:rsidRPr="003100B1">
        <w:t>Zajištění podpory rozvoje konceptu ESG v souvislou s výkonem vlastnické politiky státu.</w:t>
      </w:r>
    </w:p>
    <w:p w14:paraId="0261F42F" w14:textId="08DADAB0" w:rsidR="00CA0AF1" w:rsidRPr="009433D0" w:rsidRDefault="00CA0AF1" w:rsidP="009433D0">
      <w:pPr>
        <w:pStyle w:val="HSpodbod"/>
      </w:pPr>
      <w:r w:rsidRPr="003100B1">
        <w:t>Zajištění konsolidace veřejně dostupných dat potřebných pro vykazování udržitelnosti.</w:t>
      </w:r>
    </w:p>
    <w:p w14:paraId="02E15A9D" w14:textId="0D5C9826" w:rsidR="00CA0AF1" w:rsidRDefault="00CA0AF1">
      <w:pPr>
        <w:pStyle w:val="HSNadpisIII4"/>
      </w:pPr>
      <w:bookmarkStart w:id="81" w:name="_Toc174703099"/>
      <w:r>
        <w:t>Dlouhodobá udržitelnost veřejných financí</w:t>
      </w:r>
      <w:bookmarkEnd w:id="81"/>
      <w:r>
        <w:t xml:space="preserve"> </w:t>
      </w:r>
    </w:p>
    <w:p w14:paraId="1D98452C" w14:textId="77777777" w:rsidR="00CA0AF1" w:rsidRDefault="00CA0AF1" w:rsidP="00CA0AF1">
      <w:r w:rsidRPr="001971A6">
        <w:t xml:space="preserve">Dlouhodobá udržitelnost </w:t>
      </w:r>
      <w:r w:rsidRPr="005F147D">
        <w:rPr>
          <w:b/>
          <w:bCs/>
        </w:rPr>
        <w:t>veřejných financí</w:t>
      </w:r>
      <w:r>
        <w:t xml:space="preserve"> je zásadní podmínkou pro úspěšnou hospodářskou strategii. Jakékoliv strukturální změny, které se v čase v ekonomice dějí a posouvají ji na novou úroveň, vyžadují zdroje. Větší změny nelze financovat pouze ze soukromých nebo pouze z veřejných zdrojů, ale je nutné hledat optimální mix. </w:t>
      </w:r>
      <w:r>
        <w:lastRenderedPageBreak/>
        <w:t>Vhodná alokace zdrojů je klíčovou otázkou i v rámci veřejných financí, neboť je nezbytné najít nejvhodnější nastavení dodatečných zdrojů v oblasti příjmů a adekvátní úspory na výdajové straně, které pak lze využít na financování žádoucích strukturálních změn. Další možností je dluhové financování, které však naráží na tvrdá rozpočtová omezení a lze je využít jen v určitých mezích.</w:t>
      </w:r>
    </w:p>
    <w:p w14:paraId="75A2652B" w14:textId="77777777" w:rsidR="00CA0AF1" w:rsidRDefault="00CA0AF1" w:rsidP="00CA0AF1">
      <w:r>
        <w:t>Těžko si lze představit, že jakákoliv ekonomika bude prosperovat, pokud se veřejné finance ocitnou v nepříznivém trendu značícím finanční neudržitelnost a nutnost budoucích více či méně drastických omezení. V eurozóně je tento trend patrný u jižních zemí, které jsou vlivem vysokého zadlužení nuceny přijímat úsporná opatření. To vede k jejich postupnému propadu z hlediska životní úrovně obyvatel v relaci k ostatním zemím EU. Z tohoto důvodu je dlouhodobě udržitelné nastavení veřejných financí zcela nezbytným předpokladem úspěšné hospodářské strategie. Dále však platí, že dlouhodobá udržitelnost by měla být zajištěna kontinuálně, aby se předešlo výraznějším šokům z titulu masivních konsolidačních opatření.</w:t>
      </w:r>
    </w:p>
    <w:p w14:paraId="7210157C" w14:textId="227EDB2E" w:rsidR="00CA0AF1" w:rsidRDefault="00CA0AF1" w:rsidP="00CA0AF1">
      <w:r>
        <w:t>Finanční udržitelnost veřejných financí má dva základní aspekty – krátké a střední období na jedné straně a</w:t>
      </w:r>
      <w:r w:rsidR="00655668">
        <w:t> </w:t>
      </w:r>
      <w:r>
        <w:t>dlouhé období na straně druhé. V krátkém a středním období je nutné směrovat veřejné finance ke střednědobému rozpočtovému cíli, který pro Českou republiku činí ve vyjádření strukturálního deficitu 0,75</w:t>
      </w:r>
      <w:r w:rsidR="00655668">
        <w:t> </w:t>
      </w:r>
      <w:r>
        <w:t xml:space="preserve">% HDP. Strukturální deficit v roce 2022 byl o téměř </w:t>
      </w:r>
      <w:proofErr w:type="gramStart"/>
      <w:r>
        <w:t>2 procentní</w:t>
      </w:r>
      <w:proofErr w:type="gramEnd"/>
      <w:r>
        <w:t xml:space="preserve"> body vyšší. Pro zlepšení střednědobého rámce udržitelných veřejných financí vláda přijala konsolidační balíček s pozitivním dopadem na strukturální bilanci ve výši přesahující </w:t>
      </w:r>
      <w:proofErr w:type="gramStart"/>
      <w:r>
        <w:t>1 procentní</w:t>
      </w:r>
      <w:proofErr w:type="gramEnd"/>
      <w:r>
        <w:t xml:space="preserve"> bod. Svého střednědobého rozpočtového cíle by Česká republika měla dosáhnout v souladu se zákonem č. 23/2017 Sb. o pravidlech rozpočtové odpovědnosti ve znění pozdějších předpisů nejpozději v roce 2028. Tím by mělo být dosaženo otočení trendu v zadlužování a poměr dluhu k HDP by měl opět klesat.</w:t>
      </w:r>
    </w:p>
    <w:p w14:paraId="6E15216B" w14:textId="703C9CE8" w:rsidR="00CA0AF1" w:rsidRDefault="00CA0AF1" w:rsidP="00CA0AF1">
      <w:r w:rsidRPr="001971A6">
        <w:t xml:space="preserve">Dlouhodobý aspekt udržitelnosti veřejných financí </w:t>
      </w:r>
      <w:r>
        <w:t>obsahuje budoucí tlaky na hospodaření veřejných rozpočtů, které poplynou z několika oblastí. Jde jednak o řešení stárnutí obyvatelstva, které zatíží sociální výdaje, ať už jde o důchody, zdravotnictví, dlouhodobou péči nebo vzdělávací systém. Další oblastí je klimatická změna a nutnost investic k dosažení cílů, ke kterým se Česká republika zavázala. Výzvou rovněž bude bezpečnost, ať už udržením hladiny 2</w:t>
      </w:r>
      <w:r w:rsidR="00CC136B">
        <w:t> </w:t>
      </w:r>
      <w:r>
        <w:t>% HDP na obranu země, tak bezpečnost v energetické oblasti. Hospodářská strategie na horizont dalších 10 až 15 let se mimo dalších musí zabývat právě těmito tématy. Všechny zmíněné oblasti jsou natolik závažné, že nelze čekat až dojde k akutnímu problému. Je třeba se na ně připravit a stanovit jasné priority a</w:t>
      </w:r>
      <w:r w:rsidR="00655668">
        <w:t> </w:t>
      </w:r>
      <w:r>
        <w:t>životaschopná řešení.</w:t>
      </w:r>
    </w:p>
    <w:p w14:paraId="3BAFEAF3" w14:textId="48C1B3D7" w:rsidR="00CA0AF1" w:rsidRDefault="00CA0AF1" w:rsidP="00CA0AF1">
      <w:r>
        <w:t xml:space="preserve">Demografický vývoj v České republice formuje na </w:t>
      </w:r>
      <w:r w:rsidRPr="001971A6">
        <w:rPr>
          <w:b/>
          <w:bCs/>
        </w:rPr>
        <w:t>průběžný důchodový systém</w:t>
      </w:r>
      <w:r>
        <w:t xml:space="preserve"> enormní tlak, který začne zesilovat od 30. let tohoto století a vyvrcholí kolem roku 2060. Ačkoliv je v roce 2023 důchodový systém rovněž v</w:t>
      </w:r>
      <w:r w:rsidR="00565483">
        <w:t> </w:t>
      </w:r>
      <w:r>
        <w:t>nerovnováze ve výši cca 1</w:t>
      </w:r>
      <w:r w:rsidR="00CC136B">
        <w:t> </w:t>
      </w:r>
      <w:r>
        <w:t>% HDP, postupným obnovením růstu reálných mezd by se měl deficit snižovat až</w:t>
      </w:r>
      <w:r w:rsidR="00565483">
        <w:t> </w:t>
      </w:r>
      <w:r>
        <w:t>zhruba k 0,2 až 0,3</w:t>
      </w:r>
      <w:r w:rsidR="00CC136B">
        <w:t> </w:t>
      </w:r>
      <w:r>
        <w:t>% HDP na přelomu současné a následující dekády. Pak by však měl opět začít růst a dosáhnout vrcholu kolem roku 2060 na úrovni cca 3,4</w:t>
      </w:r>
      <w:r w:rsidR="00CC136B">
        <w:t> </w:t>
      </w:r>
      <w:r>
        <w:t>% HDP. Relativní zhoršení ročních sald důchodového systému si tak oproti přelomu současné a následující dekády a obdobím kolem roku 2060 vyžádá v dnešních cenách dodatečné zdroje ve výši zhruba 230 mld. Kč.</w:t>
      </w:r>
    </w:p>
    <w:p w14:paraId="66D54777" w14:textId="595E4D11" w:rsidR="00CA0AF1" w:rsidRDefault="00CA0AF1" w:rsidP="00CA0AF1">
      <w:r>
        <w:t xml:space="preserve">Nastavení důchodového systému v </w:t>
      </w:r>
      <w:r w:rsidR="00C56CA1">
        <w:t>České republice</w:t>
      </w:r>
      <w:r>
        <w:t xml:space="preserve"> implikuje převažující deficitní hospodaření. V letech 2000 až</w:t>
      </w:r>
      <w:r w:rsidR="00565483">
        <w:t> </w:t>
      </w:r>
      <w:r>
        <w:t>2023 převážily příjmy z důchodového pojištění výdaje na důchody pouze v šesti letech (tedy ve 25</w:t>
      </w:r>
      <w:r w:rsidR="00655668">
        <w:t> </w:t>
      </w:r>
      <w:r>
        <w:t>% případů). Nejvyšší přebytek dosáhl hodnoty 0,3</w:t>
      </w:r>
      <w:r w:rsidR="00655668">
        <w:t> </w:t>
      </w:r>
      <w:r>
        <w:t>% HDP, v průměru všech šesti let pak 0,2</w:t>
      </w:r>
      <w:r w:rsidR="00655668">
        <w:t> </w:t>
      </w:r>
      <w:r>
        <w:t>% HDP. Naproti tomu deficitní hospodaření bylo násobně vyšší, nejvyššího deficitu bylo dosaženo v roce 2013 ve výši 1,3</w:t>
      </w:r>
      <w:r w:rsidR="00655668">
        <w:t> </w:t>
      </w:r>
      <w:r>
        <w:t>% HDP, přičemž v</w:t>
      </w:r>
      <w:r w:rsidR="00655668">
        <w:t> </w:t>
      </w:r>
      <w:r>
        <w:t>průměru schodek činil 0,7</w:t>
      </w:r>
      <w:r w:rsidR="00655668">
        <w:t> </w:t>
      </w:r>
      <w:r>
        <w:t xml:space="preserve">% HDP. Vývoj je negativně ovlivněn demografickým vývojem již v poslední dekádě, kdy je patrný úbytek obyvatel v produktivním věku, který byl však kompenzován růstem míry participace. Její další růst však naráží na značné limity. </w:t>
      </w:r>
    </w:p>
    <w:p w14:paraId="490B06D3" w14:textId="2595B0E9" w:rsidR="001971A6" w:rsidRDefault="001971A6" w:rsidP="001971A6">
      <w:r w:rsidRPr="001971A6">
        <w:t xml:space="preserve">Udržitelnost </w:t>
      </w:r>
      <w:r w:rsidRPr="001971A6">
        <w:rPr>
          <w:b/>
          <w:bCs/>
        </w:rPr>
        <w:t>systému zdravotnictví</w:t>
      </w:r>
      <w:r>
        <w:t xml:space="preserve"> v </w:t>
      </w:r>
      <w:r w:rsidR="00BC2E34">
        <w:t>České republice</w:t>
      </w:r>
      <w:r>
        <w:t xml:space="preserve"> se bude v následujících dekádách potýkat s velkými výzvami týkající se celé společnosti. Jedná se zejména o zvyšující se expozici některých rizikových faktorů, jako jsou obezita a konzumace alkoholu, na zdravotní stav obyvatel. </w:t>
      </w:r>
      <w:r w:rsidR="00BC2E34">
        <w:t>Česká republika</w:t>
      </w:r>
      <w:r>
        <w:t xml:space="preserve"> totiž i přes trendový pokles úmrtnosti stále vykazuje ve srovnání s EU nadprůměrnou výši úmrtnosti na léčitelná onemocnění a onemocnění, kterým lze předejít prevencí. Hlavními příčinami úmrtnosti v </w:t>
      </w:r>
      <w:r w:rsidR="00BC2E34">
        <w:t>České republice</w:t>
      </w:r>
      <w:r>
        <w:t xml:space="preserve"> jsou onemocnění oběhové soustavy, rakovina plic a diabetes. To lze přičíst behaviorálním rizikovým faktorům, kdy mezi nejvýznamnější patří špatné stravovací návyky (mající vliv na vysoký podíl populace s nadváhou či vysokou spotřebu alkoholu). Vysokou expozici rizikových faktorů na zdravotní stav obyvatel bude nutné řešit například posílením ochrany veřejného zdraví, zlepšením zdravotní gramotnosti a důkladnou implementací prevence. OECD rovněž doporučuje pro zlepšení zdravotního stavu obyvatel zvyšování spotřebních daní na tabákové výrobky a alkohol či uvažovat o zavedení </w:t>
      </w:r>
      <w:r>
        <w:lastRenderedPageBreak/>
        <w:t xml:space="preserve">speciální daně na nezdravé potraviny. Druhým fenoménem pak bude proces stárnutí populace, který zásadním způsobem ovlivní finanční bilanci systému zdravotnictví.  </w:t>
      </w:r>
    </w:p>
    <w:p w14:paraId="4711A72A" w14:textId="03B0DDDA" w:rsidR="001971A6" w:rsidRDefault="001971A6" w:rsidP="001971A6">
      <w:r>
        <w:t>Do roku 2060 by se měl dvojnásobit jednak podíl osob starších 65 let k osobám v produktivním věku (15–64 let), ale také podíl osob ve věku 85 let a starších na počtu osob ve věku 65 let a vyšším. S tímto vývojem bude nevyhnutelně spojena vyšší nemocnost typická pro populaci seniorů s následným dopadem do výdajů na zdravotní péči. Veřejné výdaje tak mají dle EK vzrůst z 6,1 % HDP v roce 2020 na 6,6 % HDP v roce 2070.</w:t>
      </w:r>
    </w:p>
    <w:p w14:paraId="391704D2" w14:textId="3150CC0D" w:rsidR="001971A6" w:rsidRDefault="001971A6" w:rsidP="001971A6">
      <w:r>
        <w:t>Aby byla zajištěna jeho dlouhodobá udržitelnost, bude nutné provést ve fungování tohoto systému řadu změn. Týká se to jednak jeho zdrojové části, kdy bude nezbytné upravit strukturu financování zdravotní péče (např. zvýšením podílu soukromých zdrojů v podobě dobrovolného doplňkového připojištění). Druhou oblastí nutných změn je výkonnost zdravotního systému, zejména pak zvýšení efektivity ve vynakládání výdajů (zejména lepším řízením péče, posílením primární péče či elektronizací zdravotnictví) a optimalizace počtu a struktury zdravotnického personálu a zařízení.</w:t>
      </w:r>
    </w:p>
    <w:p w14:paraId="3E2C587C" w14:textId="5D34C600" w:rsidR="00CA0AF1" w:rsidRDefault="001971A6" w:rsidP="00CA0AF1">
      <w:r w:rsidRPr="001971A6">
        <w:t xml:space="preserve">Udržitelnost </w:t>
      </w:r>
      <w:r w:rsidRPr="001971A6">
        <w:rPr>
          <w:b/>
          <w:bCs/>
        </w:rPr>
        <w:t>systému dlouhodobé péče</w:t>
      </w:r>
      <w:r>
        <w:t xml:space="preserve"> je klíčovým bodem vzhledem k očekávanému demografickému vývoji. Dle EK se očekává do konce roku 2070 prakticky zdvojnásobení počtu příjemců dlouhodobé péče. Současná organizace financování, personální a kapacitní nabídka dlouhodobé péče však nejsou dostatečné pro absorbování takového navýšení poptávky. Veřejné výdaje na dlouhodobou péči v roce 2020 činily 1,7 % HDP (1,2 % HDP zaujímá dlouhodobá péče zdravotní, z čehož více jak 80 % představuje lůžková péče) a v roce 2070 mají dosahovat 3,2 % HDP. Počet pracovníků v dlouhodobých službách v roce 2021 dosah</w:t>
      </w:r>
      <w:r w:rsidR="00BC2E34">
        <w:t>ovaly</w:t>
      </w:r>
      <w:r>
        <w:t xml:space="preserve"> 27 pracovníků na 100 obyvatel starších 65 let, což je více jak dvojnásobně méně než průměr zemí OECD. Tento sektor je také charakteristický nízkou úrovní mezd. Průměrná hodinová mzda v institucionální dlouhodobé péči dosahuje 83 % průměrné hodinové hrubé mzdy v národním hospodářství, v domácí péči pak 74 %. I přes preferenci obyvatel využívat domácí péči před institucionální je nutné zvýšit kapacity lůžkové dlouhodobé péče. V roce 2021 dosahuje počet lůžek v</w:t>
      </w:r>
      <w:r w:rsidR="00BC2E34">
        <w:t> </w:t>
      </w:r>
      <w:r>
        <w:t xml:space="preserve">zařízeních dlouhodobé péče 349 na tisíc obyvatel starších 65 let, což je pod průměrem zemí EU. V nemocnicích bylo umístěno více jak 20 % všech lůžek dlouhodobé péče, což je výrazně nad průměrem zemí EU. I přes růst absolutního počtu lůžek dlouhodobé péče za posledních deset let došlo v </w:t>
      </w:r>
      <w:r w:rsidR="00BC2E34">
        <w:t>České republice</w:t>
      </w:r>
      <w:r>
        <w:t xml:space="preserve"> k poklesu tohoto podílu, což je způsobeno stárnutím populace, které předstihlo kapacitní růst. V následujících letech bude nutné podpořit zřizovatele k dalšímu rozvoji pečovatelských zařízení. Preferován by měl být rozvoj komplexní domácí péče jako alternativa k dlouhé hospitalizaci. Také by mělo dojít ke změně financování sociálních služeb včetně legislativního vymezení a financování zdravotně-sociálního pomezí systému.</w:t>
      </w:r>
    </w:p>
    <w:p w14:paraId="319D696C" w14:textId="77777777" w:rsidR="00CD427C" w:rsidRPr="00E11439" w:rsidRDefault="00CD427C" w:rsidP="00CD427C">
      <w:pPr>
        <w:pStyle w:val="HSNadpis4bezslovn"/>
      </w:pPr>
      <w:r>
        <w:t>Strategické</w:t>
      </w:r>
      <w:r w:rsidRPr="006C2504">
        <w:t xml:space="preserve"> </w:t>
      </w:r>
      <w:r>
        <w:t>cíle</w:t>
      </w:r>
      <w:r w:rsidRPr="006C2504">
        <w:t>:</w:t>
      </w:r>
    </w:p>
    <w:p w14:paraId="7EE21BB6" w14:textId="78CFD586" w:rsidR="00CD427C" w:rsidRPr="00CD427C" w:rsidRDefault="00CD427C" w:rsidP="00CD427C">
      <w:pPr>
        <w:pStyle w:val="HSpodbod"/>
      </w:pPr>
      <w:r w:rsidRPr="00CD427C">
        <w:t>Zajistit makroekonomickou stabilitu</w:t>
      </w:r>
      <w:r w:rsidR="00055790">
        <w:t>.</w:t>
      </w:r>
    </w:p>
    <w:p w14:paraId="434E2042" w14:textId="77777777" w:rsidR="00CD427C" w:rsidRPr="00CD427C" w:rsidRDefault="00CD427C" w:rsidP="00CD427C">
      <w:pPr>
        <w:pStyle w:val="HSpodbod"/>
        <w:numPr>
          <w:ilvl w:val="0"/>
          <w:numId w:val="0"/>
        </w:numPr>
        <w:ind w:left="360"/>
      </w:pPr>
      <w:r w:rsidRPr="00CD427C">
        <w:t>Ukazatel: Naplňování Maastrichtských kritérií</w:t>
      </w:r>
    </w:p>
    <w:p w14:paraId="273869A8" w14:textId="583F8158" w:rsidR="00CD427C" w:rsidRPr="00CD427C" w:rsidRDefault="00CD427C" w:rsidP="00CD427C">
      <w:pPr>
        <w:pStyle w:val="HSpodbod"/>
      </w:pPr>
      <w:r w:rsidRPr="00CD427C">
        <w:t>Zajistit udržitelnost, případně vyrovnanost průběžného důchodového systému</w:t>
      </w:r>
      <w:r w:rsidR="00055790">
        <w:t>.</w:t>
      </w:r>
    </w:p>
    <w:p w14:paraId="35480CDF" w14:textId="444CD64F" w:rsidR="00244831" w:rsidRDefault="00CD427C" w:rsidP="002670F6">
      <w:pPr>
        <w:pStyle w:val="HSpodbod"/>
        <w:numPr>
          <w:ilvl w:val="0"/>
          <w:numId w:val="0"/>
        </w:numPr>
        <w:spacing w:after="120"/>
        <w:ind w:left="357"/>
        <w:contextualSpacing w:val="0"/>
      </w:pPr>
      <w:r w:rsidRPr="00CD427C">
        <w:t>Ukazatel: Poměr příjmů a výdajů</w:t>
      </w:r>
      <w:r>
        <w:t xml:space="preserve"> na důchodovém účtu</w:t>
      </w:r>
    </w:p>
    <w:p w14:paraId="464B55CD" w14:textId="048CBD8D" w:rsidR="00CA0AF1" w:rsidRPr="00F55E52" w:rsidRDefault="00CA0AF1" w:rsidP="00F55E52">
      <w:pPr>
        <w:pStyle w:val="HSNadpis5bezslovn"/>
      </w:pPr>
      <w:r w:rsidRPr="00F55E52">
        <w:t>Již přijatá opatření:</w:t>
      </w:r>
    </w:p>
    <w:p w14:paraId="5327819F" w14:textId="77777777" w:rsidR="00CA0AF1" w:rsidRPr="005A4982" w:rsidRDefault="00CA0AF1" w:rsidP="00F55E52">
      <w:pPr>
        <w:pStyle w:val="HSpodbod"/>
      </w:pPr>
      <w:r w:rsidRPr="005A4982">
        <w:t xml:space="preserve">Konsolidační balíček </w:t>
      </w:r>
      <w:r>
        <w:t xml:space="preserve">přijatý v roce </w:t>
      </w:r>
      <w:r w:rsidRPr="005A4982">
        <w:t xml:space="preserve">2023 </w:t>
      </w:r>
      <w:r>
        <w:t>s</w:t>
      </w:r>
      <w:r w:rsidRPr="005A4982">
        <w:t xml:space="preserve"> pozitivní</w:t>
      </w:r>
      <w:r>
        <w:t>m</w:t>
      </w:r>
      <w:r w:rsidRPr="005A4982">
        <w:t xml:space="preserve"> dopad</w:t>
      </w:r>
      <w:r>
        <w:t>em</w:t>
      </w:r>
      <w:r w:rsidRPr="005A4982">
        <w:t xml:space="preserve"> na strukturální bilanci ve výši přesahující </w:t>
      </w:r>
      <w:proofErr w:type="gramStart"/>
      <w:r w:rsidRPr="005A4982">
        <w:t>1</w:t>
      </w:r>
      <w:r>
        <w:t> </w:t>
      </w:r>
      <w:r w:rsidRPr="005A4982">
        <w:t>procentní</w:t>
      </w:r>
      <w:proofErr w:type="gramEnd"/>
      <w:r w:rsidRPr="005A4982">
        <w:t xml:space="preserve"> bod.</w:t>
      </w:r>
    </w:p>
    <w:p w14:paraId="1F2927CE" w14:textId="77777777" w:rsidR="00CA0AF1" w:rsidRPr="005A4982" w:rsidRDefault="00CA0AF1" w:rsidP="00F55E52">
      <w:pPr>
        <w:pStyle w:val="HSpodbod"/>
      </w:pPr>
      <w:r w:rsidRPr="005A4982">
        <w:t>Zpřísnění podmínek předčasného důchodu a omezení valorizace důchodů.</w:t>
      </w:r>
    </w:p>
    <w:p w14:paraId="08E8D2E5" w14:textId="77777777" w:rsidR="00CA0AF1" w:rsidRDefault="00CA0AF1" w:rsidP="00F55E52">
      <w:pPr>
        <w:pStyle w:val="HSpodbod"/>
      </w:pPr>
      <w:r w:rsidRPr="005A4982">
        <w:t xml:space="preserve">Navýšení minimálního pojistného pro osoby samostatně výdělečně činné </w:t>
      </w:r>
      <w:r>
        <w:t xml:space="preserve">s cílem </w:t>
      </w:r>
      <w:r w:rsidRPr="005A4982">
        <w:t>krátkodobé</w:t>
      </w:r>
      <w:r>
        <w:t>ho</w:t>
      </w:r>
      <w:r w:rsidRPr="005A4982">
        <w:t xml:space="preserve"> posílení příjmové strany důchodového systému.</w:t>
      </w:r>
    </w:p>
    <w:p w14:paraId="66EF527D" w14:textId="77777777" w:rsidR="00CA0AF1" w:rsidRPr="002A3218" w:rsidRDefault="00CA0AF1" w:rsidP="00F55E52">
      <w:pPr>
        <w:pStyle w:val="HSNadpis4bezslovn"/>
      </w:pPr>
      <w:r w:rsidRPr="002A3218">
        <w:t>Hlavní opatření:</w:t>
      </w:r>
    </w:p>
    <w:p w14:paraId="063C6133" w14:textId="1751FCFD" w:rsidR="00CA0AF1" w:rsidRDefault="00CA0AF1" w:rsidP="00F55E52">
      <w:pPr>
        <w:pStyle w:val="HSpodbod"/>
      </w:pPr>
      <w:r>
        <w:t>S</w:t>
      </w:r>
      <w:r w:rsidRPr="005A4982">
        <w:t xml:space="preserve">měřovat k udržení strukturálního deficitu pod limitní hodnotou </w:t>
      </w:r>
      <w:r>
        <w:t>zákona o pravidlech rozpočtové odpovědnosti</w:t>
      </w:r>
      <w:r w:rsidR="00055790">
        <w:t>.</w:t>
      </w:r>
    </w:p>
    <w:p w14:paraId="5569A88F" w14:textId="4D2DC055" w:rsidR="00CA0AF1" w:rsidRPr="005A4982" w:rsidRDefault="00CA0AF1" w:rsidP="00A62175">
      <w:pPr>
        <w:pStyle w:val="HSpodbod"/>
      </w:pPr>
      <w:r>
        <w:t xml:space="preserve">Zajistit středně a dlouhodobou udržitelnost veřejných financí </w:t>
      </w:r>
      <w:r w:rsidR="00365FCB">
        <w:t>České republiky</w:t>
      </w:r>
      <w:r>
        <w:t>.</w:t>
      </w:r>
    </w:p>
    <w:p w14:paraId="77453D1E" w14:textId="77777777" w:rsidR="00CA0AF1" w:rsidRDefault="00CA0AF1" w:rsidP="00A62175">
      <w:pPr>
        <w:pStyle w:val="HSpodbod"/>
      </w:pPr>
      <w:r>
        <w:t>Realizovat důchodovou reformu s následujícími klíčovými parametry:</w:t>
      </w:r>
    </w:p>
    <w:p w14:paraId="3646B18B" w14:textId="52C66D0A" w:rsidR="00CA0AF1" w:rsidRPr="005A4982" w:rsidRDefault="00CA0AF1" w:rsidP="00A62175">
      <w:pPr>
        <w:pStyle w:val="HSpodbod2odsazen"/>
        <w:jc w:val="both"/>
      </w:pPr>
      <w:r w:rsidRPr="005A4982">
        <w:t>Naváz</w:t>
      </w:r>
      <w:r>
        <w:t>at</w:t>
      </w:r>
      <w:r w:rsidRPr="005A4982">
        <w:t xml:space="preserve"> věk odchodu do důchodu na dobu dožití</w:t>
      </w:r>
      <w:r>
        <w:t xml:space="preserve"> – </w:t>
      </w:r>
      <w:r w:rsidRPr="005A4982">
        <w:t>snížení deficitu důchodového systému dle dlouhodobých projekcí.</w:t>
      </w:r>
    </w:p>
    <w:p w14:paraId="5115EEE5" w14:textId="6F3853DE" w:rsidR="00CA0AF1" w:rsidRDefault="00A62175" w:rsidP="00A62175">
      <w:pPr>
        <w:pStyle w:val="HSpodbod2odsazen"/>
        <w:jc w:val="both"/>
      </w:pPr>
      <w:r>
        <w:t>Modifikace</w:t>
      </w:r>
      <w:r w:rsidR="00CA0AF1" w:rsidRPr="005A4982">
        <w:t xml:space="preserve"> průměrně vyplácené penze ať už při výpočtu důchodové dávky nebo v průběhu výplaty</w:t>
      </w:r>
      <w:r>
        <w:t xml:space="preserve"> a úpravy</w:t>
      </w:r>
      <w:r w:rsidR="00CA0AF1" w:rsidRPr="005A4982">
        <w:t xml:space="preserve"> valorizací.</w:t>
      </w:r>
    </w:p>
    <w:p w14:paraId="517AB962" w14:textId="5EF6676E" w:rsidR="00CA0AF1" w:rsidRPr="005A4982" w:rsidRDefault="00CA0AF1" w:rsidP="00A62175">
      <w:pPr>
        <w:pStyle w:val="HSpodbod2odsazen"/>
        <w:jc w:val="both"/>
      </w:pPr>
      <w:r>
        <w:lastRenderedPageBreak/>
        <w:t>Zvýšit motivaci osob, které chtějí a mohou pracovat v seniorním věku.</w:t>
      </w:r>
    </w:p>
    <w:p w14:paraId="6C26B78B" w14:textId="77777777" w:rsidR="00CA0AF1" w:rsidRPr="005A4982" w:rsidRDefault="00CA0AF1" w:rsidP="00F55E52">
      <w:pPr>
        <w:pStyle w:val="HSpodbod"/>
      </w:pPr>
      <w:r w:rsidRPr="005A4982">
        <w:t xml:space="preserve">Doplnit financování </w:t>
      </w:r>
      <w:r>
        <w:t xml:space="preserve">zdravotní péče </w:t>
      </w:r>
      <w:r w:rsidRPr="005A4982">
        <w:t xml:space="preserve">formou soukromých zdrojů </w:t>
      </w:r>
      <w:r>
        <w:t>–</w:t>
      </w:r>
      <w:r w:rsidRPr="005A4982">
        <w:t xml:space="preserve"> zvýšení podílu soukromých zdrojů v podobě dobrovolného doplňkového připojištění.</w:t>
      </w:r>
    </w:p>
    <w:p w14:paraId="245C529F" w14:textId="77777777" w:rsidR="00CA0AF1" w:rsidRDefault="00CA0AF1" w:rsidP="00F55E52">
      <w:pPr>
        <w:pStyle w:val="HSpodbod"/>
      </w:pPr>
      <w:r>
        <w:t>Důraz na efektivitu vynaložených výdajů, posílení role zdravotních pojišťoven v úhradovém mechanismu, digitalizace zdravotnictví.</w:t>
      </w:r>
    </w:p>
    <w:p w14:paraId="04DA72CF" w14:textId="77777777" w:rsidR="00CA0AF1" w:rsidRDefault="00CA0AF1" w:rsidP="00181F80">
      <w:pPr>
        <w:pStyle w:val="HSpodbod"/>
      </w:pPr>
      <w:r>
        <w:t>Podpora preventivní péče.</w:t>
      </w:r>
    </w:p>
    <w:p w14:paraId="1BF4ADCA" w14:textId="4316F0A2" w:rsidR="00CA0AF1" w:rsidRPr="005A4982" w:rsidRDefault="00CA0AF1" w:rsidP="00181F80">
      <w:pPr>
        <w:pStyle w:val="HSpodbod"/>
      </w:pPr>
      <w:r w:rsidRPr="005A4982">
        <w:t xml:space="preserve">Podpořit rozvoj pečovatelských zařízení </w:t>
      </w:r>
      <w:r>
        <w:t>–</w:t>
      </w:r>
      <w:r w:rsidRPr="005A4982">
        <w:t xml:space="preserve"> podpora zřizovatelů k dalšímu rozvoji pečovatelských zařízení a</w:t>
      </w:r>
      <w:r w:rsidR="00655668">
        <w:t> </w:t>
      </w:r>
      <w:r w:rsidRPr="005A4982">
        <w:t>upřednostňování rozvoje komplexní domácí péče jako alternativy k dlouhé hospitalizaci.</w:t>
      </w:r>
    </w:p>
    <w:p w14:paraId="17E076B7" w14:textId="621A5243" w:rsidR="00E15637" w:rsidRDefault="00CA0AF1" w:rsidP="00181F80">
      <w:pPr>
        <w:pStyle w:val="HSpodbod"/>
      </w:pPr>
      <w:r w:rsidRPr="005A4982">
        <w:t xml:space="preserve">Změnit financování sociálních služeb </w:t>
      </w:r>
      <w:r>
        <w:t>–</w:t>
      </w:r>
      <w:r w:rsidRPr="005A4982">
        <w:t xml:space="preserve"> změna financování sociálních služeb včetně legislativního vymezení a</w:t>
      </w:r>
      <w:r w:rsidR="00655668">
        <w:t> </w:t>
      </w:r>
      <w:r w:rsidRPr="005A4982">
        <w:t>financování systému zdravotně-sociálního pomezí.</w:t>
      </w:r>
      <w:r w:rsidR="00E15637">
        <w:br w:type="page"/>
      </w:r>
    </w:p>
    <w:p w14:paraId="5288A535" w14:textId="6672547F" w:rsidR="00BB6F65" w:rsidRDefault="00E15637" w:rsidP="00D45A73">
      <w:pPr>
        <w:pStyle w:val="Nadpis1"/>
      </w:pPr>
      <w:bookmarkStart w:id="82" w:name="_Toc174703100"/>
      <w:r>
        <w:lastRenderedPageBreak/>
        <w:t>PROVÁDĚNÍ STRATEGIE</w:t>
      </w:r>
      <w:bookmarkEnd w:id="82"/>
    </w:p>
    <w:p w14:paraId="14759E04" w14:textId="2DEAC380" w:rsidR="00E412BE" w:rsidRDefault="00E412BE" w:rsidP="00E412BE">
      <w:r>
        <w:t xml:space="preserve">Hospodářská strategie České republiky je zastřešující strategií vlády České republiky. Gestorskou a řídicí roli ve vztahu ke strategii má Ministerstvo průmyslu a obchodu v koordinaci s Úřadem vlády a Ministerstvem financí. Hlavní odpovědnost za implementaci strategie mají jednotlivá ministerstva. </w:t>
      </w:r>
    </w:p>
    <w:p w14:paraId="7F3BBACB" w14:textId="77777777" w:rsidR="00E412BE" w:rsidRDefault="00E412BE" w:rsidP="00E412BE">
      <w:r>
        <w:t xml:space="preserve">V návaznosti na schválení dokumentu bude připraven a vládě k projednání předložen </w:t>
      </w:r>
      <w:r w:rsidRPr="00B977D3">
        <w:rPr>
          <w:b/>
          <w:bCs/>
        </w:rPr>
        <w:t>implementační plán</w:t>
      </w:r>
      <w:r>
        <w:t xml:space="preserve">, který určí mechanismus sledování a interakce hospodářské strategie a jednotlivých resortních strategií. Zároveň upřesní způsob implementace některých opatření definovaných touto strategií, pro které neexistuje v současné době příslušný prováděcí mechanismus. U všech národních strategických dokumentů, které mají strukturální dopad na dlouhodobý rozvoj České republiky a její konkurenceschopnost, bude hodnocen soulad s cíli hospodářské strategie. </w:t>
      </w:r>
    </w:p>
    <w:p w14:paraId="3179F88E" w14:textId="77777777" w:rsidR="00E412BE" w:rsidRDefault="00E412BE" w:rsidP="00E412BE">
      <w:r>
        <w:t xml:space="preserve">Implementace hospodářské strategie předpokládá postupný rozvoj jednotlivých oblastí v návaznosti na implementaci jednotlivých opatření, ale i v návaznosti na vnější vývoj. Strategie bude dále rozvíjena, jak po stránce implementační, tak i analytické. Aktualizace strategie proběhne do pěti let od schválení strategie. </w:t>
      </w:r>
    </w:p>
    <w:p w14:paraId="2F412E56" w14:textId="77777777" w:rsidR="00E412BE" w:rsidRDefault="00E412BE" w:rsidP="00E412BE">
      <w:r>
        <w:t xml:space="preserve">Za účelem hladké implementace hospodářské strategie se zřizuje pracovní skupina pro hospodářskou strategii. Pracovní skupina zajišťuje koordinaci implementace strategie. Schází se podle potřeby, minimálně však čtyřikrát do roka. Základním nástrojem pracovní skupiny je implementační plán. Pracovní skupina připravuje a projednává zprávy o naplňování hospodářské strategie, včetně navrhovaných opatření, změn, či rizik realizace strategie. </w:t>
      </w:r>
    </w:p>
    <w:p w14:paraId="729B6F68" w14:textId="77777777" w:rsidR="00E412BE" w:rsidRDefault="00E412BE" w:rsidP="00E412BE">
      <w:r>
        <w:t xml:space="preserve">Informace o pokroku v plnění strategie jsou předkládány plénu Vládního výboru pro strategické investice, kterému je ročně předkládána ke schválení zpráva o naplňování strategie. Pracovní skupiny výboru mohou spolupracovat a být konzultovány pro zajišťování implementace v čase kritických opatření strategie. </w:t>
      </w:r>
    </w:p>
    <w:p w14:paraId="500DE4A3" w14:textId="2F72D0F8" w:rsidR="00E412BE" w:rsidRDefault="00E412BE" w:rsidP="00E412BE">
      <w:r>
        <w:t>Součástí zprávy o naplňování hospodářské strategie je informace o naplňování klíčových ukazatelů hospodářské strategie. Zpráva rovněž identifikuje případné nepříznivé trendy vyplývající z vývoje vnějšího či vnitřního prostředí ekonomiky, a navrhne možné způsoby jejich odvrácení nebo zmírnění.</w:t>
      </w:r>
    </w:p>
    <w:p w14:paraId="400924CB" w14:textId="77777777" w:rsidR="00E412BE" w:rsidRDefault="00E412BE" w:rsidP="00E412BE">
      <w:r>
        <w:t xml:space="preserve">Pro potřeby průběžných analýz, rozborů a predikcí vyplývajících z potřeb řízení a realizace hospodářské strategie lze zřídit analytický tým složený z odborníků, zejména z jednotlivých ministerstev, na oblasti hospodářské strategie. </w:t>
      </w:r>
    </w:p>
    <w:p w14:paraId="56BC7502" w14:textId="430CC0BA" w:rsidR="005C65DB" w:rsidRDefault="00E412BE" w:rsidP="008124B3">
      <w:r>
        <w:t xml:space="preserve">Pro dosažení dlouhodobě udržitelného hospodářství založeného na konkurenceschopnosti je důležité nastavení měřitelných cílů a indikátorů jejich plnění. Hospodářská strategie bude sledovat </w:t>
      </w:r>
      <w:r w:rsidR="00313F0F">
        <w:t xml:space="preserve">obecné, </w:t>
      </w:r>
      <w:r>
        <w:t xml:space="preserve">hlavní a doplňující indikátory naplňování strategie. </w:t>
      </w:r>
      <w:r w:rsidR="00313F0F">
        <w:t xml:space="preserve">Obecné indikátory zachytávají </w:t>
      </w:r>
      <w:r w:rsidR="00164705">
        <w:t xml:space="preserve">globálnější pohled na ekonomiku. </w:t>
      </w:r>
      <w:r>
        <w:t>Hlavní indikátory</w:t>
      </w:r>
      <w:r w:rsidR="009E69B7">
        <w:t xml:space="preserve"> </w:t>
      </w:r>
      <w:r>
        <w:t xml:space="preserve">představují základní rámec vázaný na </w:t>
      </w:r>
      <w:r w:rsidR="009E69B7" w:rsidRPr="00A62175">
        <w:t>strategické</w:t>
      </w:r>
      <w:r w:rsidR="009E69B7" w:rsidRPr="00BB6FD2">
        <w:t xml:space="preserve"> </w:t>
      </w:r>
      <w:r w:rsidRPr="00BB6FD2">
        <w:t>cí</w:t>
      </w:r>
      <w:r>
        <w:t>le hospodářské strategie. Doplňující indikátory slouží k zachycení komplexnějšího obrázku o vývoji hospodářství a včasnou identifikaci rizik. Podrobný seznam hlavních a doplňujících indikátorů je uveden v samostatné příloze.</w:t>
      </w:r>
    </w:p>
    <w:p w14:paraId="46421FD3" w14:textId="2A4470F3" w:rsidR="006A78CC" w:rsidRDefault="006A78CC">
      <w:pPr>
        <w:spacing w:after="200" w:line="276" w:lineRule="auto"/>
        <w:jc w:val="left"/>
      </w:pPr>
      <w:r>
        <w:br w:type="page"/>
      </w:r>
    </w:p>
    <w:p w14:paraId="1EADE4C2" w14:textId="5A54B673" w:rsidR="00927195" w:rsidRDefault="006A78CC" w:rsidP="008124B3">
      <w:r w:rsidRPr="006A78CC">
        <w:rPr>
          <w:rFonts w:ascii="Calibri" w:eastAsia="Times New Roman" w:hAnsi="Calibri" w:cs="Calibri"/>
          <w:b/>
          <w:bCs/>
          <w:color w:val="000000"/>
          <w:sz w:val="24"/>
          <w:szCs w:val="24"/>
          <w:lang w:eastAsia="cs-CZ"/>
        </w:rPr>
        <w:lastRenderedPageBreak/>
        <w:t>Seznam strategických indikátorů</w:t>
      </w:r>
    </w:p>
    <w:tbl>
      <w:tblPr>
        <w:tblStyle w:val="Mkatabulky"/>
        <w:tblW w:w="9977" w:type="dxa"/>
        <w:tblLook w:val="04A0" w:firstRow="1" w:lastRow="0" w:firstColumn="1" w:lastColumn="0" w:noHBand="0" w:noVBand="1"/>
      </w:tblPr>
      <w:tblGrid>
        <w:gridCol w:w="1980"/>
        <w:gridCol w:w="4819"/>
        <w:gridCol w:w="589"/>
        <w:gridCol w:w="712"/>
        <w:gridCol w:w="1020"/>
        <w:gridCol w:w="857"/>
      </w:tblGrid>
      <w:tr w:rsidR="00CA37AD" w:rsidRPr="004154A1" w14:paraId="2F00F0B7" w14:textId="77777777" w:rsidTr="0025112E">
        <w:trPr>
          <w:trHeight w:val="324"/>
        </w:trPr>
        <w:tc>
          <w:tcPr>
            <w:tcW w:w="1980" w:type="dxa"/>
            <w:vAlign w:val="center"/>
            <w:hideMark/>
          </w:tcPr>
          <w:bookmarkEnd w:id="34"/>
          <w:p w14:paraId="76DFAEAD" w14:textId="77777777" w:rsidR="00CA37AD" w:rsidRPr="004154A1" w:rsidRDefault="00CA37AD" w:rsidP="001E7124">
            <w:pPr>
              <w:rPr>
                <w:b/>
                <w:bCs/>
              </w:rPr>
            </w:pPr>
            <w:r w:rsidRPr="004154A1">
              <w:rPr>
                <w:b/>
                <w:bCs/>
              </w:rPr>
              <w:t>Tematická oblast</w:t>
            </w:r>
          </w:p>
        </w:tc>
        <w:tc>
          <w:tcPr>
            <w:tcW w:w="4819" w:type="dxa"/>
            <w:vAlign w:val="center"/>
            <w:hideMark/>
          </w:tcPr>
          <w:p w14:paraId="7E3D0B72" w14:textId="77777777" w:rsidR="00CA37AD" w:rsidRPr="004154A1" w:rsidRDefault="00CA37AD" w:rsidP="001E7124">
            <w:pPr>
              <w:rPr>
                <w:b/>
                <w:bCs/>
              </w:rPr>
            </w:pPr>
            <w:r w:rsidRPr="004154A1">
              <w:rPr>
                <w:b/>
                <w:bCs/>
              </w:rPr>
              <w:t>Název</w:t>
            </w:r>
          </w:p>
        </w:tc>
        <w:tc>
          <w:tcPr>
            <w:tcW w:w="566" w:type="dxa"/>
            <w:vAlign w:val="center"/>
            <w:hideMark/>
          </w:tcPr>
          <w:p w14:paraId="06ED0423" w14:textId="77777777" w:rsidR="00CA37AD" w:rsidRPr="004154A1" w:rsidRDefault="00CA37AD" w:rsidP="001E7124">
            <w:pPr>
              <w:rPr>
                <w:b/>
                <w:bCs/>
              </w:rPr>
            </w:pPr>
            <w:proofErr w:type="spellStart"/>
            <w:r w:rsidRPr="004154A1">
              <w:rPr>
                <w:b/>
                <w:bCs/>
              </w:rPr>
              <w:t>Poř</w:t>
            </w:r>
            <w:proofErr w:type="spellEnd"/>
            <w:r>
              <w:rPr>
                <w:b/>
                <w:bCs/>
              </w:rPr>
              <w:t>.</w:t>
            </w:r>
          </w:p>
        </w:tc>
        <w:tc>
          <w:tcPr>
            <w:tcW w:w="712" w:type="dxa"/>
            <w:vAlign w:val="center"/>
            <w:hideMark/>
          </w:tcPr>
          <w:p w14:paraId="4DC45F99" w14:textId="77777777" w:rsidR="00CA37AD" w:rsidRPr="004154A1" w:rsidRDefault="00CA37AD" w:rsidP="001E7124">
            <w:pPr>
              <w:rPr>
                <w:b/>
                <w:bCs/>
              </w:rPr>
            </w:pPr>
            <w:r w:rsidRPr="004154A1">
              <w:rPr>
                <w:b/>
                <w:bCs/>
              </w:rPr>
              <w:t>Rok</w:t>
            </w:r>
          </w:p>
        </w:tc>
        <w:tc>
          <w:tcPr>
            <w:tcW w:w="1038" w:type="dxa"/>
            <w:vAlign w:val="center"/>
            <w:hideMark/>
          </w:tcPr>
          <w:p w14:paraId="019442DC" w14:textId="77777777" w:rsidR="00CA37AD" w:rsidRPr="004154A1" w:rsidRDefault="00CA37AD" w:rsidP="001E7124">
            <w:pPr>
              <w:rPr>
                <w:b/>
                <w:bCs/>
              </w:rPr>
            </w:pPr>
            <w:r w:rsidRPr="004154A1">
              <w:rPr>
                <w:b/>
                <w:bCs/>
              </w:rPr>
              <w:t>Zdroj</w:t>
            </w:r>
          </w:p>
        </w:tc>
        <w:tc>
          <w:tcPr>
            <w:tcW w:w="862" w:type="dxa"/>
            <w:vAlign w:val="center"/>
            <w:hideMark/>
          </w:tcPr>
          <w:p w14:paraId="2FD58FF8" w14:textId="77777777" w:rsidR="00CA37AD" w:rsidRPr="004154A1" w:rsidRDefault="00CA37AD" w:rsidP="001E7124">
            <w:pPr>
              <w:rPr>
                <w:b/>
                <w:bCs/>
              </w:rPr>
            </w:pPr>
            <w:r w:rsidRPr="004154A1">
              <w:rPr>
                <w:b/>
                <w:bCs/>
              </w:rPr>
              <w:t>Gestor</w:t>
            </w:r>
          </w:p>
        </w:tc>
      </w:tr>
      <w:tr w:rsidR="00CA37AD" w:rsidRPr="004154A1" w14:paraId="3343EB6B" w14:textId="77777777" w:rsidTr="0025112E">
        <w:trPr>
          <w:trHeight w:val="58"/>
        </w:trPr>
        <w:tc>
          <w:tcPr>
            <w:tcW w:w="1980" w:type="dxa"/>
            <w:vMerge w:val="restart"/>
            <w:vAlign w:val="center"/>
            <w:hideMark/>
          </w:tcPr>
          <w:p w14:paraId="521F76BB" w14:textId="77777777" w:rsidR="00CA37AD" w:rsidRPr="004154A1" w:rsidRDefault="00CA37AD" w:rsidP="001E7124">
            <w:r w:rsidRPr="004154A1">
              <w:t>1.1 Lidský kapitál (vzdělávání, trh práce, zdraví)</w:t>
            </w:r>
          </w:p>
        </w:tc>
        <w:tc>
          <w:tcPr>
            <w:tcW w:w="4819" w:type="dxa"/>
            <w:noWrap/>
            <w:vAlign w:val="center"/>
            <w:hideMark/>
          </w:tcPr>
          <w:p w14:paraId="1C1AC8C1" w14:textId="57C7CFAB" w:rsidR="00CA37AD" w:rsidRPr="004154A1" w:rsidRDefault="00CA37AD" w:rsidP="001E7124">
            <w:r w:rsidRPr="004154A1">
              <w:t>Testy PISA: matematická a čtenářská gramotnost</w:t>
            </w:r>
          </w:p>
        </w:tc>
        <w:tc>
          <w:tcPr>
            <w:tcW w:w="566" w:type="dxa"/>
            <w:vAlign w:val="center"/>
            <w:hideMark/>
          </w:tcPr>
          <w:p w14:paraId="4A94439E" w14:textId="77777777" w:rsidR="00CA37AD" w:rsidRPr="004154A1" w:rsidRDefault="00CA37AD" w:rsidP="001E7124">
            <w:r w:rsidRPr="004154A1">
              <w:t>6</w:t>
            </w:r>
          </w:p>
        </w:tc>
        <w:tc>
          <w:tcPr>
            <w:tcW w:w="712" w:type="dxa"/>
            <w:vAlign w:val="center"/>
            <w:hideMark/>
          </w:tcPr>
          <w:p w14:paraId="34F2E462" w14:textId="77777777" w:rsidR="00CA37AD" w:rsidRPr="004154A1" w:rsidRDefault="00CA37AD" w:rsidP="001E7124">
            <w:r w:rsidRPr="004154A1">
              <w:t>2022</w:t>
            </w:r>
          </w:p>
        </w:tc>
        <w:tc>
          <w:tcPr>
            <w:tcW w:w="1038" w:type="dxa"/>
            <w:vAlign w:val="center"/>
            <w:hideMark/>
          </w:tcPr>
          <w:p w14:paraId="6530513A" w14:textId="77777777" w:rsidR="00CA37AD" w:rsidRPr="004154A1" w:rsidRDefault="00CA37AD" w:rsidP="001E7124">
            <w:pPr>
              <w:rPr>
                <w:u w:val="single"/>
              </w:rPr>
            </w:pPr>
            <w:r w:rsidRPr="00026354">
              <w:t>OECD</w:t>
            </w:r>
          </w:p>
        </w:tc>
        <w:tc>
          <w:tcPr>
            <w:tcW w:w="862" w:type="dxa"/>
            <w:vAlign w:val="center"/>
            <w:hideMark/>
          </w:tcPr>
          <w:p w14:paraId="09A8FECE" w14:textId="77777777" w:rsidR="00CA37AD" w:rsidRPr="004154A1" w:rsidRDefault="00CA37AD" w:rsidP="001E7124">
            <w:r w:rsidRPr="004154A1">
              <w:t>MŠMT</w:t>
            </w:r>
          </w:p>
        </w:tc>
      </w:tr>
      <w:tr w:rsidR="00CA37AD" w:rsidRPr="004154A1" w14:paraId="3E2B2B90" w14:textId="77777777" w:rsidTr="0025112E">
        <w:trPr>
          <w:trHeight w:val="58"/>
        </w:trPr>
        <w:tc>
          <w:tcPr>
            <w:tcW w:w="1980" w:type="dxa"/>
            <w:vMerge/>
            <w:vAlign w:val="center"/>
            <w:hideMark/>
          </w:tcPr>
          <w:p w14:paraId="4FAB45C1" w14:textId="77777777" w:rsidR="00CA37AD" w:rsidRPr="004154A1" w:rsidRDefault="00CA37AD" w:rsidP="001E7124"/>
        </w:tc>
        <w:tc>
          <w:tcPr>
            <w:tcW w:w="4819" w:type="dxa"/>
            <w:noWrap/>
            <w:vAlign w:val="center"/>
            <w:hideMark/>
          </w:tcPr>
          <w:p w14:paraId="789FEDCD" w14:textId="77777777" w:rsidR="00CA37AD" w:rsidRPr="004154A1" w:rsidRDefault="00CA37AD" w:rsidP="001E7124">
            <w:r w:rsidRPr="004154A1">
              <w:t>Podíl absolventů VŠ ve STEM oborech</w:t>
            </w:r>
          </w:p>
        </w:tc>
        <w:tc>
          <w:tcPr>
            <w:tcW w:w="566" w:type="dxa"/>
            <w:vAlign w:val="center"/>
            <w:hideMark/>
          </w:tcPr>
          <w:p w14:paraId="2A72D8DF" w14:textId="77777777" w:rsidR="00CA37AD" w:rsidRPr="004154A1" w:rsidRDefault="00CA37AD" w:rsidP="001E7124">
            <w:r w:rsidRPr="004154A1">
              <w:t>19</w:t>
            </w:r>
          </w:p>
        </w:tc>
        <w:tc>
          <w:tcPr>
            <w:tcW w:w="712" w:type="dxa"/>
            <w:vAlign w:val="center"/>
            <w:hideMark/>
          </w:tcPr>
          <w:p w14:paraId="12F69F2F" w14:textId="77777777" w:rsidR="00CA37AD" w:rsidRPr="004154A1" w:rsidRDefault="00CA37AD" w:rsidP="001E7124">
            <w:r w:rsidRPr="004154A1">
              <w:t>2022</w:t>
            </w:r>
          </w:p>
        </w:tc>
        <w:tc>
          <w:tcPr>
            <w:tcW w:w="1038" w:type="dxa"/>
            <w:vAlign w:val="center"/>
            <w:hideMark/>
          </w:tcPr>
          <w:p w14:paraId="1A457C15" w14:textId="77777777" w:rsidR="00CA37AD" w:rsidRPr="004154A1" w:rsidRDefault="00CA37AD" w:rsidP="001E7124">
            <w:pPr>
              <w:rPr>
                <w:u w:val="single"/>
              </w:rPr>
            </w:pPr>
            <w:r w:rsidRPr="00026354">
              <w:t>Eurostat</w:t>
            </w:r>
          </w:p>
        </w:tc>
        <w:tc>
          <w:tcPr>
            <w:tcW w:w="862" w:type="dxa"/>
            <w:vAlign w:val="center"/>
            <w:hideMark/>
          </w:tcPr>
          <w:p w14:paraId="76B5F955" w14:textId="77777777" w:rsidR="00CA37AD" w:rsidRPr="004154A1" w:rsidRDefault="00CA37AD" w:rsidP="001E7124">
            <w:r w:rsidRPr="004154A1">
              <w:t>MŠMT</w:t>
            </w:r>
          </w:p>
        </w:tc>
      </w:tr>
      <w:tr w:rsidR="00CA37AD" w:rsidRPr="004154A1" w14:paraId="2D1BFFD2" w14:textId="77777777" w:rsidTr="0025112E">
        <w:trPr>
          <w:trHeight w:val="58"/>
        </w:trPr>
        <w:tc>
          <w:tcPr>
            <w:tcW w:w="1980" w:type="dxa"/>
            <w:vMerge/>
            <w:vAlign w:val="center"/>
            <w:hideMark/>
          </w:tcPr>
          <w:p w14:paraId="19330C8E" w14:textId="77777777" w:rsidR="00CA37AD" w:rsidRPr="004154A1" w:rsidRDefault="00CA37AD" w:rsidP="001E7124"/>
        </w:tc>
        <w:tc>
          <w:tcPr>
            <w:tcW w:w="4819" w:type="dxa"/>
            <w:vAlign w:val="center"/>
            <w:hideMark/>
          </w:tcPr>
          <w:p w14:paraId="567563E0" w14:textId="77777777" w:rsidR="00CA37AD" w:rsidRPr="004154A1" w:rsidRDefault="00CA37AD" w:rsidP="001E7124">
            <w:r w:rsidRPr="004154A1">
              <w:t xml:space="preserve">Podíl cizinců mezi studenty doktorských programů vzdělávání </w:t>
            </w:r>
          </w:p>
        </w:tc>
        <w:tc>
          <w:tcPr>
            <w:tcW w:w="566" w:type="dxa"/>
            <w:vAlign w:val="center"/>
            <w:hideMark/>
          </w:tcPr>
          <w:p w14:paraId="70855C5E" w14:textId="77777777" w:rsidR="00CA37AD" w:rsidRPr="004154A1" w:rsidRDefault="00CA37AD" w:rsidP="001E7124">
            <w:r w:rsidRPr="004154A1">
              <w:t>15</w:t>
            </w:r>
          </w:p>
        </w:tc>
        <w:tc>
          <w:tcPr>
            <w:tcW w:w="712" w:type="dxa"/>
            <w:vAlign w:val="center"/>
            <w:hideMark/>
          </w:tcPr>
          <w:p w14:paraId="473573BD" w14:textId="77777777" w:rsidR="00CA37AD" w:rsidRPr="004154A1" w:rsidRDefault="00CA37AD" w:rsidP="001E7124">
            <w:r w:rsidRPr="004154A1">
              <w:t>2023</w:t>
            </w:r>
          </w:p>
        </w:tc>
        <w:tc>
          <w:tcPr>
            <w:tcW w:w="1038" w:type="dxa"/>
            <w:vAlign w:val="center"/>
            <w:hideMark/>
          </w:tcPr>
          <w:p w14:paraId="68A60195" w14:textId="77777777" w:rsidR="00CA37AD" w:rsidRPr="004154A1" w:rsidRDefault="00CA37AD" w:rsidP="001E7124">
            <w:pPr>
              <w:rPr>
                <w:u w:val="single"/>
              </w:rPr>
            </w:pPr>
            <w:r w:rsidRPr="00026354">
              <w:t>Komise</w:t>
            </w:r>
          </w:p>
        </w:tc>
        <w:tc>
          <w:tcPr>
            <w:tcW w:w="862" w:type="dxa"/>
            <w:vAlign w:val="center"/>
            <w:hideMark/>
          </w:tcPr>
          <w:p w14:paraId="4397AEDC" w14:textId="77777777" w:rsidR="00CA37AD" w:rsidRPr="004154A1" w:rsidRDefault="00CA37AD" w:rsidP="001E7124">
            <w:r w:rsidRPr="004154A1">
              <w:t>MŠMT</w:t>
            </w:r>
          </w:p>
        </w:tc>
      </w:tr>
      <w:tr w:rsidR="00CA37AD" w:rsidRPr="004154A1" w14:paraId="3BA4638E" w14:textId="77777777" w:rsidTr="0025112E">
        <w:trPr>
          <w:trHeight w:val="58"/>
        </w:trPr>
        <w:tc>
          <w:tcPr>
            <w:tcW w:w="1980" w:type="dxa"/>
            <w:vMerge/>
            <w:vAlign w:val="center"/>
            <w:hideMark/>
          </w:tcPr>
          <w:p w14:paraId="2631E339" w14:textId="77777777" w:rsidR="00CA37AD" w:rsidRPr="004154A1" w:rsidRDefault="00CA37AD" w:rsidP="001E7124"/>
        </w:tc>
        <w:tc>
          <w:tcPr>
            <w:tcW w:w="4819" w:type="dxa"/>
            <w:vAlign w:val="center"/>
            <w:hideMark/>
          </w:tcPr>
          <w:p w14:paraId="62E6C391" w14:textId="77777777" w:rsidR="00CA37AD" w:rsidRPr="004154A1" w:rsidRDefault="00CA37AD" w:rsidP="001E7124">
            <w:r w:rsidRPr="004154A1">
              <w:t xml:space="preserve">Podíl </w:t>
            </w:r>
            <w:proofErr w:type="spellStart"/>
            <w:r w:rsidRPr="004154A1">
              <w:t>skills</w:t>
            </w:r>
            <w:proofErr w:type="spellEnd"/>
            <w:r w:rsidRPr="004154A1">
              <w:t xml:space="preserve"> </w:t>
            </w:r>
            <w:proofErr w:type="spellStart"/>
            <w:r w:rsidRPr="004154A1">
              <w:t>mismatch</w:t>
            </w:r>
            <w:proofErr w:type="spellEnd"/>
          </w:p>
        </w:tc>
        <w:tc>
          <w:tcPr>
            <w:tcW w:w="566" w:type="dxa"/>
            <w:vAlign w:val="center"/>
            <w:hideMark/>
          </w:tcPr>
          <w:p w14:paraId="49E984EA" w14:textId="77777777" w:rsidR="00CA37AD" w:rsidRPr="004154A1" w:rsidRDefault="00CA37AD" w:rsidP="001E7124">
            <w:r w:rsidRPr="004154A1">
              <w:t>14</w:t>
            </w:r>
          </w:p>
        </w:tc>
        <w:tc>
          <w:tcPr>
            <w:tcW w:w="712" w:type="dxa"/>
            <w:vAlign w:val="center"/>
            <w:hideMark/>
          </w:tcPr>
          <w:p w14:paraId="1E9CECC9" w14:textId="77777777" w:rsidR="00CA37AD" w:rsidRPr="004154A1" w:rsidRDefault="00CA37AD" w:rsidP="001E7124">
            <w:r w:rsidRPr="004154A1">
              <w:t>2024</w:t>
            </w:r>
          </w:p>
        </w:tc>
        <w:tc>
          <w:tcPr>
            <w:tcW w:w="1038" w:type="dxa"/>
            <w:vAlign w:val="center"/>
            <w:hideMark/>
          </w:tcPr>
          <w:p w14:paraId="0534A474" w14:textId="77777777" w:rsidR="00CA37AD" w:rsidRPr="004154A1" w:rsidRDefault="00CA37AD" w:rsidP="001E7124">
            <w:pPr>
              <w:rPr>
                <w:u w:val="single"/>
              </w:rPr>
            </w:pPr>
            <w:r w:rsidRPr="00026354">
              <w:t>OECD</w:t>
            </w:r>
          </w:p>
        </w:tc>
        <w:tc>
          <w:tcPr>
            <w:tcW w:w="862" w:type="dxa"/>
            <w:vAlign w:val="center"/>
            <w:hideMark/>
          </w:tcPr>
          <w:p w14:paraId="4F95A9EA" w14:textId="77777777" w:rsidR="00CA37AD" w:rsidRPr="004154A1" w:rsidRDefault="00CA37AD" w:rsidP="001E7124">
            <w:r w:rsidRPr="004154A1">
              <w:t>MPSV</w:t>
            </w:r>
          </w:p>
        </w:tc>
      </w:tr>
      <w:tr w:rsidR="00CA37AD" w:rsidRPr="004154A1" w14:paraId="3DAC37EE" w14:textId="77777777" w:rsidTr="0025112E">
        <w:trPr>
          <w:trHeight w:val="58"/>
        </w:trPr>
        <w:tc>
          <w:tcPr>
            <w:tcW w:w="1980" w:type="dxa"/>
            <w:vMerge/>
            <w:vAlign w:val="center"/>
            <w:hideMark/>
          </w:tcPr>
          <w:p w14:paraId="2C8C077E" w14:textId="77777777" w:rsidR="00CA37AD" w:rsidRPr="004154A1" w:rsidRDefault="00CA37AD" w:rsidP="001E7124"/>
        </w:tc>
        <w:tc>
          <w:tcPr>
            <w:tcW w:w="4819" w:type="dxa"/>
            <w:vAlign w:val="center"/>
            <w:hideMark/>
          </w:tcPr>
          <w:p w14:paraId="13083C80" w14:textId="5EAA99EF" w:rsidR="00CA37AD" w:rsidRPr="004154A1" w:rsidRDefault="005D788E" w:rsidP="001E7124">
            <w:r w:rsidRPr="005D788E">
              <w:t>Rozdíl míry zaměstnanosti bezdětných žen (25–49 let) a míry zam</w:t>
            </w:r>
            <w:r>
              <w:t>ě</w:t>
            </w:r>
            <w:r w:rsidRPr="005D788E">
              <w:t>stnanosti pro ženy (25–49 let) s nejmladším dítětem do 6 let věku</w:t>
            </w:r>
          </w:p>
        </w:tc>
        <w:tc>
          <w:tcPr>
            <w:tcW w:w="566" w:type="dxa"/>
            <w:vAlign w:val="center"/>
            <w:hideMark/>
          </w:tcPr>
          <w:p w14:paraId="3E05B82B" w14:textId="7766CC73" w:rsidR="00CA37AD" w:rsidRPr="004154A1" w:rsidRDefault="005D788E" w:rsidP="001E7124">
            <w:r>
              <w:t>27</w:t>
            </w:r>
          </w:p>
        </w:tc>
        <w:tc>
          <w:tcPr>
            <w:tcW w:w="712" w:type="dxa"/>
            <w:vAlign w:val="center"/>
            <w:hideMark/>
          </w:tcPr>
          <w:p w14:paraId="7C770FE7" w14:textId="77777777" w:rsidR="00CA37AD" w:rsidRPr="004154A1" w:rsidRDefault="00CA37AD" w:rsidP="001E7124">
            <w:r w:rsidRPr="004154A1">
              <w:t>2023</w:t>
            </w:r>
          </w:p>
        </w:tc>
        <w:tc>
          <w:tcPr>
            <w:tcW w:w="1038" w:type="dxa"/>
            <w:vAlign w:val="center"/>
            <w:hideMark/>
          </w:tcPr>
          <w:p w14:paraId="7EA9F94A" w14:textId="77777777" w:rsidR="00CA37AD" w:rsidRPr="004154A1" w:rsidRDefault="00CA37AD" w:rsidP="001E7124">
            <w:pPr>
              <w:rPr>
                <w:u w:val="single"/>
              </w:rPr>
            </w:pPr>
            <w:r w:rsidRPr="00026354">
              <w:t>Eurostat</w:t>
            </w:r>
          </w:p>
        </w:tc>
        <w:tc>
          <w:tcPr>
            <w:tcW w:w="862" w:type="dxa"/>
            <w:vAlign w:val="center"/>
            <w:hideMark/>
          </w:tcPr>
          <w:p w14:paraId="59CD8D22" w14:textId="77777777" w:rsidR="00CA37AD" w:rsidRPr="004154A1" w:rsidRDefault="00CA37AD" w:rsidP="001E7124">
            <w:r w:rsidRPr="004154A1">
              <w:t>MPSV</w:t>
            </w:r>
          </w:p>
        </w:tc>
      </w:tr>
      <w:tr w:rsidR="00CA37AD" w:rsidRPr="004154A1" w14:paraId="544CAC5A" w14:textId="77777777" w:rsidTr="0025112E">
        <w:trPr>
          <w:trHeight w:val="58"/>
        </w:trPr>
        <w:tc>
          <w:tcPr>
            <w:tcW w:w="1980" w:type="dxa"/>
            <w:vMerge/>
            <w:vAlign w:val="center"/>
            <w:hideMark/>
          </w:tcPr>
          <w:p w14:paraId="12EA727E" w14:textId="77777777" w:rsidR="00CA37AD" w:rsidRPr="004154A1" w:rsidRDefault="00CA37AD" w:rsidP="001E7124"/>
        </w:tc>
        <w:tc>
          <w:tcPr>
            <w:tcW w:w="4819" w:type="dxa"/>
            <w:vAlign w:val="center"/>
            <w:hideMark/>
          </w:tcPr>
          <w:p w14:paraId="4736F4C2" w14:textId="77777777" w:rsidR="00CA37AD" w:rsidRPr="004154A1" w:rsidRDefault="00CA37AD" w:rsidP="001E7124">
            <w:r w:rsidRPr="004154A1">
              <w:t>DESI index, část Lidské zdroje</w:t>
            </w:r>
          </w:p>
        </w:tc>
        <w:tc>
          <w:tcPr>
            <w:tcW w:w="566" w:type="dxa"/>
            <w:vAlign w:val="center"/>
            <w:hideMark/>
          </w:tcPr>
          <w:p w14:paraId="22589E08" w14:textId="77777777" w:rsidR="00CA37AD" w:rsidRPr="004154A1" w:rsidRDefault="00CA37AD" w:rsidP="001E7124">
            <w:r w:rsidRPr="004154A1">
              <w:t>13</w:t>
            </w:r>
          </w:p>
        </w:tc>
        <w:tc>
          <w:tcPr>
            <w:tcW w:w="712" w:type="dxa"/>
            <w:vAlign w:val="center"/>
            <w:hideMark/>
          </w:tcPr>
          <w:p w14:paraId="3CB34D6E" w14:textId="77777777" w:rsidR="00CA37AD" w:rsidRPr="004154A1" w:rsidRDefault="00CA37AD" w:rsidP="001E7124">
            <w:r w:rsidRPr="004154A1">
              <w:t>2022</w:t>
            </w:r>
          </w:p>
        </w:tc>
        <w:tc>
          <w:tcPr>
            <w:tcW w:w="1038" w:type="dxa"/>
            <w:vAlign w:val="center"/>
            <w:hideMark/>
          </w:tcPr>
          <w:p w14:paraId="45AE5B76" w14:textId="77777777" w:rsidR="00CA37AD" w:rsidRPr="004154A1" w:rsidRDefault="00CA37AD" w:rsidP="001E7124">
            <w:pPr>
              <w:rPr>
                <w:u w:val="single"/>
              </w:rPr>
            </w:pPr>
            <w:r w:rsidRPr="00026354">
              <w:t>Komise</w:t>
            </w:r>
          </w:p>
        </w:tc>
        <w:tc>
          <w:tcPr>
            <w:tcW w:w="862" w:type="dxa"/>
            <w:vAlign w:val="center"/>
            <w:hideMark/>
          </w:tcPr>
          <w:p w14:paraId="4CF7AA4A" w14:textId="77777777" w:rsidR="00CA37AD" w:rsidRPr="004154A1" w:rsidRDefault="00CA37AD" w:rsidP="001E7124">
            <w:r w:rsidRPr="004154A1">
              <w:t>MŠMT</w:t>
            </w:r>
          </w:p>
        </w:tc>
      </w:tr>
      <w:tr w:rsidR="00CA37AD" w:rsidRPr="004154A1" w14:paraId="03F9D353" w14:textId="77777777" w:rsidTr="0025112E">
        <w:trPr>
          <w:trHeight w:val="58"/>
        </w:trPr>
        <w:tc>
          <w:tcPr>
            <w:tcW w:w="1980" w:type="dxa"/>
            <w:vMerge/>
            <w:vAlign w:val="center"/>
            <w:hideMark/>
          </w:tcPr>
          <w:p w14:paraId="1C7CDFE0" w14:textId="77777777" w:rsidR="00CA37AD" w:rsidRPr="004154A1" w:rsidRDefault="00CA37AD" w:rsidP="001E7124"/>
        </w:tc>
        <w:tc>
          <w:tcPr>
            <w:tcW w:w="4819" w:type="dxa"/>
            <w:vAlign w:val="center"/>
            <w:hideMark/>
          </w:tcPr>
          <w:p w14:paraId="7DA54C6B" w14:textId="77777777" w:rsidR="00CA37AD" w:rsidRPr="004154A1" w:rsidRDefault="00CA37AD" w:rsidP="001E7124">
            <w:r w:rsidRPr="004154A1">
              <w:t>Délka života ve zdraví</w:t>
            </w:r>
          </w:p>
        </w:tc>
        <w:tc>
          <w:tcPr>
            <w:tcW w:w="566" w:type="dxa"/>
            <w:vAlign w:val="center"/>
            <w:hideMark/>
          </w:tcPr>
          <w:p w14:paraId="49719FFA" w14:textId="77777777" w:rsidR="00CA37AD" w:rsidRPr="004154A1" w:rsidRDefault="00CA37AD" w:rsidP="001E7124">
            <w:r w:rsidRPr="004154A1">
              <w:t>14</w:t>
            </w:r>
          </w:p>
        </w:tc>
        <w:tc>
          <w:tcPr>
            <w:tcW w:w="712" w:type="dxa"/>
            <w:vAlign w:val="center"/>
            <w:hideMark/>
          </w:tcPr>
          <w:p w14:paraId="27132472" w14:textId="77777777" w:rsidR="00CA37AD" w:rsidRPr="004154A1" w:rsidRDefault="00CA37AD" w:rsidP="001E7124">
            <w:r w:rsidRPr="004154A1">
              <w:t>2023</w:t>
            </w:r>
          </w:p>
        </w:tc>
        <w:tc>
          <w:tcPr>
            <w:tcW w:w="1038" w:type="dxa"/>
            <w:vAlign w:val="center"/>
            <w:hideMark/>
          </w:tcPr>
          <w:p w14:paraId="2469EF19" w14:textId="77777777" w:rsidR="00CA37AD" w:rsidRPr="004154A1" w:rsidRDefault="00CA37AD" w:rsidP="001E7124">
            <w:pPr>
              <w:rPr>
                <w:u w:val="single"/>
              </w:rPr>
            </w:pPr>
            <w:r w:rsidRPr="00026354">
              <w:t>Eurostat</w:t>
            </w:r>
          </w:p>
        </w:tc>
        <w:tc>
          <w:tcPr>
            <w:tcW w:w="862" w:type="dxa"/>
            <w:vAlign w:val="center"/>
            <w:hideMark/>
          </w:tcPr>
          <w:p w14:paraId="0F066914" w14:textId="77777777" w:rsidR="00CA37AD" w:rsidRPr="004154A1" w:rsidRDefault="00CA37AD" w:rsidP="001E7124">
            <w:proofErr w:type="spellStart"/>
            <w:r w:rsidRPr="004154A1">
              <w:t>MZd</w:t>
            </w:r>
            <w:proofErr w:type="spellEnd"/>
          </w:p>
        </w:tc>
      </w:tr>
      <w:tr w:rsidR="00CA37AD" w:rsidRPr="004154A1" w14:paraId="4765A787" w14:textId="77777777" w:rsidTr="0025112E">
        <w:trPr>
          <w:trHeight w:val="288"/>
        </w:trPr>
        <w:tc>
          <w:tcPr>
            <w:tcW w:w="1980" w:type="dxa"/>
            <w:vMerge w:val="restart"/>
            <w:noWrap/>
            <w:vAlign w:val="center"/>
            <w:hideMark/>
          </w:tcPr>
          <w:p w14:paraId="222CCD54" w14:textId="77777777" w:rsidR="00CA37AD" w:rsidRPr="004154A1" w:rsidRDefault="00CA37AD" w:rsidP="001E7124">
            <w:r w:rsidRPr="004154A1">
              <w:t>1.2 Výzkum, vývoj a inovace</w:t>
            </w:r>
          </w:p>
        </w:tc>
        <w:tc>
          <w:tcPr>
            <w:tcW w:w="4819" w:type="dxa"/>
            <w:vAlign w:val="center"/>
            <w:hideMark/>
          </w:tcPr>
          <w:p w14:paraId="2BCDCF82" w14:textId="7BA3A7D6" w:rsidR="00CA37AD" w:rsidRPr="004154A1" w:rsidRDefault="00CA37AD" w:rsidP="001E7124">
            <w:proofErr w:type="spellStart"/>
            <w:r w:rsidRPr="004154A1">
              <w:t>European</w:t>
            </w:r>
            <w:proofErr w:type="spellEnd"/>
            <w:r w:rsidRPr="004154A1">
              <w:t xml:space="preserve"> Innovation </w:t>
            </w:r>
            <w:proofErr w:type="spellStart"/>
            <w:r w:rsidRPr="004154A1">
              <w:t>Scoreboard</w:t>
            </w:r>
            <w:proofErr w:type="spellEnd"/>
            <w:r w:rsidRPr="004154A1">
              <w:t xml:space="preserve"> část atraktivní výzkumné sys</w:t>
            </w:r>
            <w:r w:rsidR="005D788E">
              <w:t>témy</w:t>
            </w:r>
          </w:p>
        </w:tc>
        <w:tc>
          <w:tcPr>
            <w:tcW w:w="566" w:type="dxa"/>
            <w:vAlign w:val="center"/>
            <w:hideMark/>
          </w:tcPr>
          <w:p w14:paraId="119E665A" w14:textId="77777777" w:rsidR="00CA37AD" w:rsidRPr="004154A1" w:rsidRDefault="00CA37AD" w:rsidP="001E7124">
            <w:r w:rsidRPr="004154A1">
              <w:t>18</w:t>
            </w:r>
          </w:p>
        </w:tc>
        <w:tc>
          <w:tcPr>
            <w:tcW w:w="712" w:type="dxa"/>
            <w:vAlign w:val="center"/>
            <w:hideMark/>
          </w:tcPr>
          <w:p w14:paraId="04C9400C" w14:textId="77777777" w:rsidR="00CA37AD" w:rsidRPr="004154A1" w:rsidRDefault="00CA37AD" w:rsidP="001E7124">
            <w:r w:rsidRPr="004154A1">
              <w:t>2023</w:t>
            </w:r>
          </w:p>
        </w:tc>
        <w:tc>
          <w:tcPr>
            <w:tcW w:w="1038" w:type="dxa"/>
            <w:vAlign w:val="center"/>
            <w:hideMark/>
          </w:tcPr>
          <w:p w14:paraId="37AACC6D" w14:textId="77777777" w:rsidR="00CA37AD" w:rsidRPr="004154A1" w:rsidRDefault="00CA37AD" w:rsidP="001E7124">
            <w:pPr>
              <w:rPr>
                <w:u w:val="single"/>
              </w:rPr>
            </w:pPr>
            <w:r w:rsidRPr="00026354">
              <w:t>Komise</w:t>
            </w:r>
          </w:p>
        </w:tc>
        <w:tc>
          <w:tcPr>
            <w:tcW w:w="862" w:type="dxa"/>
            <w:vAlign w:val="center"/>
            <w:hideMark/>
          </w:tcPr>
          <w:p w14:paraId="2E7130B0" w14:textId="77777777" w:rsidR="00CA37AD" w:rsidRPr="004154A1" w:rsidRDefault="00CA37AD" w:rsidP="001E7124">
            <w:r w:rsidRPr="004154A1">
              <w:t>MVVI</w:t>
            </w:r>
          </w:p>
        </w:tc>
      </w:tr>
      <w:tr w:rsidR="00CA37AD" w:rsidRPr="004154A1" w14:paraId="0B55400A" w14:textId="77777777" w:rsidTr="0025112E">
        <w:trPr>
          <w:trHeight w:val="58"/>
        </w:trPr>
        <w:tc>
          <w:tcPr>
            <w:tcW w:w="1980" w:type="dxa"/>
            <w:vMerge/>
            <w:vAlign w:val="center"/>
            <w:hideMark/>
          </w:tcPr>
          <w:p w14:paraId="21D8CCD9" w14:textId="77777777" w:rsidR="00CA37AD" w:rsidRPr="004154A1" w:rsidRDefault="00CA37AD" w:rsidP="001E7124"/>
        </w:tc>
        <w:tc>
          <w:tcPr>
            <w:tcW w:w="4819" w:type="dxa"/>
            <w:vAlign w:val="center"/>
            <w:hideMark/>
          </w:tcPr>
          <w:p w14:paraId="15375C67" w14:textId="77777777" w:rsidR="00CA37AD" w:rsidRPr="004154A1" w:rsidRDefault="00CA37AD" w:rsidP="001E7124">
            <w:r w:rsidRPr="004154A1">
              <w:t xml:space="preserve">Thomson Reuters </w:t>
            </w:r>
            <w:proofErr w:type="spellStart"/>
            <w:r w:rsidRPr="004154A1">
              <w:t>Scientific</w:t>
            </w:r>
            <w:proofErr w:type="spellEnd"/>
            <w:r w:rsidRPr="004154A1">
              <w:t xml:space="preserve"> Index</w:t>
            </w:r>
          </w:p>
        </w:tc>
        <w:tc>
          <w:tcPr>
            <w:tcW w:w="566" w:type="dxa"/>
            <w:vAlign w:val="center"/>
            <w:hideMark/>
          </w:tcPr>
          <w:p w14:paraId="07E09E68" w14:textId="77777777" w:rsidR="00CA37AD" w:rsidRPr="004154A1" w:rsidRDefault="00CA37AD" w:rsidP="001E7124">
            <w:r w:rsidRPr="004154A1">
              <w:t>21</w:t>
            </w:r>
          </w:p>
        </w:tc>
        <w:tc>
          <w:tcPr>
            <w:tcW w:w="712" w:type="dxa"/>
            <w:vAlign w:val="center"/>
            <w:hideMark/>
          </w:tcPr>
          <w:p w14:paraId="4F29BE18" w14:textId="77777777" w:rsidR="00CA37AD" w:rsidRPr="004154A1" w:rsidRDefault="00CA37AD" w:rsidP="001E7124">
            <w:r w:rsidRPr="004154A1">
              <w:t>2024</w:t>
            </w:r>
          </w:p>
        </w:tc>
        <w:tc>
          <w:tcPr>
            <w:tcW w:w="1038" w:type="dxa"/>
            <w:vAlign w:val="center"/>
            <w:hideMark/>
          </w:tcPr>
          <w:p w14:paraId="0F6E6F0C" w14:textId="77777777" w:rsidR="00CA37AD" w:rsidRPr="004154A1" w:rsidRDefault="00CA37AD" w:rsidP="001E7124">
            <w:pPr>
              <w:rPr>
                <w:u w:val="single"/>
              </w:rPr>
            </w:pPr>
            <w:proofErr w:type="spellStart"/>
            <w:r w:rsidRPr="00026354">
              <w:t>Sc</w:t>
            </w:r>
            <w:proofErr w:type="spellEnd"/>
            <w:r>
              <w:t>.</w:t>
            </w:r>
            <w:r w:rsidRPr="00026354">
              <w:t xml:space="preserve"> Index</w:t>
            </w:r>
          </w:p>
        </w:tc>
        <w:tc>
          <w:tcPr>
            <w:tcW w:w="862" w:type="dxa"/>
            <w:vAlign w:val="center"/>
            <w:hideMark/>
          </w:tcPr>
          <w:p w14:paraId="1AA6C80C" w14:textId="77777777" w:rsidR="00CA37AD" w:rsidRPr="004154A1" w:rsidRDefault="00CA37AD" w:rsidP="001E7124">
            <w:r w:rsidRPr="004154A1">
              <w:t>MVVI</w:t>
            </w:r>
          </w:p>
        </w:tc>
      </w:tr>
      <w:tr w:rsidR="00CA37AD" w:rsidRPr="004154A1" w14:paraId="750189FE" w14:textId="77777777" w:rsidTr="0025112E">
        <w:trPr>
          <w:trHeight w:val="58"/>
        </w:trPr>
        <w:tc>
          <w:tcPr>
            <w:tcW w:w="1980" w:type="dxa"/>
            <w:vMerge/>
            <w:vAlign w:val="center"/>
            <w:hideMark/>
          </w:tcPr>
          <w:p w14:paraId="608684A4" w14:textId="77777777" w:rsidR="00CA37AD" w:rsidRPr="004154A1" w:rsidRDefault="00CA37AD" w:rsidP="001E7124"/>
        </w:tc>
        <w:tc>
          <w:tcPr>
            <w:tcW w:w="4819" w:type="dxa"/>
            <w:vAlign w:val="center"/>
            <w:hideMark/>
          </w:tcPr>
          <w:p w14:paraId="239B6C95" w14:textId="77777777" w:rsidR="00CA37AD" w:rsidRPr="004154A1" w:rsidRDefault="00CA37AD" w:rsidP="001E7124">
            <w:r w:rsidRPr="004154A1">
              <w:t xml:space="preserve">Podíl financí na </w:t>
            </w:r>
            <w:proofErr w:type="spellStart"/>
            <w:r w:rsidRPr="004154A1">
              <w:t>VaV</w:t>
            </w:r>
            <w:proofErr w:type="spellEnd"/>
            <w:r w:rsidRPr="004154A1">
              <w:t xml:space="preserve"> z privátních zdrojů</w:t>
            </w:r>
          </w:p>
        </w:tc>
        <w:tc>
          <w:tcPr>
            <w:tcW w:w="566" w:type="dxa"/>
            <w:vAlign w:val="center"/>
            <w:hideMark/>
          </w:tcPr>
          <w:p w14:paraId="1CA16447" w14:textId="77777777" w:rsidR="00CA37AD" w:rsidRPr="004154A1" w:rsidRDefault="00CA37AD" w:rsidP="001E7124">
            <w:r w:rsidRPr="004154A1">
              <w:t>10</w:t>
            </w:r>
          </w:p>
        </w:tc>
        <w:tc>
          <w:tcPr>
            <w:tcW w:w="712" w:type="dxa"/>
            <w:vAlign w:val="center"/>
            <w:hideMark/>
          </w:tcPr>
          <w:p w14:paraId="7690AA97" w14:textId="77777777" w:rsidR="00CA37AD" w:rsidRPr="004154A1" w:rsidRDefault="00CA37AD" w:rsidP="001E7124">
            <w:r w:rsidRPr="004154A1">
              <w:t>2024</w:t>
            </w:r>
          </w:p>
        </w:tc>
        <w:tc>
          <w:tcPr>
            <w:tcW w:w="1038" w:type="dxa"/>
            <w:vAlign w:val="center"/>
            <w:hideMark/>
          </w:tcPr>
          <w:p w14:paraId="26ED68E7" w14:textId="77777777" w:rsidR="00CA37AD" w:rsidRPr="004154A1" w:rsidRDefault="00CA37AD" w:rsidP="001E7124">
            <w:pPr>
              <w:rPr>
                <w:u w:val="single"/>
              </w:rPr>
            </w:pPr>
            <w:r w:rsidRPr="00026354">
              <w:t>Eurostat</w:t>
            </w:r>
          </w:p>
        </w:tc>
        <w:tc>
          <w:tcPr>
            <w:tcW w:w="862" w:type="dxa"/>
            <w:vAlign w:val="center"/>
            <w:hideMark/>
          </w:tcPr>
          <w:p w14:paraId="7CDE3E1B" w14:textId="77777777" w:rsidR="00CA37AD" w:rsidRPr="004154A1" w:rsidRDefault="00CA37AD" w:rsidP="001E7124">
            <w:r w:rsidRPr="004154A1">
              <w:t>MVVI</w:t>
            </w:r>
          </w:p>
        </w:tc>
      </w:tr>
      <w:tr w:rsidR="00CA37AD" w:rsidRPr="004154A1" w14:paraId="42C25A8C" w14:textId="77777777" w:rsidTr="0025112E">
        <w:trPr>
          <w:trHeight w:val="112"/>
        </w:trPr>
        <w:tc>
          <w:tcPr>
            <w:tcW w:w="1980" w:type="dxa"/>
            <w:vAlign w:val="center"/>
            <w:hideMark/>
          </w:tcPr>
          <w:p w14:paraId="5717BC99" w14:textId="77777777" w:rsidR="00CA37AD" w:rsidRPr="004154A1" w:rsidRDefault="00CA37AD" w:rsidP="001E7124">
            <w:r w:rsidRPr="004154A1">
              <w:t>1.3 Digitalizace a informační koncepce</w:t>
            </w:r>
          </w:p>
        </w:tc>
        <w:tc>
          <w:tcPr>
            <w:tcW w:w="4819" w:type="dxa"/>
            <w:vAlign w:val="center"/>
            <w:hideMark/>
          </w:tcPr>
          <w:p w14:paraId="44AB2601" w14:textId="77777777" w:rsidR="00CA37AD" w:rsidRPr="004154A1" w:rsidRDefault="00CA37AD" w:rsidP="001E7124">
            <w:r w:rsidRPr="004154A1">
              <w:t>DESI index, část Veřejné služby</w:t>
            </w:r>
          </w:p>
        </w:tc>
        <w:tc>
          <w:tcPr>
            <w:tcW w:w="566" w:type="dxa"/>
            <w:vAlign w:val="center"/>
            <w:hideMark/>
          </w:tcPr>
          <w:p w14:paraId="74DDC7D5" w14:textId="77777777" w:rsidR="00CA37AD" w:rsidRPr="004154A1" w:rsidRDefault="00CA37AD" w:rsidP="001E7124">
            <w:r w:rsidRPr="004154A1">
              <w:t>16</w:t>
            </w:r>
          </w:p>
        </w:tc>
        <w:tc>
          <w:tcPr>
            <w:tcW w:w="712" w:type="dxa"/>
            <w:vAlign w:val="center"/>
            <w:hideMark/>
          </w:tcPr>
          <w:p w14:paraId="7B481D8D" w14:textId="77777777" w:rsidR="00CA37AD" w:rsidRPr="004154A1" w:rsidRDefault="00CA37AD" w:rsidP="001E7124">
            <w:r w:rsidRPr="004154A1">
              <w:t>2024</w:t>
            </w:r>
          </w:p>
        </w:tc>
        <w:tc>
          <w:tcPr>
            <w:tcW w:w="1038" w:type="dxa"/>
            <w:vAlign w:val="center"/>
            <w:hideMark/>
          </w:tcPr>
          <w:p w14:paraId="18A2AF13" w14:textId="77777777" w:rsidR="00CA37AD" w:rsidRPr="004154A1" w:rsidRDefault="00CA37AD" w:rsidP="001E7124">
            <w:pPr>
              <w:rPr>
                <w:u w:val="single"/>
              </w:rPr>
            </w:pPr>
            <w:r w:rsidRPr="00026354">
              <w:t>Komise</w:t>
            </w:r>
          </w:p>
        </w:tc>
        <w:tc>
          <w:tcPr>
            <w:tcW w:w="862" w:type="dxa"/>
            <w:vAlign w:val="center"/>
            <w:hideMark/>
          </w:tcPr>
          <w:p w14:paraId="34232154" w14:textId="77777777" w:rsidR="00CA37AD" w:rsidRPr="004154A1" w:rsidRDefault="00CA37AD" w:rsidP="001E7124">
            <w:r w:rsidRPr="004154A1">
              <w:t>DIA</w:t>
            </w:r>
          </w:p>
        </w:tc>
      </w:tr>
      <w:tr w:rsidR="00CA37AD" w:rsidRPr="004154A1" w14:paraId="7BC3AF2B" w14:textId="77777777" w:rsidTr="0025112E">
        <w:trPr>
          <w:trHeight w:val="288"/>
        </w:trPr>
        <w:tc>
          <w:tcPr>
            <w:tcW w:w="1980" w:type="dxa"/>
            <w:vMerge w:val="restart"/>
            <w:vAlign w:val="center"/>
            <w:hideMark/>
          </w:tcPr>
          <w:p w14:paraId="35188E31" w14:textId="77777777" w:rsidR="00CA37AD" w:rsidRPr="004154A1" w:rsidRDefault="00CA37AD" w:rsidP="001E7124">
            <w:r w:rsidRPr="004154A1">
              <w:t>1.4 Fungující a efektivní regulace, podnikatelské prostředí</w:t>
            </w:r>
          </w:p>
        </w:tc>
        <w:tc>
          <w:tcPr>
            <w:tcW w:w="4819" w:type="dxa"/>
            <w:vAlign w:val="center"/>
            <w:hideMark/>
          </w:tcPr>
          <w:p w14:paraId="0A13C5C5" w14:textId="77777777" w:rsidR="00CA37AD" w:rsidRPr="004154A1" w:rsidRDefault="00CA37AD" w:rsidP="001E7124">
            <w:r w:rsidRPr="004154A1">
              <w:t>Překážky pro vstup firem na trh a konkurenci, PMR</w:t>
            </w:r>
          </w:p>
        </w:tc>
        <w:tc>
          <w:tcPr>
            <w:tcW w:w="566" w:type="dxa"/>
            <w:vAlign w:val="center"/>
            <w:hideMark/>
          </w:tcPr>
          <w:p w14:paraId="3396D37C" w14:textId="77777777" w:rsidR="00CA37AD" w:rsidRPr="004154A1" w:rsidRDefault="00CA37AD" w:rsidP="001E7124">
            <w:r w:rsidRPr="004154A1">
              <w:t>12</w:t>
            </w:r>
          </w:p>
        </w:tc>
        <w:tc>
          <w:tcPr>
            <w:tcW w:w="712" w:type="dxa"/>
            <w:vAlign w:val="center"/>
            <w:hideMark/>
          </w:tcPr>
          <w:p w14:paraId="3C3C0960" w14:textId="77777777" w:rsidR="00CA37AD" w:rsidRPr="004154A1" w:rsidRDefault="00CA37AD" w:rsidP="001E7124">
            <w:r w:rsidRPr="004154A1">
              <w:t>2024</w:t>
            </w:r>
          </w:p>
        </w:tc>
        <w:tc>
          <w:tcPr>
            <w:tcW w:w="1038" w:type="dxa"/>
            <w:vAlign w:val="center"/>
            <w:hideMark/>
          </w:tcPr>
          <w:p w14:paraId="66406CBB" w14:textId="77777777" w:rsidR="00CA37AD" w:rsidRPr="004154A1" w:rsidRDefault="00CA37AD" w:rsidP="001E7124">
            <w:pPr>
              <w:rPr>
                <w:u w:val="single"/>
              </w:rPr>
            </w:pPr>
            <w:r w:rsidRPr="00026354">
              <w:t>OECD</w:t>
            </w:r>
          </w:p>
        </w:tc>
        <w:tc>
          <w:tcPr>
            <w:tcW w:w="862" w:type="dxa"/>
            <w:vAlign w:val="center"/>
            <w:hideMark/>
          </w:tcPr>
          <w:p w14:paraId="50983F5D" w14:textId="77777777" w:rsidR="00CA37AD" w:rsidRPr="004154A1" w:rsidRDefault="00CA37AD" w:rsidP="001E7124">
            <w:r w:rsidRPr="004154A1">
              <w:t>MPO</w:t>
            </w:r>
          </w:p>
        </w:tc>
      </w:tr>
      <w:tr w:rsidR="00CA37AD" w:rsidRPr="004154A1" w14:paraId="4B57ADEA" w14:textId="77777777" w:rsidTr="0025112E">
        <w:trPr>
          <w:trHeight w:val="288"/>
        </w:trPr>
        <w:tc>
          <w:tcPr>
            <w:tcW w:w="1980" w:type="dxa"/>
            <w:vMerge/>
            <w:vAlign w:val="center"/>
            <w:hideMark/>
          </w:tcPr>
          <w:p w14:paraId="1D240367" w14:textId="77777777" w:rsidR="00CA37AD" w:rsidRPr="004154A1" w:rsidRDefault="00CA37AD" w:rsidP="001E7124"/>
        </w:tc>
        <w:tc>
          <w:tcPr>
            <w:tcW w:w="4819" w:type="dxa"/>
            <w:vAlign w:val="center"/>
            <w:hideMark/>
          </w:tcPr>
          <w:p w14:paraId="09A346C9" w14:textId="77777777" w:rsidR="00CA37AD" w:rsidRPr="004154A1" w:rsidRDefault="00CA37AD" w:rsidP="001E7124">
            <w:r w:rsidRPr="004154A1">
              <w:t xml:space="preserve">Zátěž vládní regulace, Single Market </w:t>
            </w:r>
            <w:proofErr w:type="spellStart"/>
            <w:r w:rsidRPr="004154A1">
              <w:t>Scoreboard</w:t>
            </w:r>
            <w:proofErr w:type="spellEnd"/>
          </w:p>
        </w:tc>
        <w:tc>
          <w:tcPr>
            <w:tcW w:w="566" w:type="dxa"/>
            <w:vAlign w:val="center"/>
            <w:hideMark/>
          </w:tcPr>
          <w:p w14:paraId="57DF419E" w14:textId="77777777" w:rsidR="00CA37AD" w:rsidRPr="004154A1" w:rsidRDefault="00CA37AD" w:rsidP="001E7124">
            <w:r w:rsidRPr="004154A1">
              <w:t>17</w:t>
            </w:r>
          </w:p>
        </w:tc>
        <w:tc>
          <w:tcPr>
            <w:tcW w:w="712" w:type="dxa"/>
            <w:vAlign w:val="center"/>
            <w:hideMark/>
          </w:tcPr>
          <w:p w14:paraId="2AE537DF" w14:textId="77777777" w:rsidR="00CA37AD" w:rsidRPr="004154A1" w:rsidRDefault="00CA37AD" w:rsidP="001E7124">
            <w:r w:rsidRPr="004154A1">
              <w:t>2022</w:t>
            </w:r>
          </w:p>
        </w:tc>
        <w:tc>
          <w:tcPr>
            <w:tcW w:w="1038" w:type="dxa"/>
            <w:vAlign w:val="center"/>
            <w:hideMark/>
          </w:tcPr>
          <w:p w14:paraId="369D27F3" w14:textId="77777777" w:rsidR="00CA37AD" w:rsidRPr="004154A1" w:rsidRDefault="00CA37AD" w:rsidP="001E7124">
            <w:pPr>
              <w:rPr>
                <w:u w:val="single"/>
              </w:rPr>
            </w:pPr>
            <w:r w:rsidRPr="00026354">
              <w:t>Komise</w:t>
            </w:r>
          </w:p>
        </w:tc>
        <w:tc>
          <w:tcPr>
            <w:tcW w:w="862" w:type="dxa"/>
            <w:vAlign w:val="center"/>
            <w:hideMark/>
          </w:tcPr>
          <w:p w14:paraId="4612691F" w14:textId="77777777" w:rsidR="00CA37AD" w:rsidRPr="004154A1" w:rsidRDefault="00CA37AD" w:rsidP="001E7124">
            <w:r w:rsidRPr="004154A1">
              <w:t>MPO</w:t>
            </w:r>
          </w:p>
        </w:tc>
      </w:tr>
      <w:tr w:rsidR="00CA37AD" w:rsidRPr="004154A1" w14:paraId="1056FA40" w14:textId="77777777" w:rsidTr="0025112E">
        <w:trPr>
          <w:trHeight w:val="58"/>
        </w:trPr>
        <w:tc>
          <w:tcPr>
            <w:tcW w:w="1980" w:type="dxa"/>
            <w:vMerge/>
            <w:vAlign w:val="center"/>
            <w:hideMark/>
          </w:tcPr>
          <w:p w14:paraId="7DB7DA2C" w14:textId="77777777" w:rsidR="00CA37AD" w:rsidRPr="004154A1" w:rsidRDefault="00CA37AD" w:rsidP="001E7124"/>
        </w:tc>
        <w:tc>
          <w:tcPr>
            <w:tcW w:w="4819" w:type="dxa"/>
            <w:vAlign w:val="center"/>
            <w:hideMark/>
          </w:tcPr>
          <w:p w14:paraId="1139C6F8" w14:textId="77777777" w:rsidR="00CA37AD" w:rsidRPr="004154A1" w:rsidRDefault="00CA37AD" w:rsidP="001E7124">
            <w:r w:rsidRPr="004154A1">
              <w:t>Podnikatelské prostředí a investiční klima (B-</w:t>
            </w:r>
            <w:proofErr w:type="spellStart"/>
            <w:r w:rsidRPr="004154A1">
              <w:t>Ready</w:t>
            </w:r>
            <w:proofErr w:type="spellEnd"/>
            <w:r w:rsidRPr="004154A1">
              <w:t>)</w:t>
            </w:r>
          </w:p>
        </w:tc>
        <w:tc>
          <w:tcPr>
            <w:tcW w:w="566" w:type="dxa"/>
            <w:vAlign w:val="center"/>
            <w:hideMark/>
          </w:tcPr>
          <w:p w14:paraId="7092CAAB" w14:textId="3A95DED3" w:rsidR="00CA37AD" w:rsidRPr="004154A1" w:rsidRDefault="00CA37AD" w:rsidP="001E7124">
            <w:r>
              <w:t>-</w:t>
            </w:r>
          </w:p>
        </w:tc>
        <w:tc>
          <w:tcPr>
            <w:tcW w:w="712" w:type="dxa"/>
            <w:vAlign w:val="center"/>
            <w:hideMark/>
          </w:tcPr>
          <w:p w14:paraId="4A75F343" w14:textId="53F62303" w:rsidR="00CA37AD" w:rsidRPr="004154A1" w:rsidRDefault="00CA37AD" w:rsidP="001E7124">
            <w:r>
              <w:t>2024</w:t>
            </w:r>
          </w:p>
        </w:tc>
        <w:tc>
          <w:tcPr>
            <w:tcW w:w="1038" w:type="dxa"/>
            <w:vAlign w:val="center"/>
            <w:hideMark/>
          </w:tcPr>
          <w:p w14:paraId="2A0235F8" w14:textId="77777777" w:rsidR="00CA37AD" w:rsidRPr="004154A1" w:rsidRDefault="00CA37AD" w:rsidP="001E7124">
            <w:pPr>
              <w:rPr>
                <w:u w:val="single"/>
              </w:rPr>
            </w:pPr>
            <w:r w:rsidRPr="00026354">
              <w:t>Světová banka</w:t>
            </w:r>
          </w:p>
        </w:tc>
        <w:tc>
          <w:tcPr>
            <w:tcW w:w="862" w:type="dxa"/>
            <w:vAlign w:val="center"/>
            <w:hideMark/>
          </w:tcPr>
          <w:p w14:paraId="31DD42C3" w14:textId="77777777" w:rsidR="00CA37AD" w:rsidRPr="004154A1" w:rsidRDefault="00CA37AD" w:rsidP="001E7124">
            <w:r w:rsidRPr="004154A1">
              <w:t>MPO</w:t>
            </w:r>
          </w:p>
        </w:tc>
      </w:tr>
      <w:tr w:rsidR="00CA37AD" w:rsidRPr="004154A1" w14:paraId="288E95F7" w14:textId="77777777" w:rsidTr="0025112E">
        <w:trPr>
          <w:trHeight w:val="391"/>
        </w:trPr>
        <w:tc>
          <w:tcPr>
            <w:tcW w:w="1980" w:type="dxa"/>
            <w:vAlign w:val="center"/>
            <w:hideMark/>
          </w:tcPr>
          <w:p w14:paraId="73CB20B2" w14:textId="77777777" w:rsidR="00CA37AD" w:rsidRPr="004154A1" w:rsidRDefault="00CA37AD" w:rsidP="001E7124">
            <w:r w:rsidRPr="004154A1">
              <w:t>1.5 Kvalita veřejných institucí</w:t>
            </w:r>
          </w:p>
        </w:tc>
        <w:tc>
          <w:tcPr>
            <w:tcW w:w="4819" w:type="dxa"/>
            <w:vAlign w:val="center"/>
            <w:hideMark/>
          </w:tcPr>
          <w:p w14:paraId="52B23663" w14:textId="77777777" w:rsidR="00CA37AD" w:rsidRPr="004154A1" w:rsidRDefault="00CA37AD" w:rsidP="001E7124">
            <w:r w:rsidRPr="004154A1">
              <w:t xml:space="preserve">Vládní efektivnost, </w:t>
            </w:r>
            <w:proofErr w:type="spellStart"/>
            <w:r w:rsidRPr="004154A1">
              <w:t>World</w:t>
            </w:r>
            <w:proofErr w:type="spellEnd"/>
            <w:r w:rsidRPr="004154A1">
              <w:t xml:space="preserve"> </w:t>
            </w:r>
            <w:proofErr w:type="spellStart"/>
            <w:r w:rsidRPr="004154A1">
              <w:t>Governance</w:t>
            </w:r>
            <w:proofErr w:type="spellEnd"/>
            <w:r w:rsidRPr="004154A1">
              <w:t xml:space="preserve"> </w:t>
            </w:r>
            <w:proofErr w:type="spellStart"/>
            <w:r w:rsidRPr="004154A1">
              <w:t>Indicator</w:t>
            </w:r>
            <w:proofErr w:type="spellEnd"/>
          </w:p>
        </w:tc>
        <w:tc>
          <w:tcPr>
            <w:tcW w:w="566" w:type="dxa"/>
            <w:vAlign w:val="center"/>
            <w:hideMark/>
          </w:tcPr>
          <w:p w14:paraId="19DD5932" w14:textId="5482D799" w:rsidR="00CA37AD" w:rsidRPr="004154A1" w:rsidRDefault="00F96FB0" w:rsidP="001E7124">
            <w:r>
              <w:t>-</w:t>
            </w:r>
          </w:p>
        </w:tc>
        <w:tc>
          <w:tcPr>
            <w:tcW w:w="712" w:type="dxa"/>
            <w:vAlign w:val="center"/>
            <w:hideMark/>
          </w:tcPr>
          <w:p w14:paraId="5BB395D9" w14:textId="77777777" w:rsidR="00CA37AD" w:rsidRPr="004154A1" w:rsidRDefault="00CA37AD" w:rsidP="001E7124">
            <w:r w:rsidRPr="004154A1">
              <w:t>2022</w:t>
            </w:r>
          </w:p>
        </w:tc>
        <w:tc>
          <w:tcPr>
            <w:tcW w:w="1038" w:type="dxa"/>
            <w:vAlign w:val="center"/>
            <w:hideMark/>
          </w:tcPr>
          <w:p w14:paraId="13889900" w14:textId="77777777" w:rsidR="00CA37AD" w:rsidRPr="004154A1" w:rsidRDefault="00CA37AD" w:rsidP="001E7124">
            <w:pPr>
              <w:rPr>
                <w:u w:val="single"/>
              </w:rPr>
            </w:pPr>
            <w:r w:rsidRPr="00026354">
              <w:t>Světová banka</w:t>
            </w:r>
          </w:p>
        </w:tc>
        <w:tc>
          <w:tcPr>
            <w:tcW w:w="862" w:type="dxa"/>
            <w:vAlign w:val="center"/>
            <w:hideMark/>
          </w:tcPr>
          <w:p w14:paraId="7A624F71" w14:textId="77777777" w:rsidR="00CA37AD" w:rsidRPr="004154A1" w:rsidRDefault="00CA37AD" w:rsidP="001E7124">
            <w:r w:rsidRPr="004154A1">
              <w:t>MV</w:t>
            </w:r>
          </w:p>
        </w:tc>
      </w:tr>
      <w:tr w:rsidR="00CA37AD" w:rsidRPr="004154A1" w14:paraId="5A830B90" w14:textId="77777777" w:rsidTr="0025112E">
        <w:trPr>
          <w:trHeight w:val="58"/>
        </w:trPr>
        <w:tc>
          <w:tcPr>
            <w:tcW w:w="1980" w:type="dxa"/>
            <w:vMerge w:val="restart"/>
            <w:vAlign w:val="center"/>
            <w:hideMark/>
          </w:tcPr>
          <w:p w14:paraId="011BFE93" w14:textId="77777777" w:rsidR="00CA37AD" w:rsidRPr="004154A1" w:rsidRDefault="00CA37AD" w:rsidP="001E7124">
            <w:r w:rsidRPr="004154A1">
              <w:t>2.1 Energetická infrastruktura a dekarbonizace</w:t>
            </w:r>
          </w:p>
        </w:tc>
        <w:tc>
          <w:tcPr>
            <w:tcW w:w="4819" w:type="dxa"/>
            <w:vAlign w:val="center"/>
            <w:hideMark/>
          </w:tcPr>
          <w:p w14:paraId="2A01F8B6" w14:textId="77777777" w:rsidR="00CA37AD" w:rsidRPr="004154A1" w:rsidRDefault="00CA37AD" w:rsidP="001E7124">
            <w:r w:rsidRPr="004154A1">
              <w:t>Energetická dovozní závislost</w:t>
            </w:r>
          </w:p>
        </w:tc>
        <w:tc>
          <w:tcPr>
            <w:tcW w:w="566" w:type="dxa"/>
            <w:vAlign w:val="center"/>
            <w:hideMark/>
          </w:tcPr>
          <w:p w14:paraId="28AF3782" w14:textId="77777777" w:rsidR="00CA37AD" w:rsidRPr="004154A1" w:rsidRDefault="00CA37AD" w:rsidP="001E7124">
            <w:r w:rsidRPr="004154A1">
              <w:t>11</w:t>
            </w:r>
          </w:p>
        </w:tc>
        <w:tc>
          <w:tcPr>
            <w:tcW w:w="712" w:type="dxa"/>
            <w:vAlign w:val="center"/>
            <w:hideMark/>
          </w:tcPr>
          <w:p w14:paraId="64F14FF4" w14:textId="77777777" w:rsidR="00CA37AD" w:rsidRPr="004154A1" w:rsidRDefault="00CA37AD" w:rsidP="001E7124">
            <w:r w:rsidRPr="004154A1">
              <w:t>2022</w:t>
            </w:r>
          </w:p>
        </w:tc>
        <w:tc>
          <w:tcPr>
            <w:tcW w:w="1038" w:type="dxa"/>
            <w:vAlign w:val="center"/>
            <w:hideMark/>
          </w:tcPr>
          <w:p w14:paraId="18951E0B" w14:textId="77777777" w:rsidR="00CA37AD" w:rsidRPr="004154A1" w:rsidRDefault="00CA37AD" w:rsidP="001E7124">
            <w:pPr>
              <w:rPr>
                <w:u w:val="single"/>
              </w:rPr>
            </w:pPr>
            <w:r w:rsidRPr="00026354">
              <w:t>Eurostat</w:t>
            </w:r>
          </w:p>
        </w:tc>
        <w:tc>
          <w:tcPr>
            <w:tcW w:w="862" w:type="dxa"/>
            <w:vAlign w:val="center"/>
            <w:hideMark/>
          </w:tcPr>
          <w:p w14:paraId="2BAE586D" w14:textId="77777777" w:rsidR="00CA37AD" w:rsidRPr="004154A1" w:rsidRDefault="00CA37AD" w:rsidP="001E7124">
            <w:r w:rsidRPr="004154A1">
              <w:t>MPO</w:t>
            </w:r>
          </w:p>
        </w:tc>
      </w:tr>
      <w:tr w:rsidR="00CA37AD" w:rsidRPr="004154A1" w14:paraId="5BB789B7" w14:textId="77777777" w:rsidTr="0025112E">
        <w:trPr>
          <w:trHeight w:val="337"/>
        </w:trPr>
        <w:tc>
          <w:tcPr>
            <w:tcW w:w="1980" w:type="dxa"/>
            <w:vMerge/>
            <w:vAlign w:val="center"/>
            <w:hideMark/>
          </w:tcPr>
          <w:p w14:paraId="705F7577" w14:textId="77777777" w:rsidR="00CA37AD" w:rsidRPr="004154A1" w:rsidRDefault="00CA37AD" w:rsidP="001E7124"/>
        </w:tc>
        <w:tc>
          <w:tcPr>
            <w:tcW w:w="4819" w:type="dxa"/>
            <w:vAlign w:val="center"/>
            <w:hideMark/>
          </w:tcPr>
          <w:p w14:paraId="192A547D" w14:textId="77777777" w:rsidR="00CA37AD" w:rsidRPr="004154A1" w:rsidRDefault="00CA37AD" w:rsidP="001E7124">
            <w:r w:rsidRPr="004154A1">
              <w:t>Podíl fosilních paliv na spotřebě primárních energetických zdrojů</w:t>
            </w:r>
          </w:p>
        </w:tc>
        <w:tc>
          <w:tcPr>
            <w:tcW w:w="566" w:type="dxa"/>
            <w:vAlign w:val="center"/>
            <w:hideMark/>
          </w:tcPr>
          <w:p w14:paraId="07F7F570" w14:textId="77777777" w:rsidR="00CA37AD" w:rsidRPr="004154A1" w:rsidRDefault="00CA37AD" w:rsidP="001E7124">
            <w:r w:rsidRPr="004154A1">
              <w:t>20</w:t>
            </w:r>
          </w:p>
        </w:tc>
        <w:tc>
          <w:tcPr>
            <w:tcW w:w="712" w:type="dxa"/>
            <w:vAlign w:val="center"/>
            <w:hideMark/>
          </w:tcPr>
          <w:p w14:paraId="4E8F7BBD" w14:textId="77777777" w:rsidR="00CA37AD" w:rsidRPr="004154A1" w:rsidRDefault="00CA37AD" w:rsidP="001E7124">
            <w:r w:rsidRPr="004154A1">
              <w:t>2022</w:t>
            </w:r>
          </w:p>
        </w:tc>
        <w:tc>
          <w:tcPr>
            <w:tcW w:w="1038" w:type="dxa"/>
            <w:vAlign w:val="center"/>
            <w:hideMark/>
          </w:tcPr>
          <w:p w14:paraId="718AE862" w14:textId="77777777" w:rsidR="00CA37AD" w:rsidRPr="004154A1" w:rsidRDefault="00CA37AD" w:rsidP="001E7124">
            <w:pPr>
              <w:rPr>
                <w:u w:val="single"/>
              </w:rPr>
            </w:pPr>
            <w:r w:rsidRPr="00026354">
              <w:t>Eurostat</w:t>
            </w:r>
          </w:p>
        </w:tc>
        <w:tc>
          <w:tcPr>
            <w:tcW w:w="862" w:type="dxa"/>
            <w:vAlign w:val="center"/>
            <w:hideMark/>
          </w:tcPr>
          <w:p w14:paraId="7901F8ED" w14:textId="77777777" w:rsidR="00CA37AD" w:rsidRPr="004154A1" w:rsidRDefault="00CA37AD" w:rsidP="001E7124">
            <w:r w:rsidRPr="004154A1">
              <w:t>MPO</w:t>
            </w:r>
          </w:p>
        </w:tc>
      </w:tr>
      <w:tr w:rsidR="00CA37AD" w:rsidRPr="004154A1" w14:paraId="48A0FDF2" w14:textId="77777777" w:rsidTr="0025112E">
        <w:trPr>
          <w:trHeight w:val="218"/>
        </w:trPr>
        <w:tc>
          <w:tcPr>
            <w:tcW w:w="1980" w:type="dxa"/>
            <w:vMerge/>
            <w:vAlign w:val="center"/>
            <w:hideMark/>
          </w:tcPr>
          <w:p w14:paraId="2B2B27CB" w14:textId="77777777" w:rsidR="00CA37AD" w:rsidRPr="004154A1" w:rsidRDefault="00CA37AD" w:rsidP="001E7124"/>
        </w:tc>
        <w:tc>
          <w:tcPr>
            <w:tcW w:w="4819" w:type="dxa"/>
            <w:vAlign w:val="center"/>
            <w:hideMark/>
          </w:tcPr>
          <w:p w14:paraId="31A26951" w14:textId="77777777" w:rsidR="00CA37AD" w:rsidRPr="004154A1" w:rsidRDefault="00CA37AD" w:rsidP="001E7124">
            <w:r w:rsidRPr="004154A1">
              <w:t>Energetická náročnost tvorby hrubé přidané hodnoty</w:t>
            </w:r>
          </w:p>
        </w:tc>
        <w:tc>
          <w:tcPr>
            <w:tcW w:w="566" w:type="dxa"/>
            <w:vAlign w:val="center"/>
            <w:hideMark/>
          </w:tcPr>
          <w:p w14:paraId="3EAF28B6" w14:textId="77777777" w:rsidR="00CA37AD" w:rsidRPr="004154A1" w:rsidRDefault="00CA37AD" w:rsidP="001E7124">
            <w:r w:rsidRPr="004154A1">
              <w:t>25</w:t>
            </w:r>
          </w:p>
        </w:tc>
        <w:tc>
          <w:tcPr>
            <w:tcW w:w="712" w:type="dxa"/>
            <w:vAlign w:val="center"/>
            <w:hideMark/>
          </w:tcPr>
          <w:p w14:paraId="60B99140" w14:textId="77777777" w:rsidR="00CA37AD" w:rsidRPr="004154A1" w:rsidRDefault="00CA37AD" w:rsidP="001E7124">
            <w:r w:rsidRPr="004154A1">
              <w:t>2022</w:t>
            </w:r>
          </w:p>
        </w:tc>
        <w:tc>
          <w:tcPr>
            <w:tcW w:w="1038" w:type="dxa"/>
            <w:vAlign w:val="center"/>
            <w:hideMark/>
          </w:tcPr>
          <w:p w14:paraId="4A063ADC" w14:textId="77777777" w:rsidR="00CA37AD" w:rsidRPr="004154A1" w:rsidRDefault="00CA37AD" w:rsidP="001E7124">
            <w:pPr>
              <w:rPr>
                <w:u w:val="single"/>
              </w:rPr>
            </w:pPr>
            <w:r w:rsidRPr="00026354">
              <w:t>Eurostat</w:t>
            </w:r>
          </w:p>
        </w:tc>
        <w:tc>
          <w:tcPr>
            <w:tcW w:w="862" w:type="dxa"/>
            <w:vAlign w:val="center"/>
            <w:hideMark/>
          </w:tcPr>
          <w:p w14:paraId="6C0CF85D" w14:textId="77777777" w:rsidR="00CA37AD" w:rsidRPr="004154A1" w:rsidRDefault="00CA37AD" w:rsidP="001E7124">
            <w:r w:rsidRPr="004154A1">
              <w:t>MPO</w:t>
            </w:r>
          </w:p>
        </w:tc>
      </w:tr>
      <w:tr w:rsidR="00CA37AD" w:rsidRPr="004154A1" w14:paraId="384F3490" w14:textId="77777777" w:rsidTr="0025112E">
        <w:trPr>
          <w:trHeight w:val="58"/>
        </w:trPr>
        <w:tc>
          <w:tcPr>
            <w:tcW w:w="1980" w:type="dxa"/>
            <w:vMerge/>
            <w:vAlign w:val="center"/>
            <w:hideMark/>
          </w:tcPr>
          <w:p w14:paraId="633B17FC" w14:textId="77777777" w:rsidR="00CA37AD" w:rsidRPr="004154A1" w:rsidRDefault="00CA37AD" w:rsidP="001E7124"/>
        </w:tc>
        <w:tc>
          <w:tcPr>
            <w:tcW w:w="4819" w:type="dxa"/>
            <w:vAlign w:val="center"/>
            <w:hideMark/>
          </w:tcPr>
          <w:p w14:paraId="6D140E0A" w14:textId="77777777" w:rsidR="00CA37AD" w:rsidRPr="004154A1" w:rsidRDefault="00CA37AD" w:rsidP="001E7124">
            <w:r w:rsidRPr="004154A1">
              <w:t>Emise skleníkových plynů</w:t>
            </w:r>
          </w:p>
        </w:tc>
        <w:tc>
          <w:tcPr>
            <w:tcW w:w="566" w:type="dxa"/>
            <w:vAlign w:val="center"/>
            <w:hideMark/>
          </w:tcPr>
          <w:p w14:paraId="356B7A43" w14:textId="77777777" w:rsidR="00CA37AD" w:rsidRPr="004154A1" w:rsidRDefault="00CA37AD" w:rsidP="001E7124">
            <w:r w:rsidRPr="004154A1">
              <w:t>25</w:t>
            </w:r>
          </w:p>
        </w:tc>
        <w:tc>
          <w:tcPr>
            <w:tcW w:w="712" w:type="dxa"/>
            <w:vAlign w:val="center"/>
            <w:hideMark/>
          </w:tcPr>
          <w:p w14:paraId="773E3414" w14:textId="16C46868" w:rsidR="00CA37AD" w:rsidRPr="004154A1" w:rsidRDefault="00CA37AD" w:rsidP="001E7124">
            <w:r>
              <w:t>2022</w:t>
            </w:r>
          </w:p>
        </w:tc>
        <w:tc>
          <w:tcPr>
            <w:tcW w:w="1038" w:type="dxa"/>
            <w:vAlign w:val="center"/>
            <w:hideMark/>
          </w:tcPr>
          <w:p w14:paraId="2860D801" w14:textId="77777777" w:rsidR="00CA37AD" w:rsidRPr="004154A1" w:rsidRDefault="00CA37AD" w:rsidP="001E7124">
            <w:pPr>
              <w:rPr>
                <w:u w:val="single"/>
              </w:rPr>
            </w:pPr>
            <w:r w:rsidRPr="00026354">
              <w:t>ČHMÚ</w:t>
            </w:r>
          </w:p>
        </w:tc>
        <w:tc>
          <w:tcPr>
            <w:tcW w:w="862" w:type="dxa"/>
            <w:vAlign w:val="center"/>
            <w:hideMark/>
          </w:tcPr>
          <w:p w14:paraId="264B7834" w14:textId="77777777" w:rsidR="00CA37AD" w:rsidRPr="004154A1" w:rsidRDefault="00CA37AD" w:rsidP="001E7124">
            <w:r w:rsidRPr="004154A1">
              <w:t>MŽP</w:t>
            </w:r>
          </w:p>
        </w:tc>
      </w:tr>
      <w:tr w:rsidR="00CA37AD" w:rsidRPr="004154A1" w14:paraId="47013D21" w14:textId="77777777" w:rsidTr="0025112E">
        <w:trPr>
          <w:trHeight w:val="288"/>
        </w:trPr>
        <w:tc>
          <w:tcPr>
            <w:tcW w:w="1980" w:type="dxa"/>
            <w:vMerge w:val="restart"/>
            <w:vAlign w:val="center"/>
            <w:hideMark/>
          </w:tcPr>
          <w:p w14:paraId="51A051B4" w14:textId="77777777" w:rsidR="00CA37AD" w:rsidRPr="004154A1" w:rsidRDefault="00CA37AD" w:rsidP="001E7124">
            <w:r w:rsidRPr="004154A1">
              <w:t>2.2 Dopravní infrastruktura</w:t>
            </w:r>
          </w:p>
        </w:tc>
        <w:tc>
          <w:tcPr>
            <w:tcW w:w="4819" w:type="dxa"/>
            <w:vAlign w:val="center"/>
            <w:hideMark/>
          </w:tcPr>
          <w:p w14:paraId="0E6B349E" w14:textId="77777777" w:rsidR="00CA37AD" w:rsidRPr="004154A1" w:rsidRDefault="00CA37AD" w:rsidP="001E7124">
            <w:r w:rsidRPr="004154A1">
              <w:t>Silniční doprava – kapacita (dálniční sítě)</w:t>
            </w:r>
          </w:p>
        </w:tc>
        <w:tc>
          <w:tcPr>
            <w:tcW w:w="566" w:type="dxa"/>
            <w:vAlign w:val="center"/>
            <w:hideMark/>
          </w:tcPr>
          <w:p w14:paraId="41CE5D27" w14:textId="77777777" w:rsidR="00CA37AD" w:rsidRPr="004154A1" w:rsidRDefault="00CA37AD" w:rsidP="001E7124">
            <w:r w:rsidRPr="004154A1">
              <w:t>22</w:t>
            </w:r>
          </w:p>
        </w:tc>
        <w:tc>
          <w:tcPr>
            <w:tcW w:w="712" w:type="dxa"/>
            <w:vAlign w:val="center"/>
            <w:hideMark/>
          </w:tcPr>
          <w:p w14:paraId="24D86D26" w14:textId="77777777" w:rsidR="00CA37AD" w:rsidRPr="004154A1" w:rsidRDefault="00CA37AD" w:rsidP="001E7124">
            <w:r w:rsidRPr="004154A1">
              <w:t>2022</w:t>
            </w:r>
          </w:p>
        </w:tc>
        <w:tc>
          <w:tcPr>
            <w:tcW w:w="1038" w:type="dxa"/>
            <w:vAlign w:val="center"/>
            <w:hideMark/>
          </w:tcPr>
          <w:p w14:paraId="1DE00553" w14:textId="77777777" w:rsidR="00CA37AD" w:rsidRPr="004154A1" w:rsidRDefault="00CA37AD" w:rsidP="001E7124">
            <w:pPr>
              <w:rPr>
                <w:u w:val="single"/>
              </w:rPr>
            </w:pPr>
            <w:r w:rsidRPr="00026354">
              <w:t>Eurostat</w:t>
            </w:r>
          </w:p>
        </w:tc>
        <w:tc>
          <w:tcPr>
            <w:tcW w:w="862" w:type="dxa"/>
            <w:vAlign w:val="center"/>
            <w:hideMark/>
          </w:tcPr>
          <w:p w14:paraId="363915AC" w14:textId="77777777" w:rsidR="00CA37AD" w:rsidRPr="004154A1" w:rsidRDefault="00CA37AD" w:rsidP="001E7124">
            <w:r w:rsidRPr="004154A1">
              <w:t>MD</w:t>
            </w:r>
          </w:p>
        </w:tc>
      </w:tr>
      <w:tr w:rsidR="00CA37AD" w:rsidRPr="004154A1" w14:paraId="19455286" w14:textId="77777777" w:rsidTr="0025112E">
        <w:trPr>
          <w:trHeight w:val="288"/>
        </w:trPr>
        <w:tc>
          <w:tcPr>
            <w:tcW w:w="1980" w:type="dxa"/>
            <w:vMerge/>
            <w:vAlign w:val="center"/>
            <w:hideMark/>
          </w:tcPr>
          <w:p w14:paraId="1592E612" w14:textId="77777777" w:rsidR="00CA37AD" w:rsidRPr="004154A1" w:rsidRDefault="00CA37AD" w:rsidP="001E7124"/>
        </w:tc>
        <w:tc>
          <w:tcPr>
            <w:tcW w:w="4819" w:type="dxa"/>
            <w:vAlign w:val="center"/>
            <w:hideMark/>
          </w:tcPr>
          <w:p w14:paraId="3F90F42A" w14:textId="77777777" w:rsidR="00CA37AD" w:rsidRPr="004154A1" w:rsidRDefault="00CA37AD" w:rsidP="001E7124">
            <w:r w:rsidRPr="004154A1">
              <w:t>Železniční doprava – kapacita VRT</w:t>
            </w:r>
          </w:p>
        </w:tc>
        <w:tc>
          <w:tcPr>
            <w:tcW w:w="566" w:type="dxa"/>
            <w:vAlign w:val="center"/>
            <w:hideMark/>
          </w:tcPr>
          <w:p w14:paraId="36F3CEDE" w14:textId="77777777" w:rsidR="00CA37AD" w:rsidRPr="004154A1" w:rsidRDefault="00CA37AD" w:rsidP="001E7124">
            <w:r w:rsidRPr="004154A1">
              <w:t>20</w:t>
            </w:r>
          </w:p>
        </w:tc>
        <w:tc>
          <w:tcPr>
            <w:tcW w:w="712" w:type="dxa"/>
            <w:vAlign w:val="center"/>
            <w:hideMark/>
          </w:tcPr>
          <w:p w14:paraId="4253EBCC" w14:textId="77777777" w:rsidR="00CA37AD" w:rsidRPr="004154A1" w:rsidRDefault="00CA37AD" w:rsidP="001E7124">
            <w:r w:rsidRPr="004154A1">
              <w:t>2022</w:t>
            </w:r>
          </w:p>
        </w:tc>
        <w:tc>
          <w:tcPr>
            <w:tcW w:w="1038" w:type="dxa"/>
            <w:vAlign w:val="center"/>
            <w:hideMark/>
          </w:tcPr>
          <w:p w14:paraId="2889C016" w14:textId="77777777" w:rsidR="00CA37AD" w:rsidRPr="004154A1" w:rsidRDefault="00CA37AD" w:rsidP="001E7124">
            <w:pPr>
              <w:rPr>
                <w:u w:val="single"/>
              </w:rPr>
            </w:pPr>
            <w:r w:rsidRPr="00026354">
              <w:t>Eurostat</w:t>
            </w:r>
          </w:p>
        </w:tc>
        <w:tc>
          <w:tcPr>
            <w:tcW w:w="862" w:type="dxa"/>
            <w:vAlign w:val="center"/>
            <w:hideMark/>
          </w:tcPr>
          <w:p w14:paraId="479AD0B4" w14:textId="77777777" w:rsidR="00CA37AD" w:rsidRPr="004154A1" w:rsidRDefault="00CA37AD" w:rsidP="001E7124">
            <w:r w:rsidRPr="004154A1">
              <w:t>MD</w:t>
            </w:r>
          </w:p>
        </w:tc>
      </w:tr>
      <w:tr w:rsidR="00CA37AD" w:rsidRPr="004154A1" w14:paraId="041BC445" w14:textId="77777777" w:rsidTr="0025112E">
        <w:trPr>
          <w:trHeight w:val="300"/>
        </w:trPr>
        <w:tc>
          <w:tcPr>
            <w:tcW w:w="1980" w:type="dxa"/>
            <w:vMerge/>
            <w:vAlign w:val="center"/>
            <w:hideMark/>
          </w:tcPr>
          <w:p w14:paraId="137B9CF3" w14:textId="77777777" w:rsidR="00CA37AD" w:rsidRPr="004154A1" w:rsidRDefault="00CA37AD" w:rsidP="001E7124"/>
        </w:tc>
        <w:tc>
          <w:tcPr>
            <w:tcW w:w="4819" w:type="dxa"/>
            <w:vAlign w:val="center"/>
            <w:hideMark/>
          </w:tcPr>
          <w:p w14:paraId="0840C795" w14:textId="77777777" w:rsidR="00CA37AD" w:rsidRPr="004154A1" w:rsidRDefault="00CA37AD" w:rsidP="001E7124">
            <w:r w:rsidRPr="004154A1">
              <w:t>Počty nabíjecích stanic</w:t>
            </w:r>
          </w:p>
        </w:tc>
        <w:tc>
          <w:tcPr>
            <w:tcW w:w="566" w:type="dxa"/>
            <w:vAlign w:val="center"/>
            <w:hideMark/>
          </w:tcPr>
          <w:p w14:paraId="38356689" w14:textId="47B05D3F" w:rsidR="00CA37AD" w:rsidRPr="004154A1" w:rsidRDefault="00F96FB0" w:rsidP="001E7124">
            <w:r>
              <w:t>-</w:t>
            </w:r>
          </w:p>
        </w:tc>
        <w:tc>
          <w:tcPr>
            <w:tcW w:w="712" w:type="dxa"/>
            <w:vAlign w:val="center"/>
            <w:hideMark/>
          </w:tcPr>
          <w:p w14:paraId="73AB7394" w14:textId="57C81EA5" w:rsidR="00CA37AD" w:rsidRPr="004154A1" w:rsidRDefault="00CA37AD" w:rsidP="001E7124">
            <w:r>
              <w:t>2024</w:t>
            </w:r>
            <w:r w:rsidRPr="004154A1">
              <w:t> </w:t>
            </w:r>
          </w:p>
        </w:tc>
        <w:tc>
          <w:tcPr>
            <w:tcW w:w="1038" w:type="dxa"/>
            <w:vAlign w:val="center"/>
            <w:hideMark/>
          </w:tcPr>
          <w:p w14:paraId="137DDE7E" w14:textId="77777777" w:rsidR="00CA37AD" w:rsidRPr="004154A1" w:rsidRDefault="00CA37AD" w:rsidP="001E7124">
            <w:pPr>
              <w:rPr>
                <w:u w:val="single"/>
              </w:rPr>
            </w:pPr>
            <w:r w:rsidRPr="00026354">
              <w:t>MPO</w:t>
            </w:r>
          </w:p>
        </w:tc>
        <w:tc>
          <w:tcPr>
            <w:tcW w:w="862" w:type="dxa"/>
            <w:vAlign w:val="center"/>
            <w:hideMark/>
          </w:tcPr>
          <w:p w14:paraId="5ECD46A3" w14:textId="77777777" w:rsidR="00CA37AD" w:rsidRPr="004154A1" w:rsidRDefault="00CA37AD" w:rsidP="001E7124">
            <w:r w:rsidRPr="004154A1">
              <w:t>MPO</w:t>
            </w:r>
          </w:p>
        </w:tc>
      </w:tr>
      <w:tr w:rsidR="00CA37AD" w:rsidRPr="004154A1" w14:paraId="078378F3" w14:textId="77777777" w:rsidTr="0025112E">
        <w:trPr>
          <w:trHeight w:val="347"/>
        </w:trPr>
        <w:tc>
          <w:tcPr>
            <w:tcW w:w="1980" w:type="dxa"/>
            <w:vAlign w:val="center"/>
            <w:hideMark/>
          </w:tcPr>
          <w:p w14:paraId="38453181" w14:textId="1C2B9BCD" w:rsidR="00CA37AD" w:rsidRPr="004154A1" w:rsidRDefault="00CA37AD" w:rsidP="001E7124">
            <w:r w:rsidRPr="004154A1">
              <w:t>2.3 Digitální infrastruktura,</w:t>
            </w:r>
            <w:r w:rsidR="005D788E">
              <w:t xml:space="preserve"> e</w:t>
            </w:r>
            <w:r w:rsidRPr="004154A1">
              <w:t>konomika a společnost</w:t>
            </w:r>
          </w:p>
        </w:tc>
        <w:tc>
          <w:tcPr>
            <w:tcW w:w="4819" w:type="dxa"/>
            <w:vAlign w:val="center"/>
            <w:hideMark/>
          </w:tcPr>
          <w:p w14:paraId="518902AB" w14:textId="77777777" w:rsidR="00CA37AD" w:rsidRPr="004154A1" w:rsidRDefault="00CA37AD" w:rsidP="001E7124">
            <w:r w:rsidRPr="004154A1">
              <w:t>DESI index, část Konektivita</w:t>
            </w:r>
          </w:p>
        </w:tc>
        <w:tc>
          <w:tcPr>
            <w:tcW w:w="566" w:type="dxa"/>
            <w:vAlign w:val="center"/>
            <w:hideMark/>
          </w:tcPr>
          <w:p w14:paraId="10384E0A" w14:textId="77777777" w:rsidR="00CA37AD" w:rsidRPr="004154A1" w:rsidRDefault="00CA37AD" w:rsidP="001E7124">
            <w:r w:rsidRPr="004154A1">
              <w:t>14</w:t>
            </w:r>
          </w:p>
        </w:tc>
        <w:tc>
          <w:tcPr>
            <w:tcW w:w="712" w:type="dxa"/>
            <w:vAlign w:val="center"/>
            <w:hideMark/>
          </w:tcPr>
          <w:p w14:paraId="5B168908" w14:textId="77777777" w:rsidR="00CA37AD" w:rsidRPr="004154A1" w:rsidRDefault="00CA37AD" w:rsidP="001E7124">
            <w:r w:rsidRPr="004154A1">
              <w:t>2022</w:t>
            </w:r>
          </w:p>
        </w:tc>
        <w:tc>
          <w:tcPr>
            <w:tcW w:w="1038" w:type="dxa"/>
            <w:vAlign w:val="center"/>
            <w:hideMark/>
          </w:tcPr>
          <w:p w14:paraId="0A93E8FA" w14:textId="77777777" w:rsidR="00CA37AD" w:rsidRPr="004154A1" w:rsidRDefault="00CA37AD" w:rsidP="001E7124">
            <w:pPr>
              <w:rPr>
                <w:u w:val="single"/>
              </w:rPr>
            </w:pPr>
            <w:r w:rsidRPr="00026354">
              <w:t>Komise</w:t>
            </w:r>
          </w:p>
        </w:tc>
        <w:tc>
          <w:tcPr>
            <w:tcW w:w="862" w:type="dxa"/>
            <w:vAlign w:val="center"/>
            <w:hideMark/>
          </w:tcPr>
          <w:p w14:paraId="675D75F7" w14:textId="77777777" w:rsidR="00CA37AD" w:rsidRPr="004154A1" w:rsidRDefault="00CA37AD" w:rsidP="001E7124">
            <w:r w:rsidRPr="004154A1">
              <w:t>MPO</w:t>
            </w:r>
          </w:p>
        </w:tc>
      </w:tr>
      <w:tr w:rsidR="00CA37AD" w:rsidRPr="004154A1" w14:paraId="50BA2C34" w14:textId="77777777" w:rsidTr="0025112E">
        <w:trPr>
          <w:trHeight w:val="58"/>
        </w:trPr>
        <w:tc>
          <w:tcPr>
            <w:tcW w:w="1980" w:type="dxa"/>
            <w:vMerge w:val="restart"/>
            <w:vAlign w:val="center"/>
            <w:hideMark/>
          </w:tcPr>
          <w:p w14:paraId="59C3AB30" w14:textId="77777777" w:rsidR="00CA37AD" w:rsidRPr="004154A1" w:rsidRDefault="00CA37AD" w:rsidP="001E7124">
            <w:r w:rsidRPr="004154A1">
              <w:t>2.4 Ekonomická bezpečnost a obchodní strategie</w:t>
            </w:r>
          </w:p>
        </w:tc>
        <w:tc>
          <w:tcPr>
            <w:tcW w:w="4819" w:type="dxa"/>
            <w:vAlign w:val="center"/>
            <w:hideMark/>
          </w:tcPr>
          <w:p w14:paraId="428B3105" w14:textId="77777777" w:rsidR="00CA37AD" w:rsidRPr="004154A1" w:rsidRDefault="00CA37AD" w:rsidP="001E7124">
            <w:r w:rsidRPr="004154A1">
              <w:t>Podíl vládních výdajů na obranu</w:t>
            </w:r>
          </w:p>
        </w:tc>
        <w:tc>
          <w:tcPr>
            <w:tcW w:w="566" w:type="dxa"/>
            <w:vAlign w:val="center"/>
            <w:hideMark/>
          </w:tcPr>
          <w:p w14:paraId="70E46BD3" w14:textId="77777777" w:rsidR="00CA37AD" w:rsidRPr="004154A1" w:rsidRDefault="00CA37AD" w:rsidP="001E7124">
            <w:r w:rsidRPr="004154A1">
              <w:t>13</w:t>
            </w:r>
          </w:p>
        </w:tc>
        <w:tc>
          <w:tcPr>
            <w:tcW w:w="712" w:type="dxa"/>
            <w:vAlign w:val="center"/>
            <w:hideMark/>
          </w:tcPr>
          <w:p w14:paraId="060963C9" w14:textId="77777777" w:rsidR="00CA37AD" w:rsidRPr="004154A1" w:rsidRDefault="00CA37AD" w:rsidP="001E7124">
            <w:r w:rsidRPr="004154A1">
              <w:t>2024</w:t>
            </w:r>
          </w:p>
        </w:tc>
        <w:tc>
          <w:tcPr>
            <w:tcW w:w="1038" w:type="dxa"/>
            <w:vAlign w:val="center"/>
            <w:hideMark/>
          </w:tcPr>
          <w:p w14:paraId="3145B950" w14:textId="77777777" w:rsidR="00CA37AD" w:rsidRPr="004154A1" w:rsidRDefault="00CA37AD" w:rsidP="001E7124">
            <w:pPr>
              <w:rPr>
                <w:u w:val="single"/>
              </w:rPr>
            </w:pPr>
            <w:r w:rsidRPr="00026354">
              <w:t>NATO</w:t>
            </w:r>
          </w:p>
        </w:tc>
        <w:tc>
          <w:tcPr>
            <w:tcW w:w="862" w:type="dxa"/>
            <w:vAlign w:val="center"/>
            <w:hideMark/>
          </w:tcPr>
          <w:p w14:paraId="5AE2FABE" w14:textId="77777777" w:rsidR="00CA37AD" w:rsidRPr="004154A1" w:rsidRDefault="00CA37AD" w:rsidP="001E7124">
            <w:r w:rsidRPr="004154A1">
              <w:t>MPO</w:t>
            </w:r>
          </w:p>
        </w:tc>
      </w:tr>
      <w:tr w:rsidR="00CA37AD" w:rsidRPr="004154A1" w14:paraId="7A1598FF" w14:textId="77777777" w:rsidTr="0025112E">
        <w:trPr>
          <w:trHeight w:val="58"/>
        </w:trPr>
        <w:tc>
          <w:tcPr>
            <w:tcW w:w="1980" w:type="dxa"/>
            <w:vMerge/>
            <w:vAlign w:val="center"/>
            <w:hideMark/>
          </w:tcPr>
          <w:p w14:paraId="113EB749" w14:textId="77777777" w:rsidR="00CA37AD" w:rsidRPr="004154A1" w:rsidRDefault="00CA37AD" w:rsidP="001E7124"/>
        </w:tc>
        <w:tc>
          <w:tcPr>
            <w:tcW w:w="4819" w:type="dxa"/>
            <w:vAlign w:val="center"/>
            <w:hideMark/>
          </w:tcPr>
          <w:p w14:paraId="2E0A30AE" w14:textId="77777777" w:rsidR="00CA37AD" w:rsidRPr="004154A1" w:rsidRDefault="00CA37AD" w:rsidP="001E7124">
            <w:r w:rsidRPr="004154A1">
              <w:t>Podíl domácí přidané hodnoty v exportu</w:t>
            </w:r>
          </w:p>
        </w:tc>
        <w:tc>
          <w:tcPr>
            <w:tcW w:w="566" w:type="dxa"/>
            <w:vAlign w:val="center"/>
            <w:hideMark/>
          </w:tcPr>
          <w:p w14:paraId="57FA4FC9" w14:textId="77777777" w:rsidR="00CA37AD" w:rsidRPr="004154A1" w:rsidRDefault="00CA37AD" w:rsidP="001E7124">
            <w:r w:rsidRPr="004154A1">
              <w:t>16</w:t>
            </w:r>
          </w:p>
        </w:tc>
        <w:tc>
          <w:tcPr>
            <w:tcW w:w="712" w:type="dxa"/>
            <w:vAlign w:val="center"/>
            <w:hideMark/>
          </w:tcPr>
          <w:p w14:paraId="38D3C449" w14:textId="77777777" w:rsidR="00CA37AD" w:rsidRPr="004154A1" w:rsidRDefault="00CA37AD" w:rsidP="001E7124">
            <w:r w:rsidRPr="004154A1">
              <w:t>2020</w:t>
            </w:r>
          </w:p>
        </w:tc>
        <w:tc>
          <w:tcPr>
            <w:tcW w:w="1038" w:type="dxa"/>
            <w:vAlign w:val="center"/>
            <w:hideMark/>
          </w:tcPr>
          <w:p w14:paraId="2F1DFE6F" w14:textId="77777777" w:rsidR="00CA37AD" w:rsidRPr="004154A1" w:rsidRDefault="00CA37AD" w:rsidP="001E7124">
            <w:pPr>
              <w:rPr>
                <w:u w:val="single"/>
              </w:rPr>
            </w:pPr>
            <w:r w:rsidRPr="00026354">
              <w:t>OECD</w:t>
            </w:r>
          </w:p>
        </w:tc>
        <w:tc>
          <w:tcPr>
            <w:tcW w:w="862" w:type="dxa"/>
            <w:vAlign w:val="center"/>
            <w:hideMark/>
          </w:tcPr>
          <w:p w14:paraId="2CB6C0F7" w14:textId="77777777" w:rsidR="00CA37AD" w:rsidRPr="004154A1" w:rsidRDefault="00CA37AD" w:rsidP="001E7124">
            <w:r w:rsidRPr="004154A1">
              <w:t>MPO</w:t>
            </w:r>
          </w:p>
        </w:tc>
      </w:tr>
      <w:tr w:rsidR="00CA37AD" w:rsidRPr="004154A1" w14:paraId="1A0036FB" w14:textId="77777777" w:rsidTr="0025112E">
        <w:trPr>
          <w:trHeight w:val="58"/>
        </w:trPr>
        <w:tc>
          <w:tcPr>
            <w:tcW w:w="1980" w:type="dxa"/>
            <w:vAlign w:val="center"/>
            <w:hideMark/>
          </w:tcPr>
          <w:p w14:paraId="299B639A" w14:textId="77777777" w:rsidR="00CA37AD" w:rsidRPr="004154A1" w:rsidRDefault="00CA37AD" w:rsidP="001E7124">
            <w:r w:rsidRPr="004154A1">
              <w:t>2.5 Surovinová bezpečnost</w:t>
            </w:r>
          </w:p>
        </w:tc>
        <w:tc>
          <w:tcPr>
            <w:tcW w:w="4819" w:type="dxa"/>
            <w:vAlign w:val="center"/>
            <w:hideMark/>
          </w:tcPr>
          <w:p w14:paraId="4948D340" w14:textId="77777777" w:rsidR="00CA37AD" w:rsidRPr="004154A1" w:rsidRDefault="00CA37AD" w:rsidP="001E7124">
            <w:r w:rsidRPr="004154A1">
              <w:t>Objem spotřebovaných surovin na obyvatele</w:t>
            </w:r>
          </w:p>
        </w:tc>
        <w:tc>
          <w:tcPr>
            <w:tcW w:w="566" w:type="dxa"/>
            <w:vAlign w:val="center"/>
            <w:hideMark/>
          </w:tcPr>
          <w:p w14:paraId="09DD22F5" w14:textId="77777777" w:rsidR="00CA37AD" w:rsidRPr="004154A1" w:rsidRDefault="00CA37AD" w:rsidP="001E7124">
            <w:r w:rsidRPr="004154A1">
              <w:t>16</w:t>
            </w:r>
          </w:p>
        </w:tc>
        <w:tc>
          <w:tcPr>
            <w:tcW w:w="712" w:type="dxa"/>
            <w:vAlign w:val="center"/>
            <w:hideMark/>
          </w:tcPr>
          <w:p w14:paraId="0392C947" w14:textId="77777777" w:rsidR="00CA37AD" w:rsidRPr="004154A1" w:rsidRDefault="00CA37AD" w:rsidP="001E7124">
            <w:r w:rsidRPr="004154A1">
              <w:t>2022</w:t>
            </w:r>
          </w:p>
        </w:tc>
        <w:tc>
          <w:tcPr>
            <w:tcW w:w="1038" w:type="dxa"/>
            <w:vAlign w:val="center"/>
            <w:hideMark/>
          </w:tcPr>
          <w:p w14:paraId="31406C14" w14:textId="77777777" w:rsidR="00CA37AD" w:rsidRPr="004154A1" w:rsidRDefault="00CA37AD" w:rsidP="001E7124">
            <w:pPr>
              <w:rPr>
                <w:u w:val="single"/>
              </w:rPr>
            </w:pPr>
            <w:r w:rsidRPr="00026354">
              <w:t>Eurostat</w:t>
            </w:r>
          </w:p>
        </w:tc>
        <w:tc>
          <w:tcPr>
            <w:tcW w:w="862" w:type="dxa"/>
            <w:vAlign w:val="center"/>
            <w:hideMark/>
          </w:tcPr>
          <w:p w14:paraId="0F7F1974" w14:textId="77777777" w:rsidR="00CA37AD" w:rsidRPr="004154A1" w:rsidRDefault="00CA37AD" w:rsidP="001E7124">
            <w:r w:rsidRPr="004154A1">
              <w:t>MŽP</w:t>
            </w:r>
          </w:p>
        </w:tc>
      </w:tr>
      <w:tr w:rsidR="00CA37AD" w:rsidRPr="004154A1" w14:paraId="12E8FE70" w14:textId="77777777" w:rsidTr="0025112E">
        <w:trPr>
          <w:trHeight w:val="58"/>
        </w:trPr>
        <w:tc>
          <w:tcPr>
            <w:tcW w:w="1980" w:type="dxa"/>
            <w:vMerge w:val="restart"/>
            <w:vAlign w:val="center"/>
            <w:hideMark/>
          </w:tcPr>
          <w:p w14:paraId="154A0BBC" w14:textId="77777777" w:rsidR="00CA37AD" w:rsidRPr="004154A1" w:rsidRDefault="00CA37AD" w:rsidP="001E7124">
            <w:r w:rsidRPr="004154A1">
              <w:t>3. Industrializace s přidanou hodnotou</w:t>
            </w:r>
          </w:p>
        </w:tc>
        <w:tc>
          <w:tcPr>
            <w:tcW w:w="4819" w:type="dxa"/>
            <w:vAlign w:val="center"/>
            <w:hideMark/>
          </w:tcPr>
          <w:p w14:paraId="54B0E8E3" w14:textId="77777777" w:rsidR="00CA37AD" w:rsidRPr="004154A1" w:rsidRDefault="00CA37AD" w:rsidP="001E7124">
            <w:r w:rsidRPr="004154A1">
              <w:t>Podíl OSVČ, kteří mají zaměstnance v rámci segmentu OSVČ</w:t>
            </w:r>
          </w:p>
        </w:tc>
        <w:tc>
          <w:tcPr>
            <w:tcW w:w="566" w:type="dxa"/>
            <w:vAlign w:val="center"/>
            <w:hideMark/>
          </w:tcPr>
          <w:p w14:paraId="21E33225" w14:textId="77777777" w:rsidR="00CA37AD" w:rsidRPr="004154A1" w:rsidRDefault="00CA37AD" w:rsidP="001E7124">
            <w:r w:rsidRPr="004154A1">
              <w:t>26</w:t>
            </w:r>
          </w:p>
        </w:tc>
        <w:tc>
          <w:tcPr>
            <w:tcW w:w="712" w:type="dxa"/>
            <w:vAlign w:val="center"/>
            <w:hideMark/>
          </w:tcPr>
          <w:p w14:paraId="24077B94" w14:textId="77777777" w:rsidR="00CA37AD" w:rsidRPr="004154A1" w:rsidRDefault="00CA37AD" w:rsidP="001E7124">
            <w:r w:rsidRPr="004154A1">
              <w:t>2023</w:t>
            </w:r>
          </w:p>
        </w:tc>
        <w:tc>
          <w:tcPr>
            <w:tcW w:w="1038" w:type="dxa"/>
            <w:vAlign w:val="center"/>
            <w:hideMark/>
          </w:tcPr>
          <w:p w14:paraId="4E1C90D7" w14:textId="77777777" w:rsidR="00CA37AD" w:rsidRPr="004154A1" w:rsidRDefault="00CA37AD" w:rsidP="001E7124">
            <w:pPr>
              <w:rPr>
                <w:u w:val="single"/>
              </w:rPr>
            </w:pPr>
            <w:r w:rsidRPr="00026354">
              <w:t>Eurostat</w:t>
            </w:r>
          </w:p>
        </w:tc>
        <w:tc>
          <w:tcPr>
            <w:tcW w:w="862" w:type="dxa"/>
            <w:vAlign w:val="center"/>
            <w:hideMark/>
          </w:tcPr>
          <w:p w14:paraId="38ED6B29" w14:textId="77777777" w:rsidR="00CA37AD" w:rsidRDefault="00CA37AD" w:rsidP="001E7124">
            <w:r w:rsidRPr="004154A1">
              <w:t>MPO/</w:t>
            </w:r>
          </w:p>
          <w:p w14:paraId="0734E2AF" w14:textId="77777777" w:rsidR="00CA37AD" w:rsidRPr="004154A1" w:rsidRDefault="00CA37AD" w:rsidP="001E7124">
            <w:r w:rsidRPr="004154A1">
              <w:t>MPSV</w:t>
            </w:r>
          </w:p>
        </w:tc>
      </w:tr>
      <w:tr w:rsidR="00CA37AD" w:rsidRPr="004154A1" w14:paraId="33B2F630" w14:textId="77777777" w:rsidTr="0025112E">
        <w:trPr>
          <w:trHeight w:val="127"/>
        </w:trPr>
        <w:tc>
          <w:tcPr>
            <w:tcW w:w="1980" w:type="dxa"/>
            <w:vMerge/>
            <w:vAlign w:val="center"/>
            <w:hideMark/>
          </w:tcPr>
          <w:p w14:paraId="0F75BE45" w14:textId="77777777" w:rsidR="00CA37AD" w:rsidRPr="004154A1" w:rsidRDefault="00CA37AD" w:rsidP="001E7124"/>
        </w:tc>
        <w:tc>
          <w:tcPr>
            <w:tcW w:w="4819" w:type="dxa"/>
            <w:vAlign w:val="center"/>
            <w:hideMark/>
          </w:tcPr>
          <w:p w14:paraId="33111DA8" w14:textId="77777777" w:rsidR="00CA37AD" w:rsidRPr="004154A1" w:rsidRDefault="00CA37AD" w:rsidP="001E7124">
            <w:r w:rsidRPr="004154A1">
              <w:t>Podíl HTEC high-tech průmyslu a znalostně náročných služeb</w:t>
            </w:r>
          </w:p>
        </w:tc>
        <w:tc>
          <w:tcPr>
            <w:tcW w:w="566" w:type="dxa"/>
            <w:vAlign w:val="center"/>
            <w:hideMark/>
          </w:tcPr>
          <w:p w14:paraId="32AB7F89" w14:textId="77777777" w:rsidR="00CA37AD" w:rsidRPr="004154A1" w:rsidRDefault="00CA37AD" w:rsidP="001E7124">
            <w:r w:rsidRPr="004154A1">
              <w:t>10</w:t>
            </w:r>
          </w:p>
        </w:tc>
        <w:tc>
          <w:tcPr>
            <w:tcW w:w="712" w:type="dxa"/>
            <w:vAlign w:val="center"/>
            <w:hideMark/>
          </w:tcPr>
          <w:p w14:paraId="78488BE0" w14:textId="77777777" w:rsidR="00CA37AD" w:rsidRPr="004154A1" w:rsidRDefault="00CA37AD" w:rsidP="001E7124">
            <w:r w:rsidRPr="004154A1">
              <w:t>2023</w:t>
            </w:r>
          </w:p>
        </w:tc>
        <w:tc>
          <w:tcPr>
            <w:tcW w:w="1038" w:type="dxa"/>
            <w:vAlign w:val="center"/>
            <w:hideMark/>
          </w:tcPr>
          <w:p w14:paraId="122AF9CD" w14:textId="77777777" w:rsidR="00CA37AD" w:rsidRPr="004154A1" w:rsidRDefault="00CA37AD" w:rsidP="001E7124">
            <w:pPr>
              <w:rPr>
                <w:u w:val="single"/>
              </w:rPr>
            </w:pPr>
            <w:r w:rsidRPr="00026354">
              <w:t>Eurostat</w:t>
            </w:r>
          </w:p>
        </w:tc>
        <w:tc>
          <w:tcPr>
            <w:tcW w:w="862" w:type="dxa"/>
            <w:vAlign w:val="center"/>
            <w:hideMark/>
          </w:tcPr>
          <w:p w14:paraId="15BDF6D5" w14:textId="77777777" w:rsidR="00CA37AD" w:rsidRPr="004154A1" w:rsidRDefault="00CA37AD" w:rsidP="001E7124">
            <w:r w:rsidRPr="004154A1">
              <w:t>MPO</w:t>
            </w:r>
          </w:p>
        </w:tc>
      </w:tr>
    </w:tbl>
    <w:p w14:paraId="5BE6E4C5" w14:textId="29D6C2AB" w:rsidR="00CA37AD" w:rsidRDefault="00CA37AD" w:rsidP="00346AF5">
      <w:pPr>
        <w:pStyle w:val="Text"/>
        <w:sectPr w:rsidR="00CA37AD" w:rsidSect="00B94A20">
          <w:headerReference w:type="default" r:id="rId63"/>
          <w:endnotePr>
            <w:numFmt w:val="decimal"/>
          </w:endnotePr>
          <w:type w:val="continuous"/>
          <w:pgSz w:w="11906" w:h="16838"/>
          <w:pgMar w:top="1134" w:right="992" w:bottom="1134" w:left="992" w:header="709" w:footer="709" w:gutter="0"/>
          <w:cols w:space="708"/>
          <w:docGrid w:linePitch="360"/>
        </w:sectPr>
      </w:pPr>
    </w:p>
    <w:p w14:paraId="703923C2" w14:textId="7EE84452" w:rsidR="003E7896" w:rsidRPr="00596B93" w:rsidRDefault="003E7896" w:rsidP="003E7896">
      <w:pPr>
        <w:spacing w:after="0"/>
        <w:rPr>
          <w:rFonts w:ascii="Calibri" w:eastAsia="Times New Roman" w:hAnsi="Calibri" w:cs="Calibri"/>
          <w:b/>
          <w:bCs/>
          <w:color w:val="000000"/>
          <w:sz w:val="24"/>
          <w:szCs w:val="24"/>
          <w:lang w:eastAsia="cs-CZ"/>
        </w:rPr>
      </w:pPr>
      <w:r w:rsidRPr="00596B93">
        <w:rPr>
          <w:rFonts w:ascii="Calibri" w:eastAsia="Times New Roman" w:hAnsi="Calibri" w:cs="Calibri"/>
          <w:b/>
          <w:bCs/>
          <w:color w:val="000000"/>
          <w:sz w:val="24"/>
          <w:szCs w:val="24"/>
          <w:lang w:eastAsia="cs-CZ"/>
        </w:rPr>
        <w:lastRenderedPageBreak/>
        <w:t xml:space="preserve">Seznam všech sledovaných indikátorů </w:t>
      </w:r>
    </w:p>
    <w:tbl>
      <w:tblPr>
        <w:tblW w:w="0" w:type="auto"/>
        <w:tblLayout w:type="fixed"/>
        <w:tblCellMar>
          <w:left w:w="70" w:type="dxa"/>
          <w:right w:w="70" w:type="dxa"/>
        </w:tblCellMar>
        <w:tblLook w:val="04A0" w:firstRow="1" w:lastRow="0" w:firstColumn="1" w:lastColumn="0" w:noHBand="0" w:noVBand="1"/>
      </w:tblPr>
      <w:tblGrid>
        <w:gridCol w:w="1408"/>
        <w:gridCol w:w="1134"/>
        <w:gridCol w:w="7087"/>
        <w:gridCol w:w="1134"/>
        <w:gridCol w:w="1418"/>
        <w:gridCol w:w="850"/>
        <w:gridCol w:w="1519"/>
      </w:tblGrid>
      <w:tr w:rsidR="00CA37AD" w:rsidRPr="0043589D" w14:paraId="18134FF3" w14:textId="77777777" w:rsidTr="007C679A">
        <w:trPr>
          <w:trHeight w:val="123"/>
          <w:tblHeader/>
        </w:trPr>
        <w:tc>
          <w:tcPr>
            <w:tcW w:w="1408" w:type="dxa"/>
            <w:tcBorders>
              <w:top w:val="single" w:sz="4" w:space="0" w:color="auto"/>
              <w:left w:val="single" w:sz="8" w:space="0" w:color="auto"/>
              <w:bottom w:val="nil"/>
              <w:right w:val="single" w:sz="4" w:space="0" w:color="auto"/>
            </w:tcBorders>
            <w:shd w:val="clear" w:color="000000" w:fill="13B5EA"/>
            <w:vAlign w:val="center"/>
            <w:hideMark/>
          </w:tcPr>
          <w:p w14:paraId="7EA7C2A8" w14:textId="77777777" w:rsidR="00CA37AD" w:rsidRPr="0043589D" w:rsidRDefault="00CA37AD" w:rsidP="001E7124">
            <w:pPr>
              <w:spacing w:after="0"/>
              <w:jc w:val="center"/>
              <w:rPr>
                <w:rFonts w:ascii="Calibri" w:eastAsia="Times New Roman" w:hAnsi="Calibri" w:cs="Calibri"/>
                <w:b/>
                <w:bCs/>
                <w:color w:val="000000"/>
                <w:lang w:eastAsia="cs-CZ"/>
              </w:rPr>
            </w:pPr>
            <w:r w:rsidRPr="0043589D">
              <w:rPr>
                <w:rFonts w:ascii="Calibri" w:eastAsia="Times New Roman" w:hAnsi="Calibri" w:cs="Calibri"/>
                <w:b/>
                <w:bCs/>
                <w:color w:val="000000"/>
                <w:lang w:eastAsia="cs-CZ"/>
              </w:rPr>
              <w:t>Oblast</w:t>
            </w:r>
          </w:p>
        </w:tc>
        <w:tc>
          <w:tcPr>
            <w:tcW w:w="1134" w:type="dxa"/>
            <w:tcBorders>
              <w:top w:val="single" w:sz="4" w:space="0" w:color="auto"/>
              <w:left w:val="single" w:sz="8" w:space="0" w:color="auto"/>
              <w:bottom w:val="nil"/>
              <w:right w:val="single" w:sz="4" w:space="0" w:color="auto"/>
            </w:tcBorders>
            <w:shd w:val="clear" w:color="000000" w:fill="13B5EA"/>
            <w:vAlign w:val="center"/>
            <w:hideMark/>
          </w:tcPr>
          <w:p w14:paraId="04E39F72" w14:textId="168BF79D" w:rsidR="00CA37AD" w:rsidRPr="0043589D" w:rsidRDefault="00CA37AD" w:rsidP="001E7124">
            <w:pPr>
              <w:spacing w:after="0"/>
              <w:jc w:val="center"/>
              <w:rPr>
                <w:rFonts w:ascii="Calibri" w:eastAsia="Times New Roman" w:hAnsi="Calibri" w:cs="Calibri"/>
                <w:b/>
                <w:bCs/>
                <w:color w:val="000000"/>
                <w:lang w:eastAsia="cs-CZ"/>
              </w:rPr>
            </w:pPr>
            <w:r w:rsidRPr="0043589D">
              <w:rPr>
                <w:rFonts w:ascii="Calibri" w:eastAsia="Times New Roman" w:hAnsi="Calibri" w:cs="Calibri"/>
                <w:b/>
                <w:bCs/>
                <w:color w:val="000000"/>
                <w:lang w:eastAsia="cs-CZ"/>
              </w:rPr>
              <w:t>Význam</w:t>
            </w:r>
          </w:p>
        </w:tc>
        <w:tc>
          <w:tcPr>
            <w:tcW w:w="7087" w:type="dxa"/>
            <w:tcBorders>
              <w:top w:val="single" w:sz="4" w:space="0" w:color="auto"/>
              <w:left w:val="nil"/>
              <w:bottom w:val="nil"/>
              <w:right w:val="single" w:sz="4" w:space="0" w:color="auto"/>
            </w:tcBorders>
            <w:shd w:val="clear" w:color="000000" w:fill="13B5EA"/>
            <w:vAlign w:val="center"/>
            <w:hideMark/>
          </w:tcPr>
          <w:p w14:paraId="2B6887FF" w14:textId="77777777" w:rsidR="00CA37AD" w:rsidRPr="0043589D" w:rsidRDefault="00CA37AD" w:rsidP="001E7124">
            <w:pPr>
              <w:spacing w:after="0"/>
              <w:jc w:val="center"/>
              <w:rPr>
                <w:rFonts w:ascii="Calibri" w:eastAsia="Times New Roman" w:hAnsi="Calibri" w:cs="Calibri"/>
                <w:b/>
                <w:bCs/>
                <w:color w:val="000000"/>
                <w:lang w:eastAsia="cs-CZ"/>
              </w:rPr>
            </w:pPr>
            <w:r w:rsidRPr="0043589D">
              <w:rPr>
                <w:rFonts w:ascii="Calibri" w:eastAsia="Times New Roman" w:hAnsi="Calibri" w:cs="Calibri"/>
                <w:b/>
                <w:bCs/>
                <w:color w:val="000000"/>
                <w:lang w:eastAsia="cs-CZ"/>
              </w:rPr>
              <w:t>Název</w:t>
            </w:r>
          </w:p>
        </w:tc>
        <w:tc>
          <w:tcPr>
            <w:tcW w:w="1134" w:type="dxa"/>
            <w:tcBorders>
              <w:top w:val="single" w:sz="4" w:space="0" w:color="auto"/>
              <w:left w:val="nil"/>
              <w:bottom w:val="nil"/>
              <w:right w:val="single" w:sz="4" w:space="0" w:color="auto"/>
            </w:tcBorders>
            <w:shd w:val="clear" w:color="000000" w:fill="13B5EA"/>
            <w:vAlign w:val="center"/>
            <w:hideMark/>
          </w:tcPr>
          <w:p w14:paraId="64360239" w14:textId="77777777" w:rsidR="00CA37AD" w:rsidRPr="0043589D" w:rsidRDefault="00CA37AD" w:rsidP="001E7124">
            <w:pPr>
              <w:spacing w:after="0"/>
              <w:jc w:val="center"/>
              <w:rPr>
                <w:rFonts w:ascii="Calibri" w:eastAsia="Times New Roman" w:hAnsi="Calibri" w:cs="Calibri"/>
                <w:b/>
                <w:bCs/>
                <w:color w:val="000000"/>
                <w:lang w:eastAsia="cs-CZ"/>
              </w:rPr>
            </w:pPr>
            <w:proofErr w:type="spellStart"/>
            <w:r w:rsidRPr="0043589D">
              <w:rPr>
                <w:rFonts w:ascii="Calibri" w:eastAsia="Times New Roman" w:hAnsi="Calibri" w:cs="Calibri"/>
                <w:b/>
                <w:bCs/>
                <w:color w:val="000000"/>
                <w:lang w:eastAsia="cs-CZ"/>
              </w:rPr>
              <w:t>Jedn</w:t>
            </w:r>
            <w:proofErr w:type="spellEnd"/>
            <w:r w:rsidRPr="0043589D">
              <w:rPr>
                <w:rFonts w:ascii="Calibri" w:eastAsia="Times New Roman" w:hAnsi="Calibri" w:cs="Calibri"/>
                <w:b/>
                <w:bCs/>
                <w:color w:val="000000"/>
                <w:lang w:eastAsia="cs-CZ"/>
              </w:rPr>
              <w:t>.</w:t>
            </w:r>
          </w:p>
        </w:tc>
        <w:tc>
          <w:tcPr>
            <w:tcW w:w="1418" w:type="dxa"/>
            <w:tcBorders>
              <w:top w:val="single" w:sz="4" w:space="0" w:color="auto"/>
              <w:left w:val="nil"/>
              <w:bottom w:val="single" w:sz="8" w:space="0" w:color="auto"/>
              <w:right w:val="single" w:sz="4" w:space="0" w:color="auto"/>
            </w:tcBorders>
            <w:shd w:val="clear" w:color="000000" w:fill="13B5EA"/>
            <w:vAlign w:val="center"/>
            <w:hideMark/>
          </w:tcPr>
          <w:p w14:paraId="07003494" w14:textId="77777777" w:rsidR="00CA37AD" w:rsidRPr="0043589D" w:rsidRDefault="00CA37AD" w:rsidP="001E7124">
            <w:pPr>
              <w:spacing w:after="0"/>
              <w:jc w:val="center"/>
              <w:rPr>
                <w:rFonts w:ascii="Calibri" w:eastAsia="Times New Roman" w:hAnsi="Calibri" w:cs="Calibri"/>
                <w:b/>
                <w:bCs/>
                <w:color w:val="000000"/>
                <w:lang w:eastAsia="cs-CZ"/>
              </w:rPr>
            </w:pPr>
            <w:r w:rsidRPr="0043589D">
              <w:rPr>
                <w:rFonts w:ascii="Calibri" w:eastAsia="Times New Roman" w:hAnsi="Calibri" w:cs="Calibri"/>
                <w:b/>
                <w:bCs/>
                <w:color w:val="000000"/>
                <w:lang w:eastAsia="cs-CZ"/>
              </w:rPr>
              <w:t xml:space="preserve">Hodnota </w:t>
            </w:r>
          </w:p>
        </w:tc>
        <w:tc>
          <w:tcPr>
            <w:tcW w:w="850" w:type="dxa"/>
            <w:tcBorders>
              <w:top w:val="nil"/>
              <w:left w:val="nil"/>
              <w:bottom w:val="nil"/>
              <w:right w:val="single" w:sz="4" w:space="0" w:color="auto"/>
            </w:tcBorders>
            <w:shd w:val="clear" w:color="000000" w:fill="13B5EA"/>
            <w:vAlign w:val="center"/>
            <w:hideMark/>
          </w:tcPr>
          <w:p w14:paraId="2DEDCC83" w14:textId="77777777" w:rsidR="00CA37AD" w:rsidRPr="0043589D" w:rsidRDefault="00CA37AD" w:rsidP="001E7124">
            <w:pPr>
              <w:spacing w:after="0"/>
              <w:jc w:val="center"/>
              <w:rPr>
                <w:rFonts w:ascii="Calibri" w:eastAsia="Times New Roman" w:hAnsi="Calibri" w:cs="Calibri"/>
                <w:b/>
                <w:bCs/>
                <w:color w:val="000000"/>
                <w:lang w:eastAsia="cs-CZ"/>
              </w:rPr>
            </w:pPr>
            <w:r w:rsidRPr="0043589D">
              <w:rPr>
                <w:rFonts w:ascii="Calibri" w:eastAsia="Times New Roman" w:hAnsi="Calibri" w:cs="Calibri"/>
                <w:b/>
                <w:bCs/>
                <w:color w:val="000000"/>
                <w:lang w:eastAsia="cs-CZ"/>
              </w:rPr>
              <w:t>Rok</w:t>
            </w:r>
          </w:p>
        </w:tc>
        <w:tc>
          <w:tcPr>
            <w:tcW w:w="1519" w:type="dxa"/>
            <w:tcBorders>
              <w:top w:val="nil"/>
              <w:left w:val="nil"/>
              <w:bottom w:val="nil"/>
              <w:right w:val="single" w:sz="8" w:space="0" w:color="auto"/>
            </w:tcBorders>
            <w:shd w:val="clear" w:color="000000" w:fill="13B5EA"/>
            <w:vAlign w:val="center"/>
            <w:hideMark/>
          </w:tcPr>
          <w:p w14:paraId="16CB80A7" w14:textId="77777777" w:rsidR="00CA37AD" w:rsidRPr="0043589D" w:rsidRDefault="00CA37AD" w:rsidP="001E7124">
            <w:pPr>
              <w:spacing w:after="0"/>
              <w:jc w:val="center"/>
              <w:rPr>
                <w:rFonts w:ascii="Calibri" w:eastAsia="Times New Roman" w:hAnsi="Calibri" w:cs="Calibri"/>
                <w:b/>
                <w:bCs/>
                <w:color w:val="000000"/>
                <w:lang w:eastAsia="cs-CZ"/>
              </w:rPr>
            </w:pPr>
            <w:r w:rsidRPr="0043589D">
              <w:rPr>
                <w:rFonts w:ascii="Calibri" w:eastAsia="Times New Roman" w:hAnsi="Calibri" w:cs="Calibri"/>
                <w:b/>
                <w:bCs/>
                <w:color w:val="000000"/>
                <w:lang w:eastAsia="cs-CZ"/>
              </w:rPr>
              <w:t>Zdroj</w:t>
            </w:r>
          </w:p>
        </w:tc>
      </w:tr>
      <w:tr w:rsidR="00CA37AD" w:rsidRPr="0043589D" w14:paraId="2EA7C4DD" w14:textId="77777777" w:rsidTr="003C5F13">
        <w:trPr>
          <w:trHeight w:val="312"/>
        </w:trPr>
        <w:tc>
          <w:tcPr>
            <w:tcW w:w="1408"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14:paraId="37EEE97B" w14:textId="77777777" w:rsidR="00CA37AD" w:rsidRPr="0043589D" w:rsidRDefault="00CA37AD" w:rsidP="001E7124">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Strategie</w:t>
            </w:r>
          </w:p>
        </w:tc>
        <w:tc>
          <w:tcPr>
            <w:tcW w:w="1134" w:type="dxa"/>
            <w:tcBorders>
              <w:top w:val="single" w:sz="8" w:space="0" w:color="auto"/>
              <w:left w:val="nil"/>
              <w:bottom w:val="single" w:sz="4" w:space="0" w:color="auto"/>
              <w:right w:val="single" w:sz="4" w:space="0" w:color="auto"/>
            </w:tcBorders>
            <w:shd w:val="clear" w:color="000000" w:fill="9999FF"/>
            <w:vAlign w:val="center"/>
            <w:hideMark/>
          </w:tcPr>
          <w:p w14:paraId="637FE31B" w14:textId="77777777" w:rsidR="00CA37AD" w:rsidRPr="0043589D" w:rsidRDefault="00CA37AD" w:rsidP="001E7124">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Vrcholový</w:t>
            </w:r>
          </w:p>
        </w:tc>
        <w:tc>
          <w:tcPr>
            <w:tcW w:w="7087" w:type="dxa"/>
            <w:tcBorders>
              <w:top w:val="single" w:sz="8" w:space="0" w:color="auto"/>
              <w:left w:val="nil"/>
              <w:bottom w:val="single" w:sz="4" w:space="0" w:color="auto"/>
              <w:right w:val="single" w:sz="4" w:space="0" w:color="auto"/>
            </w:tcBorders>
            <w:shd w:val="clear" w:color="auto" w:fill="auto"/>
            <w:noWrap/>
            <w:vAlign w:val="center"/>
            <w:hideMark/>
          </w:tcPr>
          <w:p w14:paraId="3C387154" w14:textId="5E6AE1B5"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 xml:space="preserve">HDP </w:t>
            </w:r>
            <w:r w:rsidR="00A42BBA" w:rsidRPr="0043589D">
              <w:rPr>
                <w:rFonts w:ascii="Calibri" w:eastAsia="Times New Roman" w:hAnsi="Calibri" w:cs="Calibri"/>
                <w:color w:val="auto"/>
                <w:lang w:eastAsia="cs-CZ"/>
              </w:rPr>
              <w:t>na obyvatele</w:t>
            </w:r>
            <w:r w:rsidRPr="0043589D">
              <w:rPr>
                <w:rFonts w:ascii="Calibri" w:eastAsia="Times New Roman" w:hAnsi="Calibri" w:cs="Calibri"/>
                <w:color w:val="auto"/>
                <w:lang w:eastAsia="cs-CZ"/>
              </w:rPr>
              <w:t xml:space="preserve"> </w:t>
            </w:r>
            <w:r w:rsidR="00BC2E34" w:rsidRPr="0043589D">
              <w:rPr>
                <w:rFonts w:ascii="Calibri" w:eastAsia="Times New Roman" w:hAnsi="Calibri" w:cs="Calibri"/>
                <w:color w:val="auto"/>
                <w:lang w:eastAsia="cs-CZ"/>
              </w:rPr>
              <w:t>v</w:t>
            </w:r>
            <w:r w:rsidR="00A42BBA" w:rsidRPr="0043589D">
              <w:rPr>
                <w:rFonts w:ascii="Calibri" w:eastAsia="Times New Roman" w:hAnsi="Calibri" w:cs="Calibri"/>
                <w:color w:val="auto"/>
                <w:lang w:eastAsia="cs-CZ"/>
              </w:rPr>
              <w:t>e</w:t>
            </w:r>
            <w:r w:rsidR="00BC2E34" w:rsidRPr="0043589D">
              <w:rPr>
                <w:rFonts w:ascii="Calibri" w:eastAsia="Times New Roman" w:hAnsi="Calibri" w:cs="Calibri"/>
                <w:color w:val="auto"/>
                <w:lang w:eastAsia="cs-CZ"/>
              </w:rPr>
              <w:t> </w:t>
            </w:r>
            <w:r w:rsidR="00A42BBA" w:rsidRPr="0043589D">
              <w:rPr>
                <w:rFonts w:ascii="Calibri" w:eastAsia="Times New Roman" w:hAnsi="Calibri" w:cs="Calibri"/>
                <w:color w:val="auto"/>
                <w:lang w:eastAsia="cs-CZ"/>
              </w:rPr>
              <w:t xml:space="preserve">standardu kupní síly </w:t>
            </w:r>
            <w:r w:rsidRPr="0043589D">
              <w:rPr>
                <w:rFonts w:ascii="Calibri" w:eastAsia="Times New Roman" w:hAnsi="Calibri" w:cs="Calibri"/>
                <w:color w:val="auto"/>
                <w:lang w:eastAsia="cs-CZ"/>
              </w:rPr>
              <w:t>(index EU=100)</w:t>
            </w:r>
          </w:p>
        </w:tc>
        <w:tc>
          <w:tcPr>
            <w:tcW w:w="1134" w:type="dxa"/>
            <w:tcBorders>
              <w:top w:val="single" w:sz="8" w:space="0" w:color="auto"/>
              <w:left w:val="nil"/>
              <w:bottom w:val="single" w:sz="4" w:space="0" w:color="auto"/>
              <w:right w:val="single" w:sz="4" w:space="0" w:color="auto"/>
            </w:tcBorders>
            <w:shd w:val="clear" w:color="auto" w:fill="auto"/>
            <w:vAlign w:val="center"/>
            <w:hideMark/>
          </w:tcPr>
          <w:p w14:paraId="5C607A48"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index</w:t>
            </w:r>
          </w:p>
        </w:tc>
        <w:tc>
          <w:tcPr>
            <w:tcW w:w="1418" w:type="dxa"/>
            <w:tcBorders>
              <w:top w:val="nil"/>
              <w:left w:val="nil"/>
              <w:bottom w:val="single" w:sz="4" w:space="0" w:color="auto"/>
              <w:right w:val="single" w:sz="4" w:space="0" w:color="auto"/>
            </w:tcBorders>
            <w:shd w:val="clear" w:color="auto" w:fill="auto"/>
            <w:hideMark/>
          </w:tcPr>
          <w:p w14:paraId="7C400308" w14:textId="77777777" w:rsidR="00CA37AD" w:rsidRPr="0043589D" w:rsidRDefault="00CA37AD"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91</w:t>
            </w:r>
          </w:p>
        </w:tc>
        <w:tc>
          <w:tcPr>
            <w:tcW w:w="850" w:type="dxa"/>
            <w:tcBorders>
              <w:top w:val="single" w:sz="8" w:space="0" w:color="auto"/>
              <w:left w:val="nil"/>
              <w:bottom w:val="single" w:sz="4" w:space="0" w:color="auto"/>
              <w:right w:val="single" w:sz="4" w:space="0" w:color="auto"/>
            </w:tcBorders>
            <w:shd w:val="clear" w:color="auto" w:fill="auto"/>
            <w:vAlign w:val="center"/>
            <w:hideMark/>
          </w:tcPr>
          <w:p w14:paraId="3EC132CE"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2023</w:t>
            </w:r>
          </w:p>
        </w:tc>
        <w:tc>
          <w:tcPr>
            <w:tcW w:w="1519" w:type="dxa"/>
            <w:tcBorders>
              <w:top w:val="single" w:sz="8" w:space="0" w:color="auto"/>
              <w:left w:val="nil"/>
              <w:bottom w:val="single" w:sz="4" w:space="0" w:color="auto"/>
              <w:right w:val="single" w:sz="8" w:space="0" w:color="auto"/>
            </w:tcBorders>
            <w:shd w:val="clear" w:color="auto" w:fill="auto"/>
            <w:hideMark/>
          </w:tcPr>
          <w:p w14:paraId="14C6EE11" w14:textId="77777777" w:rsidR="00CA37AD" w:rsidRPr="0043589D" w:rsidRDefault="00CA37AD" w:rsidP="001E7124">
            <w:pPr>
              <w:spacing w:after="0"/>
              <w:jc w:val="left"/>
              <w:rPr>
                <w:rFonts w:ascii="Calibri" w:eastAsia="Times New Roman" w:hAnsi="Calibri" w:cs="Calibri"/>
                <w:color w:val="auto"/>
                <w:u w:val="single"/>
                <w:lang w:eastAsia="cs-CZ"/>
              </w:rPr>
            </w:pPr>
            <w:r w:rsidRPr="0043589D">
              <w:rPr>
                <w:color w:val="auto"/>
              </w:rPr>
              <w:t>Eurostat</w:t>
            </w:r>
          </w:p>
        </w:tc>
      </w:tr>
      <w:tr w:rsidR="00CA37AD" w:rsidRPr="0043589D" w14:paraId="7F20838E" w14:textId="77777777" w:rsidTr="003C5F13">
        <w:trPr>
          <w:trHeight w:val="300"/>
        </w:trPr>
        <w:tc>
          <w:tcPr>
            <w:tcW w:w="1408" w:type="dxa"/>
            <w:vMerge/>
            <w:tcBorders>
              <w:top w:val="single" w:sz="8" w:space="0" w:color="auto"/>
              <w:left w:val="single" w:sz="8" w:space="0" w:color="auto"/>
              <w:bottom w:val="single" w:sz="8" w:space="0" w:color="000000"/>
              <w:right w:val="single" w:sz="8" w:space="0" w:color="auto"/>
            </w:tcBorders>
            <w:vAlign w:val="center"/>
            <w:hideMark/>
          </w:tcPr>
          <w:p w14:paraId="75381F15" w14:textId="77777777" w:rsidR="00CA37AD" w:rsidRPr="0043589D" w:rsidRDefault="00CA37AD" w:rsidP="001E7124">
            <w:pPr>
              <w:spacing w:after="0"/>
              <w:jc w:val="left"/>
              <w:rPr>
                <w:rFonts w:ascii="Calibri" w:eastAsia="Times New Roman" w:hAnsi="Calibri" w:cs="Calibri"/>
                <w:color w:val="auto"/>
                <w:lang w:eastAsia="cs-CZ"/>
              </w:rPr>
            </w:pPr>
          </w:p>
        </w:tc>
        <w:tc>
          <w:tcPr>
            <w:tcW w:w="1134" w:type="dxa"/>
            <w:tcBorders>
              <w:top w:val="nil"/>
              <w:left w:val="nil"/>
              <w:bottom w:val="single" w:sz="4" w:space="0" w:color="auto"/>
              <w:right w:val="single" w:sz="4" w:space="0" w:color="auto"/>
            </w:tcBorders>
            <w:shd w:val="clear" w:color="000000" w:fill="FFFFCC"/>
            <w:hideMark/>
          </w:tcPr>
          <w:p w14:paraId="050D6FCE" w14:textId="77777777" w:rsidR="00CA37AD" w:rsidRPr="0043589D" w:rsidRDefault="00CA37AD" w:rsidP="001E7124">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Obecný</w:t>
            </w:r>
          </w:p>
        </w:tc>
        <w:tc>
          <w:tcPr>
            <w:tcW w:w="7087" w:type="dxa"/>
            <w:tcBorders>
              <w:top w:val="nil"/>
              <w:left w:val="nil"/>
              <w:bottom w:val="single" w:sz="4" w:space="0" w:color="auto"/>
              <w:right w:val="single" w:sz="4" w:space="0" w:color="auto"/>
            </w:tcBorders>
            <w:shd w:val="clear" w:color="auto" w:fill="auto"/>
            <w:hideMark/>
          </w:tcPr>
          <w:p w14:paraId="6F86D905" w14:textId="77777777" w:rsidR="00CA37AD" w:rsidRPr="0043589D" w:rsidRDefault="00CA37AD" w:rsidP="001E7124">
            <w:pPr>
              <w:spacing w:after="0"/>
              <w:jc w:val="left"/>
              <w:rPr>
                <w:rFonts w:ascii="Calibri" w:eastAsia="Times New Roman" w:hAnsi="Calibri" w:cs="Calibri"/>
                <w:color w:val="auto"/>
                <w:lang w:eastAsia="cs-CZ"/>
              </w:rPr>
            </w:pPr>
            <w:proofErr w:type="spellStart"/>
            <w:r w:rsidRPr="0043589D">
              <w:rPr>
                <w:rFonts w:ascii="Calibri" w:eastAsia="Times New Roman" w:hAnsi="Calibri" w:cs="Calibri"/>
                <w:color w:val="auto"/>
                <w:lang w:eastAsia="cs-CZ"/>
              </w:rPr>
              <w:t>European</w:t>
            </w:r>
            <w:proofErr w:type="spellEnd"/>
            <w:r w:rsidRPr="0043589D">
              <w:rPr>
                <w:rFonts w:ascii="Calibri" w:eastAsia="Times New Roman" w:hAnsi="Calibri" w:cs="Calibri"/>
                <w:color w:val="auto"/>
                <w:lang w:eastAsia="cs-CZ"/>
              </w:rPr>
              <w:t xml:space="preserve"> </w:t>
            </w:r>
            <w:proofErr w:type="spellStart"/>
            <w:r w:rsidRPr="0043589D">
              <w:rPr>
                <w:rFonts w:ascii="Calibri" w:eastAsia="Times New Roman" w:hAnsi="Calibri" w:cs="Calibri"/>
                <w:color w:val="auto"/>
                <w:lang w:eastAsia="cs-CZ"/>
              </w:rPr>
              <w:t>Commission</w:t>
            </w:r>
            <w:proofErr w:type="spellEnd"/>
            <w:r w:rsidRPr="0043589D">
              <w:rPr>
                <w:rFonts w:ascii="Calibri" w:eastAsia="Times New Roman" w:hAnsi="Calibri" w:cs="Calibri"/>
                <w:color w:val="auto"/>
                <w:lang w:eastAsia="cs-CZ"/>
              </w:rPr>
              <w:t xml:space="preserve"> konvergenční (Maastrichtská) kritéria, plnění</w:t>
            </w:r>
          </w:p>
        </w:tc>
        <w:tc>
          <w:tcPr>
            <w:tcW w:w="1134" w:type="dxa"/>
            <w:tcBorders>
              <w:top w:val="nil"/>
              <w:left w:val="nil"/>
              <w:bottom w:val="single" w:sz="4" w:space="0" w:color="auto"/>
              <w:right w:val="single" w:sz="4" w:space="0" w:color="auto"/>
            </w:tcBorders>
            <w:shd w:val="clear" w:color="auto" w:fill="auto"/>
            <w:hideMark/>
          </w:tcPr>
          <w:p w14:paraId="234094F2"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ano/ne</w:t>
            </w:r>
          </w:p>
        </w:tc>
        <w:tc>
          <w:tcPr>
            <w:tcW w:w="1418" w:type="dxa"/>
            <w:tcBorders>
              <w:top w:val="nil"/>
              <w:left w:val="nil"/>
              <w:bottom w:val="single" w:sz="4" w:space="0" w:color="auto"/>
              <w:right w:val="single" w:sz="4" w:space="0" w:color="auto"/>
            </w:tcBorders>
            <w:shd w:val="clear" w:color="auto" w:fill="auto"/>
            <w:hideMark/>
          </w:tcPr>
          <w:p w14:paraId="7F9ED2C4" w14:textId="77777777" w:rsidR="00CA37AD" w:rsidRPr="0043589D" w:rsidRDefault="00CA37AD"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ano</w:t>
            </w:r>
          </w:p>
        </w:tc>
        <w:tc>
          <w:tcPr>
            <w:tcW w:w="850" w:type="dxa"/>
            <w:tcBorders>
              <w:top w:val="nil"/>
              <w:left w:val="nil"/>
              <w:bottom w:val="single" w:sz="4" w:space="0" w:color="auto"/>
              <w:right w:val="single" w:sz="4" w:space="0" w:color="auto"/>
            </w:tcBorders>
            <w:shd w:val="clear" w:color="auto" w:fill="auto"/>
            <w:hideMark/>
          </w:tcPr>
          <w:p w14:paraId="0B0894A7"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2024</w:t>
            </w:r>
          </w:p>
        </w:tc>
        <w:tc>
          <w:tcPr>
            <w:tcW w:w="1519" w:type="dxa"/>
            <w:tcBorders>
              <w:top w:val="nil"/>
              <w:left w:val="nil"/>
              <w:bottom w:val="single" w:sz="4" w:space="0" w:color="auto"/>
              <w:right w:val="single" w:sz="8" w:space="0" w:color="auto"/>
            </w:tcBorders>
            <w:shd w:val="clear" w:color="auto" w:fill="auto"/>
            <w:hideMark/>
          </w:tcPr>
          <w:p w14:paraId="633B906D" w14:textId="77777777" w:rsidR="00CA37AD" w:rsidRPr="0043589D" w:rsidRDefault="00CA37AD" w:rsidP="001E7124">
            <w:pPr>
              <w:spacing w:after="0"/>
              <w:jc w:val="left"/>
              <w:rPr>
                <w:rFonts w:ascii="Calibri" w:eastAsia="Times New Roman" w:hAnsi="Calibri" w:cs="Calibri"/>
                <w:color w:val="auto"/>
                <w:u w:val="single"/>
                <w:lang w:eastAsia="cs-CZ"/>
              </w:rPr>
            </w:pPr>
            <w:r w:rsidRPr="0043589D">
              <w:rPr>
                <w:color w:val="auto"/>
              </w:rPr>
              <w:t>MF</w:t>
            </w:r>
          </w:p>
        </w:tc>
      </w:tr>
      <w:tr w:rsidR="00CA37AD" w:rsidRPr="0043589D" w14:paraId="3E885CD4" w14:textId="77777777" w:rsidTr="003C5F13">
        <w:trPr>
          <w:trHeight w:val="300"/>
        </w:trPr>
        <w:tc>
          <w:tcPr>
            <w:tcW w:w="1408" w:type="dxa"/>
            <w:vMerge/>
            <w:tcBorders>
              <w:top w:val="single" w:sz="8" w:space="0" w:color="auto"/>
              <w:left w:val="single" w:sz="8" w:space="0" w:color="auto"/>
              <w:bottom w:val="single" w:sz="8" w:space="0" w:color="000000"/>
              <w:right w:val="single" w:sz="8" w:space="0" w:color="auto"/>
            </w:tcBorders>
            <w:vAlign w:val="center"/>
            <w:hideMark/>
          </w:tcPr>
          <w:p w14:paraId="1D63D640" w14:textId="77777777" w:rsidR="00CA37AD" w:rsidRPr="0043589D" w:rsidRDefault="00CA37AD" w:rsidP="001E7124">
            <w:pPr>
              <w:spacing w:after="0"/>
              <w:jc w:val="left"/>
              <w:rPr>
                <w:rFonts w:ascii="Calibri" w:eastAsia="Times New Roman" w:hAnsi="Calibri" w:cs="Calibri"/>
                <w:color w:val="auto"/>
                <w:lang w:eastAsia="cs-CZ"/>
              </w:rPr>
            </w:pPr>
          </w:p>
        </w:tc>
        <w:tc>
          <w:tcPr>
            <w:tcW w:w="1134" w:type="dxa"/>
            <w:tcBorders>
              <w:top w:val="nil"/>
              <w:left w:val="nil"/>
              <w:bottom w:val="single" w:sz="4" w:space="0" w:color="auto"/>
              <w:right w:val="single" w:sz="4" w:space="0" w:color="auto"/>
            </w:tcBorders>
            <w:shd w:val="clear" w:color="000000" w:fill="FFFFCC"/>
            <w:hideMark/>
          </w:tcPr>
          <w:p w14:paraId="1A1F0BE0" w14:textId="77777777" w:rsidR="00CA37AD" w:rsidRPr="0043589D" w:rsidRDefault="00CA37AD" w:rsidP="001E7124">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Obecný</w:t>
            </w:r>
          </w:p>
        </w:tc>
        <w:tc>
          <w:tcPr>
            <w:tcW w:w="7087" w:type="dxa"/>
            <w:tcBorders>
              <w:top w:val="nil"/>
              <w:left w:val="nil"/>
              <w:bottom w:val="single" w:sz="4" w:space="0" w:color="auto"/>
              <w:right w:val="single" w:sz="4" w:space="0" w:color="auto"/>
            </w:tcBorders>
            <w:shd w:val="clear" w:color="auto" w:fill="auto"/>
            <w:hideMark/>
          </w:tcPr>
          <w:p w14:paraId="341753D0"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 xml:space="preserve">OECD </w:t>
            </w:r>
            <w:proofErr w:type="spellStart"/>
            <w:r w:rsidRPr="0043589D">
              <w:rPr>
                <w:rFonts w:ascii="Calibri" w:eastAsia="Times New Roman" w:hAnsi="Calibri" w:cs="Calibri"/>
                <w:color w:val="auto"/>
                <w:lang w:eastAsia="cs-CZ"/>
              </w:rPr>
              <w:t>Better</w:t>
            </w:r>
            <w:proofErr w:type="spellEnd"/>
            <w:r w:rsidRPr="0043589D">
              <w:rPr>
                <w:rFonts w:ascii="Calibri" w:eastAsia="Times New Roman" w:hAnsi="Calibri" w:cs="Calibri"/>
                <w:color w:val="auto"/>
                <w:lang w:eastAsia="cs-CZ"/>
              </w:rPr>
              <w:t xml:space="preserve"> </w:t>
            </w:r>
            <w:proofErr w:type="spellStart"/>
            <w:r w:rsidRPr="0043589D">
              <w:rPr>
                <w:rFonts w:ascii="Calibri" w:eastAsia="Times New Roman" w:hAnsi="Calibri" w:cs="Calibri"/>
                <w:color w:val="auto"/>
                <w:lang w:eastAsia="cs-CZ"/>
              </w:rPr>
              <w:t>Life</w:t>
            </w:r>
            <w:proofErr w:type="spellEnd"/>
            <w:r w:rsidRPr="0043589D">
              <w:rPr>
                <w:rFonts w:ascii="Calibri" w:eastAsia="Times New Roman" w:hAnsi="Calibri" w:cs="Calibri"/>
                <w:color w:val="auto"/>
                <w:lang w:eastAsia="cs-CZ"/>
              </w:rPr>
              <w:t xml:space="preserve"> Index</w:t>
            </w:r>
          </w:p>
        </w:tc>
        <w:tc>
          <w:tcPr>
            <w:tcW w:w="1134" w:type="dxa"/>
            <w:tcBorders>
              <w:top w:val="nil"/>
              <w:left w:val="nil"/>
              <w:bottom w:val="single" w:sz="4" w:space="0" w:color="auto"/>
              <w:right w:val="single" w:sz="4" w:space="0" w:color="auto"/>
            </w:tcBorders>
            <w:shd w:val="clear" w:color="auto" w:fill="auto"/>
            <w:hideMark/>
          </w:tcPr>
          <w:p w14:paraId="7DF71851"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index</w:t>
            </w:r>
          </w:p>
        </w:tc>
        <w:tc>
          <w:tcPr>
            <w:tcW w:w="1418" w:type="dxa"/>
            <w:tcBorders>
              <w:top w:val="nil"/>
              <w:left w:val="nil"/>
              <w:bottom w:val="single" w:sz="4" w:space="0" w:color="auto"/>
              <w:right w:val="single" w:sz="4" w:space="0" w:color="auto"/>
            </w:tcBorders>
            <w:shd w:val="clear" w:color="auto" w:fill="auto"/>
            <w:hideMark/>
          </w:tcPr>
          <w:p w14:paraId="0B6CDFC1" w14:textId="77777777" w:rsidR="00CA37AD" w:rsidRPr="0043589D" w:rsidRDefault="00CA37AD"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oblasti</w:t>
            </w:r>
          </w:p>
        </w:tc>
        <w:tc>
          <w:tcPr>
            <w:tcW w:w="850" w:type="dxa"/>
            <w:tcBorders>
              <w:top w:val="nil"/>
              <w:left w:val="nil"/>
              <w:bottom w:val="single" w:sz="4" w:space="0" w:color="auto"/>
              <w:right w:val="single" w:sz="4" w:space="0" w:color="auto"/>
            </w:tcBorders>
            <w:shd w:val="clear" w:color="auto" w:fill="auto"/>
            <w:hideMark/>
          </w:tcPr>
          <w:p w14:paraId="6AD09A32"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2023</w:t>
            </w:r>
          </w:p>
        </w:tc>
        <w:tc>
          <w:tcPr>
            <w:tcW w:w="1519" w:type="dxa"/>
            <w:tcBorders>
              <w:top w:val="nil"/>
              <w:left w:val="nil"/>
              <w:bottom w:val="single" w:sz="4" w:space="0" w:color="auto"/>
              <w:right w:val="single" w:sz="8" w:space="0" w:color="auto"/>
            </w:tcBorders>
            <w:shd w:val="clear" w:color="auto" w:fill="auto"/>
            <w:hideMark/>
          </w:tcPr>
          <w:p w14:paraId="5FB85B03" w14:textId="77777777" w:rsidR="00CA37AD" w:rsidRPr="0043589D" w:rsidRDefault="00CA37AD" w:rsidP="001E7124">
            <w:pPr>
              <w:spacing w:after="0"/>
              <w:jc w:val="left"/>
              <w:rPr>
                <w:rFonts w:ascii="Calibri" w:eastAsia="Times New Roman" w:hAnsi="Calibri" w:cs="Calibri"/>
                <w:color w:val="auto"/>
                <w:u w:val="single"/>
                <w:lang w:eastAsia="cs-CZ"/>
              </w:rPr>
            </w:pPr>
            <w:r w:rsidRPr="0043589D">
              <w:rPr>
                <w:color w:val="auto"/>
              </w:rPr>
              <w:t>OECD</w:t>
            </w:r>
          </w:p>
        </w:tc>
      </w:tr>
      <w:tr w:rsidR="00CA37AD" w:rsidRPr="0043589D" w14:paraId="2FFA58EE" w14:textId="77777777" w:rsidTr="003C5F13">
        <w:trPr>
          <w:trHeight w:val="300"/>
        </w:trPr>
        <w:tc>
          <w:tcPr>
            <w:tcW w:w="1408" w:type="dxa"/>
            <w:vMerge/>
            <w:tcBorders>
              <w:top w:val="single" w:sz="8" w:space="0" w:color="auto"/>
              <w:left w:val="single" w:sz="8" w:space="0" w:color="auto"/>
              <w:bottom w:val="single" w:sz="8" w:space="0" w:color="000000"/>
              <w:right w:val="single" w:sz="8" w:space="0" w:color="auto"/>
            </w:tcBorders>
            <w:vAlign w:val="center"/>
            <w:hideMark/>
          </w:tcPr>
          <w:p w14:paraId="105E0996" w14:textId="77777777" w:rsidR="00CA37AD" w:rsidRPr="0043589D" w:rsidRDefault="00CA37AD" w:rsidP="001E7124">
            <w:pPr>
              <w:spacing w:after="0"/>
              <w:jc w:val="left"/>
              <w:rPr>
                <w:rFonts w:ascii="Calibri" w:eastAsia="Times New Roman" w:hAnsi="Calibri" w:cs="Calibri"/>
                <w:color w:val="auto"/>
                <w:lang w:eastAsia="cs-CZ"/>
              </w:rPr>
            </w:pPr>
          </w:p>
        </w:tc>
        <w:tc>
          <w:tcPr>
            <w:tcW w:w="1134" w:type="dxa"/>
            <w:tcBorders>
              <w:top w:val="nil"/>
              <w:left w:val="nil"/>
              <w:bottom w:val="single" w:sz="4" w:space="0" w:color="auto"/>
              <w:right w:val="single" w:sz="4" w:space="0" w:color="auto"/>
            </w:tcBorders>
            <w:shd w:val="clear" w:color="000000" w:fill="FFFFCC"/>
            <w:hideMark/>
          </w:tcPr>
          <w:p w14:paraId="02A2676F" w14:textId="77777777" w:rsidR="00CA37AD" w:rsidRPr="0043589D" w:rsidRDefault="00CA37AD" w:rsidP="001E7124">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Obecný</w:t>
            </w:r>
          </w:p>
        </w:tc>
        <w:tc>
          <w:tcPr>
            <w:tcW w:w="7087" w:type="dxa"/>
            <w:tcBorders>
              <w:top w:val="nil"/>
              <w:left w:val="nil"/>
              <w:bottom w:val="single" w:sz="4" w:space="0" w:color="auto"/>
              <w:right w:val="single" w:sz="4" w:space="0" w:color="auto"/>
            </w:tcBorders>
            <w:shd w:val="clear" w:color="auto" w:fill="auto"/>
            <w:hideMark/>
          </w:tcPr>
          <w:p w14:paraId="2B66B9AF"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 xml:space="preserve">IMD </w:t>
            </w:r>
            <w:proofErr w:type="spellStart"/>
            <w:r w:rsidRPr="0043589D">
              <w:rPr>
                <w:rFonts w:ascii="Calibri" w:eastAsia="Times New Roman" w:hAnsi="Calibri" w:cs="Calibri"/>
                <w:color w:val="auto"/>
                <w:lang w:eastAsia="cs-CZ"/>
              </w:rPr>
              <w:t>World</w:t>
            </w:r>
            <w:proofErr w:type="spellEnd"/>
            <w:r w:rsidRPr="0043589D">
              <w:rPr>
                <w:rFonts w:ascii="Calibri" w:eastAsia="Times New Roman" w:hAnsi="Calibri" w:cs="Calibri"/>
                <w:color w:val="auto"/>
                <w:lang w:eastAsia="cs-CZ"/>
              </w:rPr>
              <w:t xml:space="preserve"> </w:t>
            </w:r>
            <w:proofErr w:type="spellStart"/>
            <w:r w:rsidRPr="0043589D">
              <w:rPr>
                <w:rFonts w:ascii="Calibri" w:eastAsia="Times New Roman" w:hAnsi="Calibri" w:cs="Calibri"/>
                <w:color w:val="auto"/>
                <w:lang w:eastAsia="cs-CZ"/>
              </w:rPr>
              <w:t>Competitiveness</w:t>
            </w:r>
            <w:proofErr w:type="spellEnd"/>
            <w:r w:rsidRPr="0043589D">
              <w:rPr>
                <w:rFonts w:ascii="Calibri" w:eastAsia="Times New Roman" w:hAnsi="Calibri" w:cs="Calibri"/>
                <w:color w:val="auto"/>
                <w:lang w:eastAsia="cs-CZ"/>
              </w:rPr>
              <w:t xml:space="preserve"> </w:t>
            </w:r>
            <w:proofErr w:type="spellStart"/>
            <w:r w:rsidRPr="0043589D">
              <w:rPr>
                <w:rFonts w:ascii="Calibri" w:eastAsia="Times New Roman" w:hAnsi="Calibri" w:cs="Calibri"/>
                <w:color w:val="auto"/>
                <w:lang w:eastAsia="cs-CZ"/>
              </w:rPr>
              <w:t>Ranking</w:t>
            </w:r>
            <w:proofErr w:type="spellEnd"/>
          </w:p>
        </w:tc>
        <w:tc>
          <w:tcPr>
            <w:tcW w:w="1134" w:type="dxa"/>
            <w:tcBorders>
              <w:top w:val="nil"/>
              <w:left w:val="nil"/>
              <w:bottom w:val="single" w:sz="4" w:space="0" w:color="auto"/>
              <w:right w:val="single" w:sz="4" w:space="0" w:color="auto"/>
            </w:tcBorders>
            <w:shd w:val="clear" w:color="auto" w:fill="auto"/>
            <w:hideMark/>
          </w:tcPr>
          <w:p w14:paraId="1EEE366F"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index</w:t>
            </w:r>
          </w:p>
        </w:tc>
        <w:tc>
          <w:tcPr>
            <w:tcW w:w="1418" w:type="dxa"/>
            <w:tcBorders>
              <w:top w:val="nil"/>
              <w:left w:val="nil"/>
              <w:bottom w:val="single" w:sz="4" w:space="0" w:color="auto"/>
              <w:right w:val="single" w:sz="4" w:space="0" w:color="auto"/>
            </w:tcBorders>
            <w:shd w:val="clear" w:color="auto" w:fill="auto"/>
            <w:hideMark/>
          </w:tcPr>
          <w:p w14:paraId="33AB1239" w14:textId="77777777" w:rsidR="00CA37AD" w:rsidRPr="0043589D" w:rsidRDefault="00CA37AD"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oblasti</w:t>
            </w:r>
          </w:p>
        </w:tc>
        <w:tc>
          <w:tcPr>
            <w:tcW w:w="850" w:type="dxa"/>
            <w:tcBorders>
              <w:top w:val="nil"/>
              <w:left w:val="nil"/>
              <w:bottom w:val="single" w:sz="4" w:space="0" w:color="auto"/>
              <w:right w:val="single" w:sz="4" w:space="0" w:color="auto"/>
            </w:tcBorders>
            <w:shd w:val="clear" w:color="auto" w:fill="auto"/>
            <w:hideMark/>
          </w:tcPr>
          <w:p w14:paraId="44E6DCA3"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2024</w:t>
            </w:r>
          </w:p>
        </w:tc>
        <w:tc>
          <w:tcPr>
            <w:tcW w:w="1519" w:type="dxa"/>
            <w:tcBorders>
              <w:top w:val="nil"/>
              <w:left w:val="nil"/>
              <w:bottom w:val="single" w:sz="4" w:space="0" w:color="auto"/>
              <w:right w:val="single" w:sz="8" w:space="0" w:color="auto"/>
            </w:tcBorders>
            <w:shd w:val="clear" w:color="auto" w:fill="auto"/>
            <w:hideMark/>
          </w:tcPr>
          <w:p w14:paraId="67AB4170" w14:textId="77777777" w:rsidR="00CA37AD" w:rsidRPr="0043589D" w:rsidRDefault="00CA37AD" w:rsidP="001E7124">
            <w:pPr>
              <w:spacing w:after="0"/>
              <w:jc w:val="left"/>
              <w:rPr>
                <w:rFonts w:ascii="Calibri" w:eastAsia="Times New Roman" w:hAnsi="Calibri" w:cs="Calibri"/>
                <w:color w:val="auto"/>
                <w:u w:val="single"/>
                <w:lang w:eastAsia="cs-CZ"/>
              </w:rPr>
            </w:pPr>
            <w:r w:rsidRPr="0043589D">
              <w:rPr>
                <w:color w:val="auto"/>
              </w:rPr>
              <w:t>IMD.org</w:t>
            </w:r>
          </w:p>
        </w:tc>
      </w:tr>
      <w:tr w:rsidR="00CA37AD" w:rsidRPr="0043589D" w14:paraId="71F9EDCA" w14:textId="77777777" w:rsidTr="003C5F13">
        <w:trPr>
          <w:trHeight w:val="300"/>
        </w:trPr>
        <w:tc>
          <w:tcPr>
            <w:tcW w:w="1408" w:type="dxa"/>
            <w:vMerge/>
            <w:tcBorders>
              <w:top w:val="single" w:sz="8" w:space="0" w:color="auto"/>
              <w:left w:val="single" w:sz="8" w:space="0" w:color="auto"/>
              <w:bottom w:val="single" w:sz="8" w:space="0" w:color="000000"/>
              <w:right w:val="single" w:sz="8" w:space="0" w:color="auto"/>
            </w:tcBorders>
            <w:vAlign w:val="center"/>
            <w:hideMark/>
          </w:tcPr>
          <w:p w14:paraId="323263E0" w14:textId="77777777" w:rsidR="00CA37AD" w:rsidRPr="0043589D" w:rsidRDefault="00CA37AD" w:rsidP="001E7124">
            <w:pPr>
              <w:spacing w:after="0"/>
              <w:jc w:val="left"/>
              <w:rPr>
                <w:rFonts w:ascii="Calibri" w:eastAsia="Times New Roman" w:hAnsi="Calibri" w:cs="Calibri"/>
                <w:color w:val="auto"/>
                <w:lang w:eastAsia="cs-CZ"/>
              </w:rPr>
            </w:pPr>
          </w:p>
        </w:tc>
        <w:tc>
          <w:tcPr>
            <w:tcW w:w="1134" w:type="dxa"/>
            <w:tcBorders>
              <w:top w:val="nil"/>
              <w:left w:val="nil"/>
              <w:bottom w:val="single" w:sz="4" w:space="0" w:color="auto"/>
              <w:right w:val="single" w:sz="4" w:space="0" w:color="auto"/>
            </w:tcBorders>
            <w:shd w:val="clear" w:color="000000" w:fill="FFFFCC"/>
            <w:hideMark/>
          </w:tcPr>
          <w:p w14:paraId="522E51CE" w14:textId="77777777" w:rsidR="00CA37AD" w:rsidRPr="0043589D" w:rsidRDefault="00CA37AD" w:rsidP="001E7124">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Obecný</w:t>
            </w:r>
          </w:p>
        </w:tc>
        <w:tc>
          <w:tcPr>
            <w:tcW w:w="7087" w:type="dxa"/>
            <w:tcBorders>
              <w:top w:val="nil"/>
              <w:left w:val="nil"/>
              <w:bottom w:val="single" w:sz="4" w:space="0" w:color="auto"/>
              <w:right w:val="single" w:sz="4" w:space="0" w:color="auto"/>
            </w:tcBorders>
            <w:shd w:val="clear" w:color="auto" w:fill="auto"/>
            <w:noWrap/>
            <w:hideMark/>
          </w:tcPr>
          <w:p w14:paraId="560525F9" w14:textId="77777777" w:rsidR="00CA37AD" w:rsidRPr="0043589D" w:rsidRDefault="00CA37AD" w:rsidP="001E7124">
            <w:pPr>
              <w:spacing w:after="0"/>
              <w:jc w:val="left"/>
              <w:rPr>
                <w:rFonts w:ascii="Calibri" w:eastAsia="Times New Roman" w:hAnsi="Calibri" w:cs="Calibri"/>
                <w:color w:val="auto"/>
                <w:lang w:eastAsia="cs-CZ"/>
              </w:rPr>
            </w:pPr>
            <w:proofErr w:type="spellStart"/>
            <w:r w:rsidRPr="0043589D">
              <w:rPr>
                <w:rFonts w:ascii="Calibri" w:eastAsia="Times New Roman" w:hAnsi="Calibri" w:cs="Calibri"/>
                <w:color w:val="auto"/>
                <w:lang w:eastAsia="cs-CZ"/>
              </w:rPr>
              <w:t>European</w:t>
            </w:r>
            <w:proofErr w:type="spellEnd"/>
            <w:r w:rsidRPr="0043589D">
              <w:rPr>
                <w:rFonts w:ascii="Calibri" w:eastAsia="Times New Roman" w:hAnsi="Calibri" w:cs="Calibri"/>
                <w:color w:val="auto"/>
                <w:lang w:eastAsia="cs-CZ"/>
              </w:rPr>
              <w:t xml:space="preserve"> </w:t>
            </w:r>
            <w:proofErr w:type="spellStart"/>
            <w:r w:rsidRPr="0043589D">
              <w:rPr>
                <w:rFonts w:ascii="Calibri" w:eastAsia="Times New Roman" w:hAnsi="Calibri" w:cs="Calibri"/>
                <w:color w:val="auto"/>
                <w:lang w:eastAsia="cs-CZ"/>
              </w:rPr>
              <w:t>Commission</w:t>
            </w:r>
            <w:proofErr w:type="spellEnd"/>
            <w:r w:rsidRPr="0043589D">
              <w:rPr>
                <w:rFonts w:ascii="Calibri" w:eastAsia="Times New Roman" w:hAnsi="Calibri" w:cs="Calibri"/>
                <w:color w:val="auto"/>
                <w:lang w:eastAsia="cs-CZ"/>
              </w:rPr>
              <w:t xml:space="preserve"> Digital </w:t>
            </w:r>
            <w:proofErr w:type="spellStart"/>
            <w:r w:rsidRPr="0043589D">
              <w:rPr>
                <w:rFonts w:ascii="Calibri" w:eastAsia="Times New Roman" w:hAnsi="Calibri" w:cs="Calibri"/>
                <w:color w:val="auto"/>
                <w:lang w:eastAsia="cs-CZ"/>
              </w:rPr>
              <w:t>Economy</w:t>
            </w:r>
            <w:proofErr w:type="spellEnd"/>
            <w:r w:rsidRPr="0043589D">
              <w:rPr>
                <w:rFonts w:ascii="Calibri" w:eastAsia="Times New Roman" w:hAnsi="Calibri" w:cs="Calibri"/>
                <w:color w:val="auto"/>
                <w:lang w:eastAsia="cs-CZ"/>
              </w:rPr>
              <w:t xml:space="preserve"> and Society Index</w:t>
            </w:r>
          </w:p>
        </w:tc>
        <w:tc>
          <w:tcPr>
            <w:tcW w:w="1134" w:type="dxa"/>
            <w:tcBorders>
              <w:top w:val="nil"/>
              <w:left w:val="nil"/>
              <w:bottom w:val="single" w:sz="4" w:space="0" w:color="auto"/>
              <w:right w:val="single" w:sz="4" w:space="0" w:color="auto"/>
            </w:tcBorders>
            <w:shd w:val="clear" w:color="auto" w:fill="auto"/>
            <w:hideMark/>
          </w:tcPr>
          <w:p w14:paraId="1E8EAF01"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index</w:t>
            </w:r>
          </w:p>
        </w:tc>
        <w:tc>
          <w:tcPr>
            <w:tcW w:w="1418" w:type="dxa"/>
            <w:tcBorders>
              <w:top w:val="nil"/>
              <w:left w:val="nil"/>
              <w:bottom w:val="single" w:sz="4" w:space="0" w:color="auto"/>
              <w:right w:val="single" w:sz="4" w:space="0" w:color="auto"/>
            </w:tcBorders>
            <w:shd w:val="clear" w:color="auto" w:fill="auto"/>
            <w:hideMark/>
          </w:tcPr>
          <w:p w14:paraId="62DC8244" w14:textId="77777777" w:rsidR="00CA37AD" w:rsidRPr="0043589D" w:rsidRDefault="00CA37AD"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oblasti</w:t>
            </w:r>
          </w:p>
        </w:tc>
        <w:tc>
          <w:tcPr>
            <w:tcW w:w="850" w:type="dxa"/>
            <w:tcBorders>
              <w:top w:val="nil"/>
              <w:left w:val="nil"/>
              <w:bottom w:val="single" w:sz="4" w:space="0" w:color="auto"/>
              <w:right w:val="single" w:sz="4" w:space="0" w:color="auto"/>
            </w:tcBorders>
            <w:shd w:val="clear" w:color="auto" w:fill="auto"/>
            <w:hideMark/>
          </w:tcPr>
          <w:p w14:paraId="407E60CA"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2024</w:t>
            </w:r>
          </w:p>
        </w:tc>
        <w:tc>
          <w:tcPr>
            <w:tcW w:w="1519" w:type="dxa"/>
            <w:tcBorders>
              <w:top w:val="nil"/>
              <w:left w:val="nil"/>
              <w:bottom w:val="single" w:sz="4" w:space="0" w:color="auto"/>
              <w:right w:val="single" w:sz="8" w:space="0" w:color="auto"/>
            </w:tcBorders>
            <w:shd w:val="clear" w:color="auto" w:fill="auto"/>
            <w:hideMark/>
          </w:tcPr>
          <w:p w14:paraId="4B540969" w14:textId="77777777" w:rsidR="00CA37AD" w:rsidRPr="0043589D" w:rsidRDefault="00CA37AD" w:rsidP="001E7124">
            <w:pPr>
              <w:spacing w:after="0"/>
              <w:jc w:val="left"/>
              <w:rPr>
                <w:rFonts w:ascii="Calibri" w:eastAsia="Times New Roman" w:hAnsi="Calibri" w:cs="Calibri"/>
                <w:color w:val="auto"/>
                <w:u w:val="single"/>
                <w:lang w:eastAsia="cs-CZ"/>
              </w:rPr>
            </w:pPr>
            <w:r w:rsidRPr="0043589D">
              <w:rPr>
                <w:color w:val="auto"/>
              </w:rPr>
              <w:t>EK</w:t>
            </w:r>
          </w:p>
        </w:tc>
      </w:tr>
      <w:tr w:rsidR="00CA37AD" w:rsidRPr="0043589D" w14:paraId="70B82C51" w14:textId="77777777" w:rsidTr="003C5F13">
        <w:trPr>
          <w:trHeight w:val="300"/>
        </w:trPr>
        <w:tc>
          <w:tcPr>
            <w:tcW w:w="1408" w:type="dxa"/>
            <w:vMerge/>
            <w:tcBorders>
              <w:top w:val="single" w:sz="8" w:space="0" w:color="auto"/>
              <w:left w:val="single" w:sz="8" w:space="0" w:color="auto"/>
              <w:bottom w:val="single" w:sz="8" w:space="0" w:color="000000"/>
              <w:right w:val="single" w:sz="8" w:space="0" w:color="auto"/>
            </w:tcBorders>
            <w:vAlign w:val="center"/>
            <w:hideMark/>
          </w:tcPr>
          <w:p w14:paraId="1C2446C3" w14:textId="77777777" w:rsidR="00CA37AD" w:rsidRPr="0043589D" w:rsidRDefault="00CA37AD" w:rsidP="001E7124">
            <w:pPr>
              <w:spacing w:after="0"/>
              <w:jc w:val="left"/>
              <w:rPr>
                <w:rFonts w:ascii="Calibri" w:eastAsia="Times New Roman" w:hAnsi="Calibri" w:cs="Calibri"/>
                <w:color w:val="auto"/>
                <w:lang w:eastAsia="cs-CZ"/>
              </w:rPr>
            </w:pPr>
          </w:p>
        </w:tc>
        <w:tc>
          <w:tcPr>
            <w:tcW w:w="1134" w:type="dxa"/>
            <w:tcBorders>
              <w:top w:val="nil"/>
              <w:left w:val="nil"/>
              <w:bottom w:val="single" w:sz="4" w:space="0" w:color="auto"/>
              <w:right w:val="single" w:sz="4" w:space="0" w:color="auto"/>
            </w:tcBorders>
            <w:shd w:val="clear" w:color="000000" w:fill="FFFFCC"/>
            <w:hideMark/>
          </w:tcPr>
          <w:p w14:paraId="36BB5B5E" w14:textId="77777777" w:rsidR="00CA37AD" w:rsidRPr="0043589D" w:rsidRDefault="00CA37AD" w:rsidP="001E7124">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Obecný</w:t>
            </w:r>
          </w:p>
        </w:tc>
        <w:tc>
          <w:tcPr>
            <w:tcW w:w="7087" w:type="dxa"/>
            <w:tcBorders>
              <w:top w:val="nil"/>
              <w:left w:val="nil"/>
              <w:bottom w:val="single" w:sz="4" w:space="0" w:color="auto"/>
              <w:right w:val="single" w:sz="4" w:space="0" w:color="auto"/>
            </w:tcBorders>
            <w:shd w:val="clear" w:color="auto" w:fill="auto"/>
            <w:hideMark/>
          </w:tcPr>
          <w:p w14:paraId="4CACE549" w14:textId="77777777" w:rsidR="00CA37AD" w:rsidRPr="0043589D" w:rsidRDefault="00CA37AD" w:rsidP="001E7124">
            <w:pPr>
              <w:spacing w:after="0"/>
              <w:jc w:val="left"/>
              <w:rPr>
                <w:rFonts w:ascii="Calibri" w:eastAsia="Times New Roman" w:hAnsi="Calibri" w:cs="Calibri"/>
                <w:color w:val="auto"/>
                <w:lang w:eastAsia="cs-CZ"/>
              </w:rPr>
            </w:pPr>
            <w:proofErr w:type="spellStart"/>
            <w:r w:rsidRPr="0043589D">
              <w:rPr>
                <w:rFonts w:ascii="Calibri" w:eastAsia="Times New Roman" w:hAnsi="Calibri" w:cs="Calibri"/>
                <w:color w:val="auto"/>
                <w:lang w:eastAsia="cs-CZ"/>
              </w:rPr>
              <w:t>European</w:t>
            </w:r>
            <w:proofErr w:type="spellEnd"/>
            <w:r w:rsidRPr="0043589D">
              <w:rPr>
                <w:rFonts w:ascii="Calibri" w:eastAsia="Times New Roman" w:hAnsi="Calibri" w:cs="Calibri"/>
                <w:color w:val="auto"/>
                <w:lang w:eastAsia="cs-CZ"/>
              </w:rPr>
              <w:t xml:space="preserve"> </w:t>
            </w:r>
            <w:proofErr w:type="spellStart"/>
            <w:r w:rsidRPr="0043589D">
              <w:rPr>
                <w:rFonts w:ascii="Calibri" w:eastAsia="Times New Roman" w:hAnsi="Calibri" w:cs="Calibri"/>
                <w:color w:val="auto"/>
                <w:lang w:eastAsia="cs-CZ"/>
              </w:rPr>
              <w:t>Commission</w:t>
            </w:r>
            <w:proofErr w:type="spellEnd"/>
            <w:r w:rsidRPr="0043589D">
              <w:rPr>
                <w:rFonts w:ascii="Calibri" w:eastAsia="Times New Roman" w:hAnsi="Calibri" w:cs="Calibri"/>
                <w:color w:val="auto"/>
                <w:lang w:eastAsia="cs-CZ"/>
              </w:rPr>
              <w:t xml:space="preserve"> </w:t>
            </w:r>
            <w:proofErr w:type="spellStart"/>
            <w:r w:rsidRPr="0043589D">
              <w:rPr>
                <w:rFonts w:ascii="Calibri" w:eastAsia="Times New Roman" w:hAnsi="Calibri" w:cs="Calibri"/>
                <w:color w:val="auto"/>
                <w:lang w:eastAsia="cs-CZ"/>
              </w:rPr>
              <w:t>European</w:t>
            </w:r>
            <w:proofErr w:type="spellEnd"/>
            <w:r w:rsidRPr="0043589D">
              <w:rPr>
                <w:rFonts w:ascii="Calibri" w:eastAsia="Times New Roman" w:hAnsi="Calibri" w:cs="Calibri"/>
                <w:color w:val="auto"/>
                <w:lang w:eastAsia="cs-CZ"/>
              </w:rPr>
              <w:t xml:space="preserve"> Innovation </w:t>
            </w:r>
            <w:proofErr w:type="spellStart"/>
            <w:r w:rsidRPr="0043589D">
              <w:rPr>
                <w:rFonts w:ascii="Calibri" w:eastAsia="Times New Roman" w:hAnsi="Calibri" w:cs="Calibri"/>
                <w:color w:val="auto"/>
                <w:lang w:eastAsia="cs-CZ"/>
              </w:rPr>
              <w:t>Scoreboard</w:t>
            </w:r>
            <w:proofErr w:type="spellEnd"/>
          </w:p>
        </w:tc>
        <w:tc>
          <w:tcPr>
            <w:tcW w:w="1134" w:type="dxa"/>
            <w:tcBorders>
              <w:top w:val="nil"/>
              <w:left w:val="nil"/>
              <w:bottom w:val="single" w:sz="4" w:space="0" w:color="auto"/>
              <w:right w:val="single" w:sz="4" w:space="0" w:color="auto"/>
            </w:tcBorders>
            <w:shd w:val="clear" w:color="auto" w:fill="auto"/>
            <w:hideMark/>
          </w:tcPr>
          <w:p w14:paraId="1FE50DF1"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index</w:t>
            </w:r>
          </w:p>
        </w:tc>
        <w:tc>
          <w:tcPr>
            <w:tcW w:w="1418" w:type="dxa"/>
            <w:tcBorders>
              <w:top w:val="nil"/>
              <w:left w:val="nil"/>
              <w:bottom w:val="single" w:sz="4" w:space="0" w:color="auto"/>
              <w:right w:val="single" w:sz="4" w:space="0" w:color="auto"/>
            </w:tcBorders>
            <w:shd w:val="clear" w:color="auto" w:fill="auto"/>
            <w:hideMark/>
          </w:tcPr>
          <w:p w14:paraId="3154AA06" w14:textId="77777777" w:rsidR="00CA37AD" w:rsidRPr="0043589D" w:rsidRDefault="00CA37AD"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oblasti</w:t>
            </w:r>
          </w:p>
        </w:tc>
        <w:tc>
          <w:tcPr>
            <w:tcW w:w="850" w:type="dxa"/>
            <w:tcBorders>
              <w:top w:val="nil"/>
              <w:left w:val="nil"/>
              <w:bottom w:val="single" w:sz="4" w:space="0" w:color="auto"/>
              <w:right w:val="single" w:sz="4" w:space="0" w:color="auto"/>
            </w:tcBorders>
            <w:shd w:val="clear" w:color="auto" w:fill="auto"/>
            <w:hideMark/>
          </w:tcPr>
          <w:p w14:paraId="180B68FF"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2024</w:t>
            </w:r>
          </w:p>
        </w:tc>
        <w:tc>
          <w:tcPr>
            <w:tcW w:w="1519" w:type="dxa"/>
            <w:tcBorders>
              <w:top w:val="nil"/>
              <w:left w:val="nil"/>
              <w:bottom w:val="single" w:sz="4" w:space="0" w:color="auto"/>
              <w:right w:val="single" w:sz="8" w:space="0" w:color="auto"/>
            </w:tcBorders>
            <w:shd w:val="clear" w:color="auto" w:fill="auto"/>
            <w:hideMark/>
          </w:tcPr>
          <w:p w14:paraId="08C7B6B0"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EK</w:t>
            </w:r>
          </w:p>
        </w:tc>
      </w:tr>
      <w:tr w:rsidR="00CA37AD" w:rsidRPr="0043589D" w14:paraId="4A2B6CE2" w14:textId="77777777" w:rsidTr="003C5F13">
        <w:trPr>
          <w:trHeight w:val="300"/>
        </w:trPr>
        <w:tc>
          <w:tcPr>
            <w:tcW w:w="1408" w:type="dxa"/>
            <w:vMerge/>
            <w:tcBorders>
              <w:top w:val="single" w:sz="8" w:space="0" w:color="auto"/>
              <w:left w:val="single" w:sz="8" w:space="0" w:color="auto"/>
              <w:bottom w:val="single" w:sz="8" w:space="0" w:color="000000"/>
              <w:right w:val="single" w:sz="8" w:space="0" w:color="auto"/>
            </w:tcBorders>
            <w:vAlign w:val="center"/>
            <w:hideMark/>
          </w:tcPr>
          <w:p w14:paraId="648909F9" w14:textId="77777777" w:rsidR="00CA37AD" w:rsidRPr="0043589D" w:rsidRDefault="00CA37AD" w:rsidP="001E7124">
            <w:pPr>
              <w:spacing w:after="0"/>
              <w:jc w:val="left"/>
              <w:rPr>
                <w:rFonts w:ascii="Calibri" w:eastAsia="Times New Roman" w:hAnsi="Calibri" w:cs="Calibri"/>
                <w:color w:val="auto"/>
                <w:lang w:eastAsia="cs-CZ"/>
              </w:rPr>
            </w:pPr>
          </w:p>
        </w:tc>
        <w:tc>
          <w:tcPr>
            <w:tcW w:w="1134" w:type="dxa"/>
            <w:tcBorders>
              <w:top w:val="nil"/>
              <w:left w:val="nil"/>
              <w:bottom w:val="single" w:sz="4" w:space="0" w:color="auto"/>
              <w:right w:val="single" w:sz="4" w:space="0" w:color="auto"/>
            </w:tcBorders>
            <w:shd w:val="clear" w:color="000000" w:fill="FFFFCC"/>
            <w:hideMark/>
          </w:tcPr>
          <w:p w14:paraId="78507AAF" w14:textId="77777777" w:rsidR="00CA37AD" w:rsidRPr="0043589D" w:rsidRDefault="00CA37AD" w:rsidP="001E7124">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Obecný</w:t>
            </w:r>
          </w:p>
        </w:tc>
        <w:tc>
          <w:tcPr>
            <w:tcW w:w="7087" w:type="dxa"/>
            <w:tcBorders>
              <w:top w:val="nil"/>
              <w:left w:val="nil"/>
              <w:bottom w:val="single" w:sz="4" w:space="0" w:color="auto"/>
              <w:right w:val="single" w:sz="4" w:space="0" w:color="auto"/>
            </w:tcBorders>
            <w:shd w:val="clear" w:color="auto" w:fill="auto"/>
            <w:hideMark/>
          </w:tcPr>
          <w:p w14:paraId="427F74A0" w14:textId="77777777" w:rsidR="00CA37AD" w:rsidRPr="0043589D" w:rsidRDefault="00CA37AD" w:rsidP="001E7124">
            <w:pPr>
              <w:spacing w:after="0"/>
              <w:jc w:val="left"/>
              <w:rPr>
                <w:rFonts w:ascii="Calibri" w:eastAsia="Times New Roman" w:hAnsi="Calibri" w:cs="Calibri"/>
                <w:color w:val="auto"/>
                <w:lang w:eastAsia="cs-CZ"/>
              </w:rPr>
            </w:pPr>
            <w:proofErr w:type="spellStart"/>
            <w:r w:rsidRPr="0043589D">
              <w:rPr>
                <w:rFonts w:ascii="Calibri" w:eastAsia="Times New Roman" w:hAnsi="Calibri" w:cs="Calibri"/>
                <w:color w:val="auto"/>
                <w:lang w:eastAsia="cs-CZ"/>
              </w:rPr>
              <w:t>European</w:t>
            </w:r>
            <w:proofErr w:type="spellEnd"/>
            <w:r w:rsidRPr="0043589D">
              <w:rPr>
                <w:rFonts w:ascii="Calibri" w:eastAsia="Times New Roman" w:hAnsi="Calibri" w:cs="Calibri"/>
                <w:color w:val="auto"/>
                <w:lang w:eastAsia="cs-CZ"/>
              </w:rPr>
              <w:t xml:space="preserve"> </w:t>
            </w:r>
            <w:proofErr w:type="spellStart"/>
            <w:r w:rsidRPr="0043589D">
              <w:rPr>
                <w:rFonts w:ascii="Calibri" w:eastAsia="Times New Roman" w:hAnsi="Calibri" w:cs="Calibri"/>
                <w:color w:val="auto"/>
                <w:lang w:eastAsia="cs-CZ"/>
              </w:rPr>
              <w:t>Commission</w:t>
            </w:r>
            <w:proofErr w:type="spellEnd"/>
            <w:r w:rsidRPr="0043589D">
              <w:rPr>
                <w:rFonts w:ascii="Calibri" w:eastAsia="Times New Roman" w:hAnsi="Calibri" w:cs="Calibri"/>
                <w:color w:val="auto"/>
                <w:lang w:eastAsia="cs-CZ"/>
              </w:rPr>
              <w:t xml:space="preserve"> Single Market </w:t>
            </w:r>
            <w:proofErr w:type="spellStart"/>
            <w:r w:rsidRPr="0043589D">
              <w:rPr>
                <w:rFonts w:ascii="Calibri" w:eastAsia="Times New Roman" w:hAnsi="Calibri" w:cs="Calibri"/>
                <w:color w:val="auto"/>
                <w:lang w:eastAsia="cs-CZ"/>
              </w:rPr>
              <w:t>Scoreboard</w:t>
            </w:r>
            <w:proofErr w:type="spellEnd"/>
            <w:r w:rsidRPr="0043589D">
              <w:rPr>
                <w:rFonts w:ascii="Calibri" w:eastAsia="Times New Roman" w:hAnsi="Calibri" w:cs="Calibri"/>
                <w:color w:val="auto"/>
                <w:lang w:eastAsia="cs-CZ"/>
              </w:rPr>
              <w:t xml:space="preserve"> </w:t>
            </w:r>
          </w:p>
        </w:tc>
        <w:tc>
          <w:tcPr>
            <w:tcW w:w="1134" w:type="dxa"/>
            <w:tcBorders>
              <w:top w:val="nil"/>
              <w:left w:val="nil"/>
              <w:bottom w:val="single" w:sz="4" w:space="0" w:color="auto"/>
              <w:right w:val="single" w:sz="4" w:space="0" w:color="auto"/>
            </w:tcBorders>
            <w:shd w:val="clear" w:color="auto" w:fill="auto"/>
            <w:hideMark/>
          </w:tcPr>
          <w:p w14:paraId="2EA9EB14"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index</w:t>
            </w:r>
          </w:p>
        </w:tc>
        <w:tc>
          <w:tcPr>
            <w:tcW w:w="1418" w:type="dxa"/>
            <w:tcBorders>
              <w:top w:val="nil"/>
              <w:left w:val="nil"/>
              <w:bottom w:val="single" w:sz="4" w:space="0" w:color="auto"/>
              <w:right w:val="single" w:sz="4" w:space="0" w:color="auto"/>
            </w:tcBorders>
            <w:shd w:val="clear" w:color="auto" w:fill="auto"/>
            <w:hideMark/>
          </w:tcPr>
          <w:p w14:paraId="47AC26A5" w14:textId="77777777" w:rsidR="00CA37AD" w:rsidRPr="0043589D" w:rsidRDefault="00CA37AD"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oblasti</w:t>
            </w:r>
          </w:p>
        </w:tc>
        <w:tc>
          <w:tcPr>
            <w:tcW w:w="850" w:type="dxa"/>
            <w:tcBorders>
              <w:top w:val="nil"/>
              <w:left w:val="nil"/>
              <w:bottom w:val="single" w:sz="4" w:space="0" w:color="auto"/>
              <w:right w:val="single" w:sz="4" w:space="0" w:color="auto"/>
            </w:tcBorders>
            <w:shd w:val="clear" w:color="auto" w:fill="auto"/>
            <w:hideMark/>
          </w:tcPr>
          <w:p w14:paraId="3253739D"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2022</w:t>
            </w:r>
          </w:p>
        </w:tc>
        <w:tc>
          <w:tcPr>
            <w:tcW w:w="1519" w:type="dxa"/>
            <w:tcBorders>
              <w:top w:val="nil"/>
              <w:left w:val="nil"/>
              <w:bottom w:val="single" w:sz="4" w:space="0" w:color="auto"/>
              <w:right w:val="single" w:sz="8" w:space="0" w:color="auto"/>
            </w:tcBorders>
            <w:shd w:val="clear" w:color="auto" w:fill="auto"/>
            <w:hideMark/>
          </w:tcPr>
          <w:p w14:paraId="4687288C" w14:textId="77777777" w:rsidR="00CA37AD" w:rsidRPr="0043589D" w:rsidRDefault="00CA37AD" w:rsidP="001E7124">
            <w:pPr>
              <w:spacing w:after="0"/>
              <w:jc w:val="left"/>
              <w:rPr>
                <w:rFonts w:ascii="Calibri" w:eastAsia="Times New Roman" w:hAnsi="Calibri" w:cs="Calibri"/>
                <w:color w:val="auto"/>
                <w:u w:val="single"/>
                <w:lang w:eastAsia="cs-CZ"/>
              </w:rPr>
            </w:pPr>
            <w:r w:rsidRPr="0043589D">
              <w:rPr>
                <w:rFonts w:ascii="Calibri" w:eastAsia="Times New Roman" w:hAnsi="Calibri" w:cs="Calibri"/>
                <w:color w:val="auto"/>
                <w:lang w:eastAsia="cs-CZ"/>
              </w:rPr>
              <w:t>EK</w:t>
            </w:r>
          </w:p>
        </w:tc>
      </w:tr>
      <w:tr w:rsidR="00CA37AD" w:rsidRPr="0043589D" w14:paraId="55D0AA20" w14:textId="77777777" w:rsidTr="003C5F13">
        <w:trPr>
          <w:trHeight w:val="300"/>
        </w:trPr>
        <w:tc>
          <w:tcPr>
            <w:tcW w:w="1408" w:type="dxa"/>
            <w:vMerge/>
            <w:tcBorders>
              <w:top w:val="single" w:sz="8" w:space="0" w:color="auto"/>
              <w:left w:val="single" w:sz="8" w:space="0" w:color="auto"/>
              <w:bottom w:val="single" w:sz="8" w:space="0" w:color="000000"/>
              <w:right w:val="single" w:sz="8" w:space="0" w:color="auto"/>
            </w:tcBorders>
            <w:vAlign w:val="center"/>
            <w:hideMark/>
          </w:tcPr>
          <w:p w14:paraId="7EFCF4C3" w14:textId="77777777" w:rsidR="00CA37AD" w:rsidRPr="0043589D" w:rsidRDefault="00CA37AD" w:rsidP="001E7124">
            <w:pPr>
              <w:spacing w:after="0"/>
              <w:jc w:val="left"/>
              <w:rPr>
                <w:rFonts w:ascii="Calibri" w:eastAsia="Times New Roman" w:hAnsi="Calibri" w:cs="Calibri"/>
                <w:color w:val="auto"/>
                <w:lang w:eastAsia="cs-CZ"/>
              </w:rPr>
            </w:pPr>
          </w:p>
        </w:tc>
        <w:tc>
          <w:tcPr>
            <w:tcW w:w="1134" w:type="dxa"/>
            <w:tcBorders>
              <w:top w:val="nil"/>
              <w:left w:val="nil"/>
              <w:bottom w:val="single" w:sz="4" w:space="0" w:color="auto"/>
              <w:right w:val="single" w:sz="4" w:space="0" w:color="auto"/>
            </w:tcBorders>
            <w:shd w:val="clear" w:color="000000" w:fill="FFFFCC"/>
            <w:hideMark/>
          </w:tcPr>
          <w:p w14:paraId="4946D4CD" w14:textId="77777777" w:rsidR="00CA37AD" w:rsidRPr="0043589D" w:rsidRDefault="00CA37AD" w:rsidP="001E7124">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Obecný</w:t>
            </w:r>
          </w:p>
        </w:tc>
        <w:tc>
          <w:tcPr>
            <w:tcW w:w="7087" w:type="dxa"/>
            <w:tcBorders>
              <w:top w:val="nil"/>
              <w:left w:val="nil"/>
              <w:bottom w:val="single" w:sz="4" w:space="0" w:color="auto"/>
              <w:right w:val="single" w:sz="4" w:space="0" w:color="auto"/>
            </w:tcBorders>
            <w:shd w:val="clear" w:color="auto" w:fill="auto"/>
            <w:hideMark/>
          </w:tcPr>
          <w:p w14:paraId="3D5E8EF8" w14:textId="77777777" w:rsidR="00CA37AD" w:rsidRPr="0043589D" w:rsidRDefault="00CA37AD" w:rsidP="001E7124">
            <w:pPr>
              <w:spacing w:after="0"/>
              <w:jc w:val="left"/>
              <w:rPr>
                <w:rFonts w:ascii="Calibri" w:eastAsia="Times New Roman" w:hAnsi="Calibri" w:cs="Calibri"/>
                <w:color w:val="auto"/>
                <w:lang w:eastAsia="cs-CZ"/>
              </w:rPr>
            </w:pPr>
            <w:proofErr w:type="spellStart"/>
            <w:r w:rsidRPr="0043589D">
              <w:rPr>
                <w:rFonts w:ascii="Calibri" w:eastAsia="Times New Roman" w:hAnsi="Calibri" w:cs="Calibri"/>
                <w:color w:val="auto"/>
                <w:lang w:eastAsia="cs-CZ"/>
              </w:rPr>
              <w:t>World</w:t>
            </w:r>
            <w:proofErr w:type="spellEnd"/>
            <w:r w:rsidRPr="0043589D">
              <w:rPr>
                <w:rFonts w:ascii="Calibri" w:eastAsia="Times New Roman" w:hAnsi="Calibri" w:cs="Calibri"/>
                <w:color w:val="auto"/>
                <w:lang w:eastAsia="cs-CZ"/>
              </w:rPr>
              <w:t xml:space="preserve"> bank Business-</w:t>
            </w:r>
            <w:proofErr w:type="spellStart"/>
            <w:r w:rsidRPr="0043589D">
              <w:rPr>
                <w:rFonts w:ascii="Calibri" w:eastAsia="Times New Roman" w:hAnsi="Calibri" w:cs="Calibri"/>
                <w:color w:val="auto"/>
                <w:lang w:eastAsia="cs-CZ"/>
              </w:rPr>
              <w:t>Ready</w:t>
            </w:r>
            <w:proofErr w:type="spellEnd"/>
          </w:p>
        </w:tc>
        <w:tc>
          <w:tcPr>
            <w:tcW w:w="1134" w:type="dxa"/>
            <w:tcBorders>
              <w:top w:val="nil"/>
              <w:left w:val="nil"/>
              <w:bottom w:val="single" w:sz="4" w:space="0" w:color="auto"/>
              <w:right w:val="single" w:sz="4" w:space="0" w:color="auto"/>
            </w:tcBorders>
            <w:shd w:val="clear" w:color="auto" w:fill="auto"/>
            <w:hideMark/>
          </w:tcPr>
          <w:p w14:paraId="6F9F9968"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index</w:t>
            </w:r>
          </w:p>
        </w:tc>
        <w:tc>
          <w:tcPr>
            <w:tcW w:w="1418" w:type="dxa"/>
            <w:tcBorders>
              <w:top w:val="nil"/>
              <w:left w:val="nil"/>
              <w:bottom w:val="single" w:sz="4" w:space="0" w:color="auto"/>
              <w:right w:val="single" w:sz="4" w:space="0" w:color="auto"/>
            </w:tcBorders>
            <w:shd w:val="clear" w:color="auto" w:fill="auto"/>
            <w:hideMark/>
          </w:tcPr>
          <w:p w14:paraId="58CD1866" w14:textId="77777777" w:rsidR="00CA37AD" w:rsidRPr="0043589D" w:rsidRDefault="00CA37AD"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oblasti</w:t>
            </w:r>
          </w:p>
        </w:tc>
        <w:tc>
          <w:tcPr>
            <w:tcW w:w="850" w:type="dxa"/>
            <w:tcBorders>
              <w:top w:val="nil"/>
              <w:left w:val="nil"/>
              <w:bottom w:val="single" w:sz="4" w:space="0" w:color="auto"/>
              <w:right w:val="single" w:sz="4" w:space="0" w:color="auto"/>
            </w:tcBorders>
            <w:shd w:val="clear" w:color="auto" w:fill="auto"/>
            <w:hideMark/>
          </w:tcPr>
          <w:p w14:paraId="4F2DF75E"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2024</w:t>
            </w:r>
          </w:p>
        </w:tc>
        <w:tc>
          <w:tcPr>
            <w:tcW w:w="1519" w:type="dxa"/>
            <w:tcBorders>
              <w:top w:val="nil"/>
              <w:left w:val="nil"/>
              <w:bottom w:val="single" w:sz="4" w:space="0" w:color="auto"/>
              <w:right w:val="single" w:sz="8" w:space="0" w:color="auto"/>
            </w:tcBorders>
            <w:shd w:val="clear" w:color="auto" w:fill="auto"/>
            <w:hideMark/>
          </w:tcPr>
          <w:p w14:paraId="3177A3B8" w14:textId="77777777" w:rsidR="00CA37AD" w:rsidRPr="0043589D" w:rsidRDefault="00CA37AD" w:rsidP="001E7124">
            <w:pPr>
              <w:spacing w:after="0"/>
              <w:jc w:val="left"/>
              <w:rPr>
                <w:rFonts w:ascii="Calibri" w:eastAsia="Times New Roman" w:hAnsi="Calibri" w:cs="Calibri"/>
                <w:color w:val="auto"/>
                <w:u w:val="single"/>
                <w:lang w:eastAsia="cs-CZ"/>
              </w:rPr>
            </w:pPr>
            <w:r w:rsidRPr="0043589D">
              <w:rPr>
                <w:color w:val="auto"/>
              </w:rPr>
              <w:t>Světová banka</w:t>
            </w:r>
          </w:p>
        </w:tc>
      </w:tr>
      <w:tr w:rsidR="00CA37AD" w:rsidRPr="0043589D" w14:paraId="38699019" w14:textId="77777777" w:rsidTr="003C5F13">
        <w:trPr>
          <w:trHeight w:val="300"/>
        </w:trPr>
        <w:tc>
          <w:tcPr>
            <w:tcW w:w="1408" w:type="dxa"/>
            <w:vMerge/>
            <w:tcBorders>
              <w:top w:val="single" w:sz="8" w:space="0" w:color="auto"/>
              <w:left w:val="single" w:sz="8" w:space="0" w:color="auto"/>
              <w:bottom w:val="single" w:sz="8" w:space="0" w:color="000000"/>
              <w:right w:val="single" w:sz="8" w:space="0" w:color="auto"/>
            </w:tcBorders>
            <w:vAlign w:val="center"/>
            <w:hideMark/>
          </w:tcPr>
          <w:p w14:paraId="411B7720" w14:textId="77777777" w:rsidR="00CA37AD" w:rsidRPr="0043589D" w:rsidRDefault="00CA37AD" w:rsidP="001E7124">
            <w:pPr>
              <w:spacing w:after="0"/>
              <w:jc w:val="left"/>
              <w:rPr>
                <w:rFonts w:ascii="Calibri" w:eastAsia="Times New Roman" w:hAnsi="Calibri" w:cs="Calibri"/>
                <w:color w:val="auto"/>
                <w:lang w:eastAsia="cs-CZ"/>
              </w:rPr>
            </w:pPr>
          </w:p>
        </w:tc>
        <w:tc>
          <w:tcPr>
            <w:tcW w:w="1134" w:type="dxa"/>
            <w:tcBorders>
              <w:top w:val="nil"/>
              <w:left w:val="nil"/>
              <w:bottom w:val="single" w:sz="8" w:space="0" w:color="auto"/>
              <w:right w:val="single" w:sz="4" w:space="0" w:color="auto"/>
            </w:tcBorders>
            <w:shd w:val="clear" w:color="000000" w:fill="FFFFCC"/>
            <w:hideMark/>
          </w:tcPr>
          <w:p w14:paraId="55B5D6DF" w14:textId="77777777" w:rsidR="00CA37AD" w:rsidRPr="0043589D" w:rsidRDefault="00CA37AD" w:rsidP="001E7124">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Obecný</w:t>
            </w:r>
          </w:p>
        </w:tc>
        <w:tc>
          <w:tcPr>
            <w:tcW w:w="7087" w:type="dxa"/>
            <w:tcBorders>
              <w:top w:val="nil"/>
              <w:left w:val="nil"/>
              <w:bottom w:val="single" w:sz="4" w:space="0" w:color="auto"/>
              <w:right w:val="single" w:sz="4" w:space="0" w:color="auto"/>
            </w:tcBorders>
            <w:shd w:val="clear" w:color="auto" w:fill="auto"/>
            <w:hideMark/>
          </w:tcPr>
          <w:p w14:paraId="3C011775"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 xml:space="preserve">Ipsos </w:t>
            </w:r>
            <w:proofErr w:type="spellStart"/>
            <w:r w:rsidRPr="0043589D">
              <w:rPr>
                <w:rFonts w:ascii="Calibri" w:eastAsia="Times New Roman" w:hAnsi="Calibri" w:cs="Calibri"/>
                <w:color w:val="auto"/>
                <w:lang w:eastAsia="cs-CZ"/>
              </w:rPr>
              <w:t>Nation</w:t>
            </w:r>
            <w:proofErr w:type="spellEnd"/>
            <w:r w:rsidRPr="0043589D">
              <w:rPr>
                <w:rFonts w:ascii="Calibri" w:eastAsia="Times New Roman" w:hAnsi="Calibri" w:cs="Calibri"/>
                <w:color w:val="auto"/>
                <w:lang w:eastAsia="cs-CZ"/>
              </w:rPr>
              <w:t xml:space="preserve"> </w:t>
            </w:r>
            <w:proofErr w:type="spellStart"/>
            <w:r w:rsidRPr="0043589D">
              <w:rPr>
                <w:rFonts w:ascii="Calibri" w:eastAsia="Times New Roman" w:hAnsi="Calibri" w:cs="Calibri"/>
                <w:color w:val="auto"/>
                <w:lang w:eastAsia="cs-CZ"/>
              </w:rPr>
              <w:t>Brands</w:t>
            </w:r>
            <w:proofErr w:type="spellEnd"/>
            <w:r w:rsidRPr="0043589D">
              <w:rPr>
                <w:rFonts w:ascii="Calibri" w:eastAsia="Times New Roman" w:hAnsi="Calibri" w:cs="Calibri"/>
                <w:color w:val="auto"/>
                <w:lang w:eastAsia="cs-CZ"/>
              </w:rPr>
              <w:t xml:space="preserve"> Index</w:t>
            </w:r>
          </w:p>
        </w:tc>
        <w:tc>
          <w:tcPr>
            <w:tcW w:w="1134" w:type="dxa"/>
            <w:tcBorders>
              <w:top w:val="nil"/>
              <w:left w:val="nil"/>
              <w:bottom w:val="single" w:sz="4" w:space="0" w:color="auto"/>
              <w:right w:val="single" w:sz="4" w:space="0" w:color="auto"/>
            </w:tcBorders>
            <w:shd w:val="clear" w:color="auto" w:fill="auto"/>
            <w:hideMark/>
          </w:tcPr>
          <w:p w14:paraId="10EDB34E"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index</w:t>
            </w:r>
          </w:p>
        </w:tc>
        <w:tc>
          <w:tcPr>
            <w:tcW w:w="1418" w:type="dxa"/>
            <w:tcBorders>
              <w:top w:val="nil"/>
              <w:left w:val="nil"/>
              <w:bottom w:val="single" w:sz="4" w:space="0" w:color="auto"/>
              <w:right w:val="single" w:sz="4" w:space="0" w:color="auto"/>
            </w:tcBorders>
            <w:shd w:val="clear" w:color="auto" w:fill="auto"/>
            <w:hideMark/>
          </w:tcPr>
          <w:p w14:paraId="0A047BF9" w14:textId="77777777" w:rsidR="00CA37AD" w:rsidRPr="0043589D" w:rsidRDefault="00CA37AD"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oblasti</w:t>
            </w:r>
          </w:p>
        </w:tc>
        <w:tc>
          <w:tcPr>
            <w:tcW w:w="850" w:type="dxa"/>
            <w:tcBorders>
              <w:top w:val="nil"/>
              <w:left w:val="nil"/>
              <w:bottom w:val="single" w:sz="4" w:space="0" w:color="auto"/>
              <w:right w:val="single" w:sz="4" w:space="0" w:color="auto"/>
            </w:tcBorders>
            <w:shd w:val="clear" w:color="auto" w:fill="auto"/>
            <w:hideMark/>
          </w:tcPr>
          <w:p w14:paraId="6914C19E"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2023</w:t>
            </w:r>
          </w:p>
        </w:tc>
        <w:tc>
          <w:tcPr>
            <w:tcW w:w="1519" w:type="dxa"/>
            <w:tcBorders>
              <w:top w:val="nil"/>
              <w:left w:val="nil"/>
              <w:bottom w:val="single" w:sz="4" w:space="0" w:color="auto"/>
              <w:right w:val="single" w:sz="8" w:space="0" w:color="auto"/>
            </w:tcBorders>
            <w:shd w:val="clear" w:color="auto" w:fill="auto"/>
            <w:hideMark/>
          </w:tcPr>
          <w:p w14:paraId="5C54B326" w14:textId="77777777" w:rsidR="00CA37AD" w:rsidRPr="0043589D" w:rsidRDefault="00CA37AD" w:rsidP="001E7124">
            <w:pPr>
              <w:spacing w:after="0"/>
              <w:jc w:val="left"/>
              <w:rPr>
                <w:rFonts w:ascii="Calibri" w:eastAsia="Times New Roman" w:hAnsi="Calibri" w:cs="Calibri"/>
                <w:color w:val="auto"/>
                <w:u w:val="single"/>
                <w:lang w:eastAsia="cs-CZ"/>
              </w:rPr>
            </w:pPr>
            <w:r w:rsidRPr="0043589D">
              <w:rPr>
                <w:color w:val="auto"/>
              </w:rPr>
              <w:t>Ipsos</w:t>
            </w:r>
          </w:p>
        </w:tc>
      </w:tr>
      <w:tr w:rsidR="00CA37AD" w:rsidRPr="0043589D" w14:paraId="3631B112" w14:textId="77777777" w:rsidTr="003C5F13">
        <w:trPr>
          <w:trHeight w:val="300"/>
        </w:trPr>
        <w:tc>
          <w:tcPr>
            <w:tcW w:w="1408" w:type="dxa"/>
            <w:vMerge w:val="restart"/>
            <w:tcBorders>
              <w:top w:val="nil"/>
              <w:left w:val="single" w:sz="8" w:space="0" w:color="auto"/>
              <w:bottom w:val="single" w:sz="8" w:space="0" w:color="000000"/>
              <w:right w:val="single" w:sz="8" w:space="0" w:color="auto"/>
            </w:tcBorders>
            <w:shd w:val="clear" w:color="auto" w:fill="auto"/>
            <w:vAlign w:val="center"/>
            <w:hideMark/>
          </w:tcPr>
          <w:p w14:paraId="44C9DA03" w14:textId="77777777" w:rsidR="00CA37AD" w:rsidRPr="0043589D" w:rsidRDefault="00CA37AD" w:rsidP="001E7124">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1.1 Lidský kapitál (vzdělávání, trh práce, zdraví)</w:t>
            </w:r>
          </w:p>
        </w:tc>
        <w:tc>
          <w:tcPr>
            <w:tcW w:w="1134" w:type="dxa"/>
            <w:tcBorders>
              <w:top w:val="nil"/>
              <w:left w:val="nil"/>
              <w:bottom w:val="single" w:sz="4" w:space="0" w:color="auto"/>
              <w:right w:val="single" w:sz="4" w:space="0" w:color="auto"/>
            </w:tcBorders>
            <w:shd w:val="clear" w:color="000000" w:fill="FFC7CE"/>
            <w:hideMark/>
          </w:tcPr>
          <w:p w14:paraId="0EBD7125" w14:textId="77777777" w:rsidR="00CA37AD" w:rsidRPr="0043589D" w:rsidRDefault="00CA37AD" w:rsidP="001E7124">
            <w:pPr>
              <w:spacing w:after="0"/>
              <w:jc w:val="center"/>
              <w:rPr>
                <w:rFonts w:ascii="Calibri" w:eastAsia="Times New Roman" w:hAnsi="Calibri" w:cs="Calibri"/>
                <w:color w:val="9C0006"/>
                <w:lang w:eastAsia="cs-CZ"/>
              </w:rPr>
            </w:pPr>
            <w:r w:rsidRPr="0043589D">
              <w:rPr>
                <w:rFonts w:ascii="Calibri" w:eastAsia="Times New Roman" w:hAnsi="Calibri" w:cs="Calibri"/>
                <w:color w:val="9C0006"/>
                <w:lang w:eastAsia="cs-CZ"/>
              </w:rPr>
              <w:t>Strategický</w:t>
            </w:r>
          </w:p>
        </w:tc>
        <w:tc>
          <w:tcPr>
            <w:tcW w:w="7087" w:type="dxa"/>
            <w:tcBorders>
              <w:top w:val="single" w:sz="8" w:space="0" w:color="auto"/>
              <w:left w:val="nil"/>
              <w:bottom w:val="single" w:sz="4" w:space="0" w:color="auto"/>
              <w:right w:val="single" w:sz="4" w:space="0" w:color="auto"/>
            </w:tcBorders>
            <w:shd w:val="clear" w:color="auto" w:fill="auto"/>
            <w:noWrap/>
            <w:vAlign w:val="center"/>
            <w:hideMark/>
          </w:tcPr>
          <w:p w14:paraId="14AA59EF"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Testy PISA: Matematická gramotnost a Čtenářská gramotnost</w:t>
            </w:r>
          </w:p>
        </w:tc>
        <w:tc>
          <w:tcPr>
            <w:tcW w:w="1134" w:type="dxa"/>
            <w:tcBorders>
              <w:top w:val="single" w:sz="8" w:space="0" w:color="auto"/>
              <w:left w:val="nil"/>
              <w:bottom w:val="single" w:sz="4" w:space="0" w:color="auto"/>
              <w:right w:val="single" w:sz="4" w:space="0" w:color="auto"/>
            </w:tcBorders>
            <w:shd w:val="clear" w:color="auto" w:fill="auto"/>
            <w:vAlign w:val="center"/>
            <w:hideMark/>
          </w:tcPr>
          <w:p w14:paraId="6648CFDB"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body</w:t>
            </w:r>
          </w:p>
        </w:tc>
        <w:tc>
          <w:tcPr>
            <w:tcW w:w="1418" w:type="dxa"/>
            <w:tcBorders>
              <w:top w:val="single" w:sz="8" w:space="0" w:color="auto"/>
              <w:left w:val="nil"/>
              <w:bottom w:val="single" w:sz="4" w:space="0" w:color="auto"/>
              <w:right w:val="single" w:sz="4" w:space="0" w:color="auto"/>
            </w:tcBorders>
            <w:shd w:val="clear" w:color="auto" w:fill="auto"/>
            <w:vAlign w:val="center"/>
            <w:hideMark/>
          </w:tcPr>
          <w:p w14:paraId="125B00F1" w14:textId="4666B4FA" w:rsidR="00CA37AD" w:rsidRPr="0043589D" w:rsidRDefault="00CA37AD"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M=487; Č=489</w:t>
            </w:r>
          </w:p>
        </w:tc>
        <w:tc>
          <w:tcPr>
            <w:tcW w:w="850" w:type="dxa"/>
            <w:tcBorders>
              <w:top w:val="single" w:sz="8" w:space="0" w:color="auto"/>
              <w:left w:val="nil"/>
              <w:bottom w:val="single" w:sz="4" w:space="0" w:color="auto"/>
              <w:right w:val="single" w:sz="4" w:space="0" w:color="auto"/>
            </w:tcBorders>
            <w:shd w:val="clear" w:color="auto" w:fill="auto"/>
            <w:vAlign w:val="center"/>
            <w:hideMark/>
          </w:tcPr>
          <w:p w14:paraId="483FE51B"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2022</w:t>
            </w:r>
          </w:p>
        </w:tc>
        <w:tc>
          <w:tcPr>
            <w:tcW w:w="1519" w:type="dxa"/>
            <w:tcBorders>
              <w:top w:val="single" w:sz="8" w:space="0" w:color="auto"/>
              <w:left w:val="nil"/>
              <w:bottom w:val="single" w:sz="4" w:space="0" w:color="auto"/>
              <w:right w:val="single" w:sz="8" w:space="0" w:color="auto"/>
            </w:tcBorders>
            <w:shd w:val="clear" w:color="auto" w:fill="auto"/>
            <w:hideMark/>
          </w:tcPr>
          <w:p w14:paraId="5645288E" w14:textId="77777777" w:rsidR="00CA37AD" w:rsidRPr="0043589D" w:rsidRDefault="00CA37AD" w:rsidP="001E7124">
            <w:pPr>
              <w:spacing w:after="0"/>
              <w:jc w:val="left"/>
              <w:rPr>
                <w:rFonts w:ascii="Calibri" w:eastAsia="Times New Roman" w:hAnsi="Calibri" w:cs="Calibri"/>
                <w:color w:val="auto"/>
                <w:u w:val="single"/>
                <w:lang w:eastAsia="cs-CZ"/>
              </w:rPr>
            </w:pPr>
            <w:r w:rsidRPr="0043589D">
              <w:rPr>
                <w:color w:val="auto"/>
              </w:rPr>
              <w:t>OECD</w:t>
            </w:r>
          </w:p>
        </w:tc>
      </w:tr>
      <w:tr w:rsidR="00CA37AD" w:rsidRPr="0043589D" w14:paraId="3922D95B" w14:textId="77777777" w:rsidTr="003C5F13">
        <w:trPr>
          <w:trHeight w:val="300"/>
        </w:trPr>
        <w:tc>
          <w:tcPr>
            <w:tcW w:w="1408" w:type="dxa"/>
            <w:vMerge/>
            <w:tcBorders>
              <w:top w:val="nil"/>
              <w:left w:val="single" w:sz="8" w:space="0" w:color="auto"/>
              <w:bottom w:val="single" w:sz="8" w:space="0" w:color="000000"/>
              <w:right w:val="single" w:sz="8" w:space="0" w:color="auto"/>
            </w:tcBorders>
            <w:vAlign w:val="center"/>
            <w:hideMark/>
          </w:tcPr>
          <w:p w14:paraId="2B62BF14" w14:textId="77777777" w:rsidR="00CA37AD" w:rsidRPr="0043589D" w:rsidRDefault="00CA37AD" w:rsidP="001E7124">
            <w:pPr>
              <w:spacing w:after="0"/>
              <w:jc w:val="left"/>
              <w:rPr>
                <w:rFonts w:ascii="Calibri" w:eastAsia="Times New Roman" w:hAnsi="Calibri" w:cs="Calibri"/>
                <w:color w:val="auto"/>
                <w:lang w:eastAsia="cs-CZ"/>
              </w:rPr>
            </w:pPr>
          </w:p>
        </w:tc>
        <w:tc>
          <w:tcPr>
            <w:tcW w:w="1134" w:type="dxa"/>
            <w:tcBorders>
              <w:top w:val="nil"/>
              <w:left w:val="nil"/>
              <w:bottom w:val="single" w:sz="4" w:space="0" w:color="auto"/>
              <w:right w:val="single" w:sz="4" w:space="0" w:color="auto"/>
            </w:tcBorders>
            <w:shd w:val="clear" w:color="000000" w:fill="FFC7CE"/>
            <w:hideMark/>
          </w:tcPr>
          <w:p w14:paraId="06493D4F" w14:textId="77777777" w:rsidR="00CA37AD" w:rsidRPr="0043589D" w:rsidRDefault="00CA37AD" w:rsidP="001E7124">
            <w:pPr>
              <w:spacing w:after="0"/>
              <w:jc w:val="center"/>
              <w:rPr>
                <w:rFonts w:ascii="Calibri" w:eastAsia="Times New Roman" w:hAnsi="Calibri" w:cs="Calibri"/>
                <w:color w:val="9C0006"/>
                <w:lang w:eastAsia="cs-CZ"/>
              </w:rPr>
            </w:pPr>
            <w:r w:rsidRPr="0043589D">
              <w:rPr>
                <w:rFonts w:ascii="Calibri" w:eastAsia="Times New Roman" w:hAnsi="Calibri" w:cs="Calibri"/>
                <w:color w:val="9C0006"/>
                <w:lang w:eastAsia="cs-CZ"/>
              </w:rPr>
              <w:t>Strategický</w:t>
            </w:r>
          </w:p>
        </w:tc>
        <w:tc>
          <w:tcPr>
            <w:tcW w:w="7087" w:type="dxa"/>
            <w:tcBorders>
              <w:top w:val="nil"/>
              <w:left w:val="nil"/>
              <w:bottom w:val="single" w:sz="4" w:space="0" w:color="auto"/>
              <w:right w:val="single" w:sz="4" w:space="0" w:color="auto"/>
            </w:tcBorders>
            <w:shd w:val="clear" w:color="auto" w:fill="auto"/>
            <w:noWrap/>
            <w:hideMark/>
          </w:tcPr>
          <w:p w14:paraId="42C1A769"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Podíl absolventů VŠ ve STEM oborech</w:t>
            </w:r>
          </w:p>
        </w:tc>
        <w:tc>
          <w:tcPr>
            <w:tcW w:w="1134" w:type="dxa"/>
            <w:tcBorders>
              <w:top w:val="nil"/>
              <w:left w:val="nil"/>
              <w:bottom w:val="single" w:sz="4" w:space="0" w:color="auto"/>
              <w:right w:val="single" w:sz="4" w:space="0" w:color="auto"/>
            </w:tcBorders>
            <w:shd w:val="clear" w:color="auto" w:fill="auto"/>
            <w:hideMark/>
          </w:tcPr>
          <w:p w14:paraId="1A404B54"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w:t>
            </w:r>
          </w:p>
        </w:tc>
        <w:tc>
          <w:tcPr>
            <w:tcW w:w="1418" w:type="dxa"/>
            <w:tcBorders>
              <w:top w:val="nil"/>
              <w:left w:val="nil"/>
              <w:bottom w:val="single" w:sz="4" w:space="0" w:color="auto"/>
              <w:right w:val="single" w:sz="4" w:space="0" w:color="auto"/>
            </w:tcBorders>
            <w:shd w:val="clear" w:color="auto" w:fill="auto"/>
            <w:hideMark/>
          </w:tcPr>
          <w:p w14:paraId="2F968360" w14:textId="77777777" w:rsidR="00CA37AD" w:rsidRPr="0043589D" w:rsidRDefault="00CA37AD"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15,8</w:t>
            </w:r>
          </w:p>
        </w:tc>
        <w:tc>
          <w:tcPr>
            <w:tcW w:w="850" w:type="dxa"/>
            <w:tcBorders>
              <w:top w:val="nil"/>
              <w:left w:val="nil"/>
              <w:bottom w:val="single" w:sz="4" w:space="0" w:color="auto"/>
              <w:right w:val="single" w:sz="4" w:space="0" w:color="auto"/>
            </w:tcBorders>
            <w:shd w:val="clear" w:color="auto" w:fill="auto"/>
            <w:hideMark/>
          </w:tcPr>
          <w:p w14:paraId="3C3AB3A5"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2022</w:t>
            </w:r>
          </w:p>
        </w:tc>
        <w:tc>
          <w:tcPr>
            <w:tcW w:w="1519" w:type="dxa"/>
            <w:tcBorders>
              <w:top w:val="nil"/>
              <w:left w:val="nil"/>
              <w:bottom w:val="single" w:sz="4" w:space="0" w:color="auto"/>
              <w:right w:val="single" w:sz="8" w:space="0" w:color="auto"/>
            </w:tcBorders>
            <w:shd w:val="clear" w:color="auto" w:fill="auto"/>
            <w:hideMark/>
          </w:tcPr>
          <w:p w14:paraId="330A9C81" w14:textId="77777777" w:rsidR="00CA37AD" w:rsidRPr="0043589D" w:rsidRDefault="00CA37AD" w:rsidP="001E7124">
            <w:pPr>
              <w:spacing w:after="0"/>
              <w:jc w:val="left"/>
              <w:rPr>
                <w:rFonts w:ascii="Calibri" w:eastAsia="Times New Roman" w:hAnsi="Calibri" w:cs="Calibri"/>
                <w:color w:val="auto"/>
                <w:u w:val="single"/>
                <w:lang w:eastAsia="cs-CZ"/>
              </w:rPr>
            </w:pPr>
            <w:r w:rsidRPr="0043589D">
              <w:rPr>
                <w:color w:val="auto"/>
              </w:rPr>
              <w:t>Eurostat</w:t>
            </w:r>
          </w:p>
        </w:tc>
      </w:tr>
      <w:tr w:rsidR="00CA37AD" w:rsidRPr="0043589D" w14:paraId="638A076A" w14:textId="77777777" w:rsidTr="003C5F13">
        <w:trPr>
          <w:trHeight w:val="300"/>
        </w:trPr>
        <w:tc>
          <w:tcPr>
            <w:tcW w:w="1408" w:type="dxa"/>
            <w:vMerge/>
            <w:tcBorders>
              <w:top w:val="nil"/>
              <w:left w:val="single" w:sz="8" w:space="0" w:color="auto"/>
              <w:bottom w:val="single" w:sz="8" w:space="0" w:color="000000"/>
              <w:right w:val="single" w:sz="8" w:space="0" w:color="auto"/>
            </w:tcBorders>
            <w:vAlign w:val="center"/>
            <w:hideMark/>
          </w:tcPr>
          <w:p w14:paraId="08F93F65" w14:textId="77777777" w:rsidR="00CA37AD" w:rsidRPr="0043589D" w:rsidRDefault="00CA37AD" w:rsidP="001E7124">
            <w:pPr>
              <w:spacing w:after="0"/>
              <w:jc w:val="left"/>
              <w:rPr>
                <w:rFonts w:ascii="Calibri" w:eastAsia="Times New Roman" w:hAnsi="Calibri" w:cs="Calibri"/>
                <w:color w:val="auto"/>
                <w:lang w:eastAsia="cs-CZ"/>
              </w:rPr>
            </w:pPr>
          </w:p>
        </w:tc>
        <w:tc>
          <w:tcPr>
            <w:tcW w:w="1134" w:type="dxa"/>
            <w:tcBorders>
              <w:top w:val="nil"/>
              <w:left w:val="nil"/>
              <w:bottom w:val="single" w:sz="4" w:space="0" w:color="auto"/>
              <w:right w:val="single" w:sz="4" w:space="0" w:color="auto"/>
            </w:tcBorders>
            <w:shd w:val="clear" w:color="000000" w:fill="FFC7CE"/>
            <w:hideMark/>
          </w:tcPr>
          <w:p w14:paraId="5D01B62B" w14:textId="77777777" w:rsidR="00CA37AD" w:rsidRPr="0043589D" w:rsidRDefault="00CA37AD" w:rsidP="001E7124">
            <w:pPr>
              <w:spacing w:after="0"/>
              <w:jc w:val="center"/>
              <w:rPr>
                <w:rFonts w:ascii="Calibri" w:eastAsia="Times New Roman" w:hAnsi="Calibri" w:cs="Calibri"/>
                <w:color w:val="9C0006"/>
                <w:lang w:eastAsia="cs-CZ"/>
              </w:rPr>
            </w:pPr>
            <w:r w:rsidRPr="0043589D">
              <w:rPr>
                <w:rFonts w:ascii="Calibri" w:eastAsia="Times New Roman" w:hAnsi="Calibri" w:cs="Calibri"/>
                <w:color w:val="9C0006"/>
                <w:lang w:eastAsia="cs-CZ"/>
              </w:rPr>
              <w:t>Strategický</w:t>
            </w:r>
          </w:p>
        </w:tc>
        <w:tc>
          <w:tcPr>
            <w:tcW w:w="7087" w:type="dxa"/>
            <w:tcBorders>
              <w:top w:val="nil"/>
              <w:left w:val="nil"/>
              <w:bottom w:val="single" w:sz="4" w:space="0" w:color="auto"/>
              <w:right w:val="single" w:sz="4" w:space="0" w:color="auto"/>
            </w:tcBorders>
            <w:shd w:val="clear" w:color="auto" w:fill="auto"/>
            <w:hideMark/>
          </w:tcPr>
          <w:p w14:paraId="25B67D78"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 xml:space="preserve">Podíl cizinců mezi studenty doktorských programů vzdělávání </w:t>
            </w:r>
          </w:p>
        </w:tc>
        <w:tc>
          <w:tcPr>
            <w:tcW w:w="1134" w:type="dxa"/>
            <w:tcBorders>
              <w:top w:val="nil"/>
              <w:left w:val="nil"/>
              <w:bottom w:val="single" w:sz="4" w:space="0" w:color="auto"/>
              <w:right w:val="single" w:sz="4" w:space="0" w:color="auto"/>
            </w:tcBorders>
            <w:shd w:val="clear" w:color="auto" w:fill="auto"/>
            <w:hideMark/>
          </w:tcPr>
          <w:p w14:paraId="64F82302"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w:t>
            </w:r>
          </w:p>
        </w:tc>
        <w:tc>
          <w:tcPr>
            <w:tcW w:w="1418" w:type="dxa"/>
            <w:tcBorders>
              <w:top w:val="nil"/>
              <w:left w:val="nil"/>
              <w:bottom w:val="single" w:sz="4" w:space="0" w:color="auto"/>
              <w:right w:val="single" w:sz="4" w:space="0" w:color="auto"/>
            </w:tcBorders>
            <w:shd w:val="clear" w:color="auto" w:fill="auto"/>
            <w:hideMark/>
          </w:tcPr>
          <w:p w14:paraId="1E63E955" w14:textId="77777777" w:rsidR="00CA37AD" w:rsidRPr="0043589D" w:rsidRDefault="00CA37AD"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28,2</w:t>
            </w:r>
          </w:p>
        </w:tc>
        <w:tc>
          <w:tcPr>
            <w:tcW w:w="850" w:type="dxa"/>
            <w:tcBorders>
              <w:top w:val="nil"/>
              <w:left w:val="nil"/>
              <w:bottom w:val="single" w:sz="4" w:space="0" w:color="auto"/>
              <w:right w:val="single" w:sz="4" w:space="0" w:color="auto"/>
            </w:tcBorders>
            <w:shd w:val="clear" w:color="auto" w:fill="auto"/>
            <w:hideMark/>
          </w:tcPr>
          <w:p w14:paraId="79FB210A"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2023</w:t>
            </w:r>
          </w:p>
        </w:tc>
        <w:tc>
          <w:tcPr>
            <w:tcW w:w="1519" w:type="dxa"/>
            <w:tcBorders>
              <w:top w:val="nil"/>
              <w:left w:val="nil"/>
              <w:bottom w:val="single" w:sz="4" w:space="0" w:color="auto"/>
              <w:right w:val="single" w:sz="8" w:space="0" w:color="auto"/>
            </w:tcBorders>
            <w:shd w:val="clear" w:color="auto" w:fill="auto"/>
            <w:hideMark/>
          </w:tcPr>
          <w:p w14:paraId="322F818F" w14:textId="77777777" w:rsidR="00CA37AD" w:rsidRPr="0043589D" w:rsidRDefault="00CA37AD" w:rsidP="001E7124">
            <w:pPr>
              <w:spacing w:after="0"/>
              <w:jc w:val="left"/>
              <w:rPr>
                <w:rFonts w:ascii="Calibri" w:eastAsia="Times New Roman" w:hAnsi="Calibri" w:cs="Calibri"/>
                <w:color w:val="auto"/>
                <w:u w:val="single"/>
                <w:lang w:eastAsia="cs-CZ"/>
              </w:rPr>
            </w:pPr>
            <w:r w:rsidRPr="0043589D">
              <w:rPr>
                <w:color w:val="auto"/>
              </w:rPr>
              <w:t>EK, ČSÚ</w:t>
            </w:r>
          </w:p>
        </w:tc>
      </w:tr>
      <w:tr w:rsidR="00CA37AD" w:rsidRPr="0043589D" w14:paraId="0C3CC6EC" w14:textId="77777777" w:rsidTr="003C5F13">
        <w:trPr>
          <w:trHeight w:val="300"/>
        </w:trPr>
        <w:tc>
          <w:tcPr>
            <w:tcW w:w="1408" w:type="dxa"/>
            <w:vMerge/>
            <w:tcBorders>
              <w:top w:val="nil"/>
              <w:left w:val="single" w:sz="8" w:space="0" w:color="auto"/>
              <w:bottom w:val="single" w:sz="8" w:space="0" w:color="000000"/>
              <w:right w:val="single" w:sz="8" w:space="0" w:color="auto"/>
            </w:tcBorders>
            <w:vAlign w:val="center"/>
            <w:hideMark/>
          </w:tcPr>
          <w:p w14:paraId="414B5DC0" w14:textId="77777777" w:rsidR="00CA37AD" w:rsidRPr="0043589D" w:rsidRDefault="00CA37AD" w:rsidP="001E7124">
            <w:pPr>
              <w:spacing w:after="0"/>
              <w:jc w:val="left"/>
              <w:rPr>
                <w:rFonts w:ascii="Calibri" w:eastAsia="Times New Roman" w:hAnsi="Calibri" w:cs="Calibri"/>
                <w:color w:val="auto"/>
                <w:lang w:eastAsia="cs-CZ"/>
              </w:rPr>
            </w:pPr>
          </w:p>
        </w:tc>
        <w:tc>
          <w:tcPr>
            <w:tcW w:w="1134" w:type="dxa"/>
            <w:tcBorders>
              <w:top w:val="nil"/>
              <w:left w:val="nil"/>
              <w:bottom w:val="single" w:sz="4" w:space="0" w:color="auto"/>
              <w:right w:val="single" w:sz="4" w:space="0" w:color="auto"/>
            </w:tcBorders>
            <w:shd w:val="clear" w:color="000000" w:fill="FFC7CE"/>
            <w:hideMark/>
          </w:tcPr>
          <w:p w14:paraId="03586C57" w14:textId="77777777" w:rsidR="00CA37AD" w:rsidRPr="0043589D" w:rsidRDefault="00CA37AD" w:rsidP="001E7124">
            <w:pPr>
              <w:spacing w:after="0"/>
              <w:jc w:val="center"/>
              <w:rPr>
                <w:rFonts w:ascii="Calibri" w:eastAsia="Times New Roman" w:hAnsi="Calibri" w:cs="Calibri"/>
                <w:color w:val="9C0006"/>
                <w:lang w:eastAsia="cs-CZ"/>
              </w:rPr>
            </w:pPr>
            <w:r w:rsidRPr="0043589D">
              <w:rPr>
                <w:rFonts w:ascii="Calibri" w:eastAsia="Times New Roman" w:hAnsi="Calibri" w:cs="Calibri"/>
                <w:color w:val="9C0006"/>
                <w:lang w:eastAsia="cs-CZ"/>
              </w:rPr>
              <w:t>Strategický</w:t>
            </w:r>
          </w:p>
        </w:tc>
        <w:tc>
          <w:tcPr>
            <w:tcW w:w="7087" w:type="dxa"/>
            <w:tcBorders>
              <w:top w:val="nil"/>
              <w:left w:val="nil"/>
              <w:bottom w:val="single" w:sz="4" w:space="0" w:color="auto"/>
              <w:right w:val="single" w:sz="4" w:space="0" w:color="auto"/>
            </w:tcBorders>
            <w:shd w:val="clear" w:color="auto" w:fill="auto"/>
            <w:hideMark/>
          </w:tcPr>
          <w:p w14:paraId="7240F40F"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 xml:space="preserve">Podíl </w:t>
            </w:r>
            <w:proofErr w:type="spellStart"/>
            <w:r w:rsidRPr="0043589D">
              <w:rPr>
                <w:rFonts w:ascii="Calibri" w:eastAsia="Times New Roman" w:hAnsi="Calibri" w:cs="Calibri"/>
                <w:color w:val="auto"/>
                <w:lang w:eastAsia="cs-CZ"/>
              </w:rPr>
              <w:t>skills</w:t>
            </w:r>
            <w:proofErr w:type="spellEnd"/>
            <w:r w:rsidRPr="0043589D">
              <w:rPr>
                <w:rFonts w:ascii="Calibri" w:eastAsia="Times New Roman" w:hAnsi="Calibri" w:cs="Calibri"/>
                <w:color w:val="auto"/>
                <w:lang w:eastAsia="cs-CZ"/>
              </w:rPr>
              <w:t xml:space="preserve"> </w:t>
            </w:r>
            <w:proofErr w:type="spellStart"/>
            <w:r w:rsidRPr="0043589D">
              <w:rPr>
                <w:rFonts w:ascii="Calibri" w:eastAsia="Times New Roman" w:hAnsi="Calibri" w:cs="Calibri"/>
                <w:color w:val="auto"/>
                <w:lang w:eastAsia="cs-CZ"/>
              </w:rPr>
              <w:t>mismatch</w:t>
            </w:r>
            <w:proofErr w:type="spellEnd"/>
          </w:p>
        </w:tc>
        <w:tc>
          <w:tcPr>
            <w:tcW w:w="1134" w:type="dxa"/>
            <w:tcBorders>
              <w:top w:val="nil"/>
              <w:left w:val="nil"/>
              <w:bottom w:val="single" w:sz="4" w:space="0" w:color="auto"/>
              <w:right w:val="single" w:sz="4" w:space="0" w:color="auto"/>
            </w:tcBorders>
            <w:shd w:val="clear" w:color="auto" w:fill="auto"/>
            <w:hideMark/>
          </w:tcPr>
          <w:p w14:paraId="40DFD4F7"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w:t>
            </w:r>
          </w:p>
        </w:tc>
        <w:tc>
          <w:tcPr>
            <w:tcW w:w="1418" w:type="dxa"/>
            <w:tcBorders>
              <w:top w:val="nil"/>
              <w:left w:val="nil"/>
              <w:bottom w:val="single" w:sz="4" w:space="0" w:color="auto"/>
              <w:right w:val="single" w:sz="4" w:space="0" w:color="auto"/>
            </w:tcBorders>
            <w:shd w:val="clear" w:color="auto" w:fill="auto"/>
            <w:hideMark/>
          </w:tcPr>
          <w:p w14:paraId="65F9E8C3" w14:textId="77777777" w:rsidR="00CA37AD" w:rsidRPr="0043589D" w:rsidRDefault="00CA37AD"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32,1</w:t>
            </w:r>
          </w:p>
        </w:tc>
        <w:tc>
          <w:tcPr>
            <w:tcW w:w="850" w:type="dxa"/>
            <w:tcBorders>
              <w:top w:val="nil"/>
              <w:left w:val="nil"/>
              <w:bottom w:val="single" w:sz="4" w:space="0" w:color="auto"/>
              <w:right w:val="single" w:sz="4" w:space="0" w:color="auto"/>
            </w:tcBorders>
            <w:shd w:val="clear" w:color="auto" w:fill="auto"/>
            <w:hideMark/>
          </w:tcPr>
          <w:p w14:paraId="3F63634C"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2024</w:t>
            </w:r>
          </w:p>
        </w:tc>
        <w:tc>
          <w:tcPr>
            <w:tcW w:w="1519" w:type="dxa"/>
            <w:tcBorders>
              <w:top w:val="nil"/>
              <w:left w:val="nil"/>
              <w:bottom w:val="single" w:sz="4" w:space="0" w:color="auto"/>
              <w:right w:val="single" w:sz="8" w:space="0" w:color="auto"/>
            </w:tcBorders>
            <w:shd w:val="clear" w:color="auto" w:fill="auto"/>
            <w:hideMark/>
          </w:tcPr>
          <w:p w14:paraId="62E52802" w14:textId="77777777" w:rsidR="00CA37AD" w:rsidRPr="0043589D" w:rsidRDefault="00CA37AD" w:rsidP="001E7124">
            <w:pPr>
              <w:spacing w:after="0"/>
              <w:jc w:val="left"/>
              <w:rPr>
                <w:rFonts w:ascii="Calibri" w:eastAsia="Times New Roman" w:hAnsi="Calibri" w:cs="Calibri"/>
                <w:color w:val="auto"/>
                <w:u w:val="single"/>
                <w:lang w:eastAsia="cs-CZ"/>
              </w:rPr>
            </w:pPr>
            <w:r w:rsidRPr="0043589D">
              <w:rPr>
                <w:color w:val="auto"/>
              </w:rPr>
              <w:t>OECD</w:t>
            </w:r>
          </w:p>
        </w:tc>
      </w:tr>
      <w:tr w:rsidR="00CA37AD" w:rsidRPr="0043589D" w14:paraId="00D7A1EA" w14:textId="77777777" w:rsidTr="003C5F13">
        <w:trPr>
          <w:trHeight w:val="300"/>
        </w:trPr>
        <w:tc>
          <w:tcPr>
            <w:tcW w:w="1408" w:type="dxa"/>
            <w:vMerge/>
            <w:tcBorders>
              <w:top w:val="nil"/>
              <w:left w:val="single" w:sz="8" w:space="0" w:color="auto"/>
              <w:bottom w:val="single" w:sz="8" w:space="0" w:color="000000"/>
              <w:right w:val="single" w:sz="8" w:space="0" w:color="auto"/>
            </w:tcBorders>
            <w:vAlign w:val="center"/>
            <w:hideMark/>
          </w:tcPr>
          <w:p w14:paraId="12A7F852" w14:textId="77777777" w:rsidR="00CA37AD" w:rsidRPr="0043589D" w:rsidRDefault="00CA37AD" w:rsidP="001E7124">
            <w:pPr>
              <w:spacing w:after="0"/>
              <w:jc w:val="left"/>
              <w:rPr>
                <w:rFonts w:ascii="Calibri" w:eastAsia="Times New Roman" w:hAnsi="Calibri" w:cs="Calibri"/>
                <w:color w:val="auto"/>
                <w:lang w:eastAsia="cs-CZ"/>
              </w:rPr>
            </w:pPr>
          </w:p>
        </w:tc>
        <w:tc>
          <w:tcPr>
            <w:tcW w:w="1134" w:type="dxa"/>
            <w:tcBorders>
              <w:top w:val="nil"/>
              <w:left w:val="nil"/>
              <w:bottom w:val="single" w:sz="4" w:space="0" w:color="auto"/>
              <w:right w:val="single" w:sz="4" w:space="0" w:color="auto"/>
            </w:tcBorders>
            <w:shd w:val="clear" w:color="000000" w:fill="FFC7CE"/>
            <w:hideMark/>
          </w:tcPr>
          <w:p w14:paraId="50EE1830" w14:textId="77777777" w:rsidR="00CA37AD" w:rsidRPr="0043589D" w:rsidRDefault="00CA37AD" w:rsidP="001E7124">
            <w:pPr>
              <w:spacing w:after="0"/>
              <w:jc w:val="center"/>
              <w:rPr>
                <w:rFonts w:ascii="Calibri" w:eastAsia="Times New Roman" w:hAnsi="Calibri" w:cs="Calibri"/>
                <w:color w:val="9C0006"/>
                <w:lang w:eastAsia="cs-CZ"/>
              </w:rPr>
            </w:pPr>
            <w:r w:rsidRPr="0043589D">
              <w:rPr>
                <w:rFonts w:ascii="Calibri" w:eastAsia="Times New Roman" w:hAnsi="Calibri" w:cs="Calibri"/>
                <w:color w:val="9C0006"/>
                <w:lang w:eastAsia="cs-CZ"/>
              </w:rPr>
              <w:t>Strategický</w:t>
            </w:r>
          </w:p>
        </w:tc>
        <w:tc>
          <w:tcPr>
            <w:tcW w:w="7087" w:type="dxa"/>
            <w:tcBorders>
              <w:top w:val="nil"/>
              <w:left w:val="nil"/>
              <w:bottom w:val="single" w:sz="4" w:space="0" w:color="auto"/>
              <w:right w:val="single" w:sz="4" w:space="0" w:color="auto"/>
            </w:tcBorders>
            <w:shd w:val="clear" w:color="auto" w:fill="auto"/>
            <w:hideMark/>
          </w:tcPr>
          <w:p w14:paraId="5922BE54" w14:textId="055DC531" w:rsidR="00CA37AD" w:rsidRPr="0043589D" w:rsidRDefault="005D788E"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Rozdíl míry zaměstnanosti bezdětných žen (25–49 let) a míry zaměstnanosti pro ženy (25–49 let) s nejmladším dítětem do 6 let věku</w:t>
            </w:r>
          </w:p>
        </w:tc>
        <w:tc>
          <w:tcPr>
            <w:tcW w:w="1134" w:type="dxa"/>
            <w:tcBorders>
              <w:top w:val="nil"/>
              <w:left w:val="nil"/>
              <w:bottom w:val="single" w:sz="4" w:space="0" w:color="auto"/>
              <w:right w:val="single" w:sz="4" w:space="0" w:color="auto"/>
            </w:tcBorders>
            <w:shd w:val="clear" w:color="auto" w:fill="auto"/>
            <w:hideMark/>
          </w:tcPr>
          <w:p w14:paraId="24EC9501"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w:t>
            </w:r>
          </w:p>
        </w:tc>
        <w:tc>
          <w:tcPr>
            <w:tcW w:w="1418" w:type="dxa"/>
            <w:tcBorders>
              <w:top w:val="nil"/>
              <w:left w:val="nil"/>
              <w:bottom w:val="single" w:sz="4" w:space="0" w:color="auto"/>
              <w:right w:val="single" w:sz="4" w:space="0" w:color="auto"/>
            </w:tcBorders>
            <w:shd w:val="clear" w:color="auto" w:fill="auto"/>
            <w:hideMark/>
          </w:tcPr>
          <w:p w14:paraId="231CFDD7" w14:textId="293AA0E6" w:rsidR="00CA37AD" w:rsidRPr="0043589D" w:rsidRDefault="005D788E"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45</w:t>
            </w:r>
          </w:p>
        </w:tc>
        <w:tc>
          <w:tcPr>
            <w:tcW w:w="850" w:type="dxa"/>
            <w:tcBorders>
              <w:top w:val="nil"/>
              <w:left w:val="nil"/>
              <w:bottom w:val="single" w:sz="4" w:space="0" w:color="auto"/>
              <w:right w:val="single" w:sz="4" w:space="0" w:color="auto"/>
            </w:tcBorders>
            <w:shd w:val="clear" w:color="auto" w:fill="auto"/>
            <w:hideMark/>
          </w:tcPr>
          <w:p w14:paraId="2A42D69B"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2023</w:t>
            </w:r>
          </w:p>
        </w:tc>
        <w:tc>
          <w:tcPr>
            <w:tcW w:w="1519" w:type="dxa"/>
            <w:tcBorders>
              <w:top w:val="nil"/>
              <w:left w:val="nil"/>
              <w:bottom w:val="single" w:sz="4" w:space="0" w:color="auto"/>
              <w:right w:val="single" w:sz="8" w:space="0" w:color="auto"/>
            </w:tcBorders>
            <w:shd w:val="clear" w:color="auto" w:fill="auto"/>
            <w:hideMark/>
          </w:tcPr>
          <w:p w14:paraId="612FC64F" w14:textId="77777777" w:rsidR="00CA37AD" w:rsidRPr="0043589D" w:rsidRDefault="00CA37AD" w:rsidP="001E7124">
            <w:pPr>
              <w:spacing w:after="0"/>
              <w:jc w:val="left"/>
              <w:rPr>
                <w:rFonts w:ascii="Calibri" w:eastAsia="Times New Roman" w:hAnsi="Calibri" w:cs="Calibri"/>
                <w:color w:val="auto"/>
                <w:u w:val="single"/>
                <w:lang w:eastAsia="cs-CZ"/>
              </w:rPr>
            </w:pPr>
            <w:r w:rsidRPr="0043589D">
              <w:rPr>
                <w:color w:val="auto"/>
              </w:rPr>
              <w:t>Eurostat</w:t>
            </w:r>
          </w:p>
        </w:tc>
      </w:tr>
      <w:tr w:rsidR="00CA37AD" w:rsidRPr="0043589D" w14:paraId="0D3C8DB6" w14:textId="77777777" w:rsidTr="003C5F13">
        <w:trPr>
          <w:trHeight w:val="300"/>
        </w:trPr>
        <w:tc>
          <w:tcPr>
            <w:tcW w:w="1408" w:type="dxa"/>
            <w:vMerge/>
            <w:tcBorders>
              <w:top w:val="nil"/>
              <w:left w:val="single" w:sz="8" w:space="0" w:color="auto"/>
              <w:bottom w:val="single" w:sz="8" w:space="0" w:color="000000"/>
              <w:right w:val="single" w:sz="8" w:space="0" w:color="auto"/>
            </w:tcBorders>
            <w:vAlign w:val="center"/>
            <w:hideMark/>
          </w:tcPr>
          <w:p w14:paraId="6B6B3FFC" w14:textId="77777777" w:rsidR="00CA37AD" w:rsidRPr="0043589D" w:rsidRDefault="00CA37AD" w:rsidP="001E7124">
            <w:pPr>
              <w:spacing w:after="0"/>
              <w:jc w:val="left"/>
              <w:rPr>
                <w:rFonts w:ascii="Calibri" w:eastAsia="Times New Roman" w:hAnsi="Calibri" w:cs="Calibri"/>
                <w:color w:val="auto"/>
                <w:lang w:eastAsia="cs-CZ"/>
              </w:rPr>
            </w:pPr>
          </w:p>
        </w:tc>
        <w:tc>
          <w:tcPr>
            <w:tcW w:w="1134" w:type="dxa"/>
            <w:tcBorders>
              <w:top w:val="nil"/>
              <w:left w:val="nil"/>
              <w:bottom w:val="single" w:sz="4" w:space="0" w:color="auto"/>
              <w:right w:val="single" w:sz="4" w:space="0" w:color="auto"/>
            </w:tcBorders>
            <w:shd w:val="clear" w:color="000000" w:fill="FFC7CE"/>
            <w:hideMark/>
          </w:tcPr>
          <w:p w14:paraId="0C82864F" w14:textId="77777777" w:rsidR="00CA37AD" w:rsidRPr="0043589D" w:rsidRDefault="00CA37AD" w:rsidP="001E7124">
            <w:pPr>
              <w:spacing w:after="0"/>
              <w:jc w:val="center"/>
              <w:rPr>
                <w:rFonts w:ascii="Calibri" w:eastAsia="Times New Roman" w:hAnsi="Calibri" w:cs="Calibri"/>
                <w:color w:val="9C0006"/>
                <w:lang w:eastAsia="cs-CZ"/>
              </w:rPr>
            </w:pPr>
            <w:r w:rsidRPr="0043589D">
              <w:rPr>
                <w:rFonts w:ascii="Calibri" w:eastAsia="Times New Roman" w:hAnsi="Calibri" w:cs="Calibri"/>
                <w:color w:val="9C0006"/>
                <w:lang w:eastAsia="cs-CZ"/>
              </w:rPr>
              <w:t>Strategický</w:t>
            </w:r>
          </w:p>
        </w:tc>
        <w:tc>
          <w:tcPr>
            <w:tcW w:w="7087" w:type="dxa"/>
            <w:tcBorders>
              <w:top w:val="nil"/>
              <w:left w:val="nil"/>
              <w:bottom w:val="single" w:sz="4" w:space="0" w:color="auto"/>
              <w:right w:val="single" w:sz="4" w:space="0" w:color="auto"/>
            </w:tcBorders>
            <w:shd w:val="clear" w:color="auto" w:fill="auto"/>
            <w:hideMark/>
          </w:tcPr>
          <w:p w14:paraId="066748F6"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 xml:space="preserve">Digitální ekonomika, DESI </w:t>
            </w:r>
            <w:proofErr w:type="spellStart"/>
            <w:r w:rsidRPr="0043589D">
              <w:rPr>
                <w:rFonts w:ascii="Calibri" w:eastAsia="Times New Roman" w:hAnsi="Calibri" w:cs="Calibri"/>
                <w:color w:val="auto"/>
                <w:lang w:eastAsia="cs-CZ"/>
              </w:rPr>
              <w:t>composite</w:t>
            </w:r>
            <w:proofErr w:type="spellEnd"/>
            <w:r w:rsidRPr="0043589D">
              <w:rPr>
                <w:rFonts w:ascii="Calibri" w:eastAsia="Times New Roman" w:hAnsi="Calibri" w:cs="Calibri"/>
                <w:color w:val="auto"/>
                <w:lang w:eastAsia="cs-CZ"/>
              </w:rPr>
              <w:t xml:space="preserve"> index část Lidské zdroje</w:t>
            </w:r>
          </w:p>
        </w:tc>
        <w:tc>
          <w:tcPr>
            <w:tcW w:w="1134" w:type="dxa"/>
            <w:tcBorders>
              <w:top w:val="nil"/>
              <w:left w:val="nil"/>
              <w:bottom w:val="single" w:sz="4" w:space="0" w:color="auto"/>
              <w:right w:val="single" w:sz="4" w:space="0" w:color="auto"/>
            </w:tcBorders>
            <w:shd w:val="clear" w:color="auto" w:fill="auto"/>
            <w:hideMark/>
          </w:tcPr>
          <w:p w14:paraId="4366CB0D"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index</w:t>
            </w:r>
          </w:p>
        </w:tc>
        <w:tc>
          <w:tcPr>
            <w:tcW w:w="1418" w:type="dxa"/>
            <w:tcBorders>
              <w:top w:val="nil"/>
              <w:left w:val="nil"/>
              <w:bottom w:val="single" w:sz="4" w:space="0" w:color="auto"/>
              <w:right w:val="single" w:sz="4" w:space="0" w:color="auto"/>
            </w:tcBorders>
            <w:shd w:val="clear" w:color="auto" w:fill="auto"/>
            <w:hideMark/>
          </w:tcPr>
          <w:p w14:paraId="598888B7" w14:textId="77777777" w:rsidR="00CA37AD" w:rsidRPr="0043589D" w:rsidRDefault="00CA37AD"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45,6</w:t>
            </w:r>
          </w:p>
        </w:tc>
        <w:tc>
          <w:tcPr>
            <w:tcW w:w="850" w:type="dxa"/>
            <w:tcBorders>
              <w:top w:val="nil"/>
              <w:left w:val="nil"/>
              <w:bottom w:val="single" w:sz="4" w:space="0" w:color="auto"/>
              <w:right w:val="single" w:sz="4" w:space="0" w:color="auto"/>
            </w:tcBorders>
            <w:shd w:val="clear" w:color="auto" w:fill="auto"/>
            <w:hideMark/>
          </w:tcPr>
          <w:p w14:paraId="65F1A9E6"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2022</w:t>
            </w:r>
          </w:p>
        </w:tc>
        <w:tc>
          <w:tcPr>
            <w:tcW w:w="1519" w:type="dxa"/>
            <w:tcBorders>
              <w:top w:val="nil"/>
              <w:left w:val="nil"/>
              <w:bottom w:val="single" w:sz="4" w:space="0" w:color="auto"/>
              <w:right w:val="single" w:sz="8" w:space="0" w:color="auto"/>
            </w:tcBorders>
            <w:shd w:val="clear" w:color="auto" w:fill="auto"/>
            <w:hideMark/>
          </w:tcPr>
          <w:p w14:paraId="030FB918" w14:textId="77777777" w:rsidR="00CA37AD" w:rsidRPr="0043589D" w:rsidRDefault="00CA37AD" w:rsidP="001E7124">
            <w:pPr>
              <w:spacing w:after="0"/>
              <w:jc w:val="left"/>
              <w:rPr>
                <w:rFonts w:ascii="Calibri" w:eastAsia="Times New Roman" w:hAnsi="Calibri" w:cs="Calibri"/>
                <w:color w:val="auto"/>
                <w:u w:val="single"/>
                <w:lang w:eastAsia="cs-CZ"/>
              </w:rPr>
            </w:pPr>
            <w:r w:rsidRPr="0043589D">
              <w:rPr>
                <w:rFonts w:ascii="Calibri" w:eastAsia="Times New Roman" w:hAnsi="Calibri" w:cs="Calibri"/>
                <w:color w:val="auto"/>
                <w:lang w:eastAsia="cs-CZ"/>
              </w:rPr>
              <w:t>EK</w:t>
            </w:r>
          </w:p>
        </w:tc>
      </w:tr>
      <w:tr w:rsidR="00CA37AD" w:rsidRPr="0043589D" w14:paraId="7A6F9B6A" w14:textId="77777777" w:rsidTr="003C5F13">
        <w:trPr>
          <w:trHeight w:val="300"/>
        </w:trPr>
        <w:tc>
          <w:tcPr>
            <w:tcW w:w="1408" w:type="dxa"/>
            <w:vMerge/>
            <w:tcBorders>
              <w:top w:val="nil"/>
              <w:left w:val="single" w:sz="8" w:space="0" w:color="auto"/>
              <w:bottom w:val="single" w:sz="8" w:space="0" w:color="000000"/>
              <w:right w:val="single" w:sz="8" w:space="0" w:color="auto"/>
            </w:tcBorders>
            <w:vAlign w:val="center"/>
            <w:hideMark/>
          </w:tcPr>
          <w:p w14:paraId="6715373D" w14:textId="77777777" w:rsidR="00CA37AD" w:rsidRPr="0043589D" w:rsidRDefault="00CA37AD" w:rsidP="001E7124">
            <w:pPr>
              <w:spacing w:after="0"/>
              <w:jc w:val="left"/>
              <w:rPr>
                <w:rFonts w:ascii="Calibri" w:eastAsia="Times New Roman" w:hAnsi="Calibri" w:cs="Calibri"/>
                <w:color w:val="auto"/>
                <w:lang w:eastAsia="cs-CZ"/>
              </w:rPr>
            </w:pPr>
          </w:p>
        </w:tc>
        <w:tc>
          <w:tcPr>
            <w:tcW w:w="1134" w:type="dxa"/>
            <w:tcBorders>
              <w:top w:val="nil"/>
              <w:left w:val="nil"/>
              <w:bottom w:val="single" w:sz="4" w:space="0" w:color="auto"/>
              <w:right w:val="single" w:sz="4" w:space="0" w:color="auto"/>
            </w:tcBorders>
            <w:shd w:val="clear" w:color="000000" w:fill="FFC7CE"/>
            <w:hideMark/>
          </w:tcPr>
          <w:p w14:paraId="33F511DE" w14:textId="77777777" w:rsidR="00CA37AD" w:rsidRPr="0043589D" w:rsidRDefault="00CA37AD" w:rsidP="001E7124">
            <w:pPr>
              <w:spacing w:after="0"/>
              <w:jc w:val="center"/>
              <w:rPr>
                <w:rFonts w:ascii="Calibri" w:eastAsia="Times New Roman" w:hAnsi="Calibri" w:cs="Calibri"/>
                <w:color w:val="9C0006"/>
                <w:lang w:eastAsia="cs-CZ"/>
              </w:rPr>
            </w:pPr>
            <w:r w:rsidRPr="0043589D">
              <w:rPr>
                <w:rFonts w:ascii="Calibri" w:eastAsia="Times New Roman" w:hAnsi="Calibri" w:cs="Calibri"/>
                <w:color w:val="9C0006"/>
                <w:lang w:eastAsia="cs-CZ"/>
              </w:rPr>
              <w:t>Strategický</w:t>
            </w:r>
          </w:p>
        </w:tc>
        <w:tc>
          <w:tcPr>
            <w:tcW w:w="7087" w:type="dxa"/>
            <w:tcBorders>
              <w:top w:val="nil"/>
              <w:left w:val="nil"/>
              <w:bottom w:val="single" w:sz="4" w:space="0" w:color="auto"/>
              <w:right w:val="single" w:sz="4" w:space="0" w:color="auto"/>
            </w:tcBorders>
            <w:shd w:val="clear" w:color="auto" w:fill="auto"/>
            <w:hideMark/>
          </w:tcPr>
          <w:p w14:paraId="5BBB3FB9"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Délka života ve zdraví</w:t>
            </w:r>
          </w:p>
        </w:tc>
        <w:tc>
          <w:tcPr>
            <w:tcW w:w="1134" w:type="dxa"/>
            <w:tcBorders>
              <w:top w:val="nil"/>
              <w:left w:val="nil"/>
              <w:bottom w:val="single" w:sz="4" w:space="0" w:color="auto"/>
              <w:right w:val="single" w:sz="4" w:space="0" w:color="auto"/>
            </w:tcBorders>
            <w:shd w:val="clear" w:color="auto" w:fill="auto"/>
            <w:hideMark/>
          </w:tcPr>
          <w:p w14:paraId="39888063"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roky</w:t>
            </w:r>
          </w:p>
        </w:tc>
        <w:tc>
          <w:tcPr>
            <w:tcW w:w="1418" w:type="dxa"/>
            <w:tcBorders>
              <w:top w:val="nil"/>
              <w:left w:val="nil"/>
              <w:bottom w:val="single" w:sz="4" w:space="0" w:color="auto"/>
              <w:right w:val="single" w:sz="4" w:space="0" w:color="auto"/>
            </w:tcBorders>
            <w:shd w:val="clear" w:color="auto" w:fill="auto"/>
            <w:hideMark/>
          </w:tcPr>
          <w:p w14:paraId="44B22A2F" w14:textId="77777777" w:rsidR="00CA37AD" w:rsidRPr="0043589D" w:rsidRDefault="00CA37AD"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62</w:t>
            </w:r>
          </w:p>
        </w:tc>
        <w:tc>
          <w:tcPr>
            <w:tcW w:w="850" w:type="dxa"/>
            <w:tcBorders>
              <w:top w:val="nil"/>
              <w:left w:val="nil"/>
              <w:bottom w:val="single" w:sz="4" w:space="0" w:color="auto"/>
              <w:right w:val="single" w:sz="4" w:space="0" w:color="auto"/>
            </w:tcBorders>
            <w:shd w:val="clear" w:color="auto" w:fill="auto"/>
            <w:hideMark/>
          </w:tcPr>
          <w:p w14:paraId="02092D36"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2023</w:t>
            </w:r>
          </w:p>
        </w:tc>
        <w:tc>
          <w:tcPr>
            <w:tcW w:w="1519" w:type="dxa"/>
            <w:tcBorders>
              <w:top w:val="nil"/>
              <w:left w:val="nil"/>
              <w:bottom w:val="single" w:sz="4" w:space="0" w:color="auto"/>
              <w:right w:val="single" w:sz="8" w:space="0" w:color="auto"/>
            </w:tcBorders>
            <w:shd w:val="clear" w:color="auto" w:fill="auto"/>
            <w:hideMark/>
          </w:tcPr>
          <w:p w14:paraId="351825D1" w14:textId="77777777" w:rsidR="00CA37AD" w:rsidRPr="0043589D" w:rsidRDefault="00CA37AD" w:rsidP="001E7124">
            <w:pPr>
              <w:spacing w:after="0"/>
              <w:jc w:val="left"/>
              <w:rPr>
                <w:rFonts w:ascii="Calibri" w:eastAsia="Times New Roman" w:hAnsi="Calibri" w:cs="Calibri"/>
                <w:color w:val="auto"/>
                <w:u w:val="single"/>
                <w:lang w:eastAsia="cs-CZ"/>
              </w:rPr>
            </w:pPr>
            <w:r w:rsidRPr="0043589D">
              <w:rPr>
                <w:color w:val="auto"/>
              </w:rPr>
              <w:t>Eurostat</w:t>
            </w:r>
          </w:p>
        </w:tc>
      </w:tr>
      <w:tr w:rsidR="00CA37AD" w:rsidRPr="0043589D" w14:paraId="2C40619E" w14:textId="77777777" w:rsidTr="003C5F13">
        <w:trPr>
          <w:trHeight w:val="285"/>
        </w:trPr>
        <w:tc>
          <w:tcPr>
            <w:tcW w:w="1408" w:type="dxa"/>
            <w:vMerge/>
            <w:tcBorders>
              <w:top w:val="nil"/>
              <w:left w:val="single" w:sz="8" w:space="0" w:color="auto"/>
              <w:bottom w:val="single" w:sz="8" w:space="0" w:color="000000"/>
              <w:right w:val="single" w:sz="8" w:space="0" w:color="auto"/>
            </w:tcBorders>
            <w:vAlign w:val="center"/>
            <w:hideMark/>
          </w:tcPr>
          <w:p w14:paraId="26AA3635" w14:textId="77777777" w:rsidR="00CA37AD" w:rsidRPr="0043589D" w:rsidRDefault="00CA37AD" w:rsidP="001E7124">
            <w:pPr>
              <w:spacing w:after="0"/>
              <w:jc w:val="left"/>
              <w:rPr>
                <w:rFonts w:ascii="Calibri" w:eastAsia="Times New Roman" w:hAnsi="Calibri" w:cs="Calibri"/>
                <w:color w:val="auto"/>
                <w:lang w:eastAsia="cs-CZ"/>
              </w:rPr>
            </w:pPr>
          </w:p>
        </w:tc>
        <w:tc>
          <w:tcPr>
            <w:tcW w:w="1134" w:type="dxa"/>
            <w:tcBorders>
              <w:top w:val="nil"/>
              <w:left w:val="single" w:sz="8" w:space="0" w:color="auto"/>
              <w:bottom w:val="single" w:sz="4" w:space="0" w:color="auto"/>
              <w:right w:val="single" w:sz="4" w:space="0" w:color="auto"/>
            </w:tcBorders>
            <w:shd w:val="clear" w:color="000000" w:fill="C6EFCE"/>
            <w:hideMark/>
          </w:tcPr>
          <w:p w14:paraId="6AEE5D1A" w14:textId="77777777" w:rsidR="00CA37AD" w:rsidRPr="0043589D" w:rsidRDefault="00CA37AD" w:rsidP="001E7124">
            <w:pPr>
              <w:spacing w:after="0"/>
              <w:jc w:val="center"/>
              <w:rPr>
                <w:rFonts w:ascii="Calibri" w:eastAsia="Times New Roman" w:hAnsi="Calibri" w:cs="Calibri"/>
                <w:color w:val="006100"/>
                <w:lang w:eastAsia="cs-CZ"/>
              </w:rPr>
            </w:pPr>
            <w:r w:rsidRPr="0043589D">
              <w:rPr>
                <w:rFonts w:ascii="Calibri" w:eastAsia="Times New Roman" w:hAnsi="Calibri" w:cs="Calibri"/>
                <w:color w:val="006100"/>
                <w:lang w:eastAsia="cs-CZ"/>
              </w:rPr>
              <w:t>Doplňující</w:t>
            </w:r>
          </w:p>
        </w:tc>
        <w:tc>
          <w:tcPr>
            <w:tcW w:w="7087" w:type="dxa"/>
            <w:tcBorders>
              <w:top w:val="nil"/>
              <w:left w:val="nil"/>
              <w:bottom w:val="single" w:sz="4" w:space="0" w:color="auto"/>
              <w:right w:val="single" w:sz="4" w:space="0" w:color="auto"/>
            </w:tcBorders>
            <w:shd w:val="clear" w:color="auto" w:fill="auto"/>
            <w:hideMark/>
          </w:tcPr>
          <w:p w14:paraId="5576A415" w14:textId="775A07B0"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Matematika v maturitní zkoušce</w:t>
            </w:r>
            <w:r w:rsidR="0005574D" w:rsidRPr="0043589D">
              <w:rPr>
                <w:rFonts w:ascii="Calibri" w:eastAsia="Times New Roman" w:hAnsi="Calibri" w:cs="Calibri"/>
                <w:color w:val="auto"/>
                <w:lang w:eastAsia="cs-CZ"/>
              </w:rPr>
              <w:t xml:space="preserve"> (podíl volby předmětu)</w:t>
            </w:r>
          </w:p>
        </w:tc>
        <w:tc>
          <w:tcPr>
            <w:tcW w:w="1134" w:type="dxa"/>
            <w:tcBorders>
              <w:top w:val="nil"/>
              <w:left w:val="nil"/>
              <w:bottom w:val="single" w:sz="4" w:space="0" w:color="auto"/>
              <w:right w:val="single" w:sz="4" w:space="0" w:color="auto"/>
            </w:tcBorders>
            <w:shd w:val="clear" w:color="auto" w:fill="auto"/>
            <w:hideMark/>
          </w:tcPr>
          <w:p w14:paraId="43819A5D"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w:t>
            </w:r>
          </w:p>
        </w:tc>
        <w:tc>
          <w:tcPr>
            <w:tcW w:w="1418" w:type="dxa"/>
            <w:tcBorders>
              <w:top w:val="nil"/>
              <w:left w:val="nil"/>
              <w:bottom w:val="single" w:sz="4" w:space="0" w:color="auto"/>
              <w:right w:val="single" w:sz="4" w:space="0" w:color="auto"/>
            </w:tcBorders>
            <w:shd w:val="clear" w:color="auto" w:fill="auto"/>
            <w:hideMark/>
          </w:tcPr>
          <w:p w14:paraId="5E0BA85E" w14:textId="77777777" w:rsidR="00CA37AD" w:rsidRPr="0043589D" w:rsidRDefault="00CA37AD"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18,2</w:t>
            </w:r>
          </w:p>
        </w:tc>
        <w:tc>
          <w:tcPr>
            <w:tcW w:w="850" w:type="dxa"/>
            <w:tcBorders>
              <w:top w:val="nil"/>
              <w:left w:val="nil"/>
              <w:bottom w:val="single" w:sz="4" w:space="0" w:color="auto"/>
              <w:right w:val="single" w:sz="4" w:space="0" w:color="auto"/>
            </w:tcBorders>
            <w:shd w:val="clear" w:color="auto" w:fill="auto"/>
            <w:hideMark/>
          </w:tcPr>
          <w:p w14:paraId="0046FC0A"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2023</w:t>
            </w:r>
          </w:p>
        </w:tc>
        <w:tc>
          <w:tcPr>
            <w:tcW w:w="1519" w:type="dxa"/>
            <w:tcBorders>
              <w:top w:val="nil"/>
              <w:left w:val="nil"/>
              <w:bottom w:val="single" w:sz="4" w:space="0" w:color="auto"/>
              <w:right w:val="single" w:sz="8" w:space="0" w:color="auto"/>
            </w:tcBorders>
            <w:shd w:val="clear" w:color="auto" w:fill="auto"/>
            <w:hideMark/>
          </w:tcPr>
          <w:p w14:paraId="3E3FAF99" w14:textId="77777777" w:rsidR="00CA37AD" w:rsidRPr="0043589D" w:rsidRDefault="00CA37AD" w:rsidP="001E7124">
            <w:pPr>
              <w:spacing w:after="0"/>
              <w:jc w:val="left"/>
              <w:rPr>
                <w:rFonts w:ascii="Calibri" w:eastAsia="Times New Roman" w:hAnsi="Calibri" w:cs="Calibri"/>
                <w:color w:val="auto"/>
                <w:u w:val="single"/>
                <w:lang w:eastAsia="cs-CZ"/>
              </w:rPr>
            </w:pPr>
            <w:r w:rsidRPr="0043589D">
              <w:rPr>
                <w:color w:val="auto"/>
              </w:rPr>
              <w:t>Cermat</w:t>
            </w:r>
          </w:p>
        </w:tc>
      </w:tr>
      <w:tr w:rsidR="00CA37AD" w:rsidRPr="0043589D" w14:paraId="3F639C9C" w14:textId="77777777" w:rsidTr="003C5F13">
        <w:trPr>
          <w:trHeight w:val="300"/>
        </w:trPr>
        <w:tc>
          <w:tcPr>
            <w:tcW w:w="1408" w:type="dxa"/>
            <w:vMerge/>
            <w:tcBorders>
              <w:top w:val="nil"/>
              <w:left w:val="single" w:sz="8" w:space="0" w:color="auto"/>
              <w:bottom w:val="single" w:sz="8" w:space="0" w:color="000000"/>
              <w:right w:val="single" w:sz="8" w:space="0" w:color="auto"/>
            </w:tcBorders>
            <w:vAlign w:val="center"/>
            <w:hideMark/>
          </w:tcPr>
          <w:p w14:paraId="3CEDB4E1" w14:textId="77777777" w:rsidR="00CA37AD" w:rsidRPr="0043589D" w:rsidRDefault="00CA37AD" w:rsidP="001E7124">
            <w:pPr>
              <w:spacing w:after="0"/>
              <w:jc w:val="left"/>
              <w:rPr>
                <w:rFonts w:ascii="Calibri" w:eastAsia="Times New Roman" w:hAnsi="Calibri" w:cs="Calibri"/>
                <w:color w:val="auto"/>
                <w:lang w:eastAsia="cs-CZ"/>
              </w:rPr>
            </w:pPr>
          </w:p>
        </w:tc>
        <w:tc>
          <w:tcPr>
            <w:tcW w:w="1134" w:type="dxa"/>
            <w:tcBorders>
              <w:top w:val="single" w:sz="4" w:space="0" w:color="auto"/>
              <w:left w:val="single" w:sz="8" w:space="0" w:color="auto"/>
              <w:bottom w:val="single" w:sz="4" w:space="0" w:color="auto"/>
              <w:right w:val="single" w:sz="4" w:space="0" w:color="auto"/>
            </w:tcBorders>
            <w:shd w:val="clear" w:color="000000" w:fill="C6EFCE"/>
            <w:hideMark/>
          </w:tcPr>
          <w:p w14:paraId="0640E459" w14:textId="77777777" w:rsidR="00CA37AD" w:rsidRPr="0043589D" w:rsidRDefault="00CA37AD" w:rsidP="001E7124">
            <w:pPr>
              <w:spacing w:after="0"/>
              <w:jc w:val="center"/>
              <w:rPr>
                <w:rFonts w:ascii="Calibri" w:eastAsia="Times New Roman" w:hAnsi="Calibri" w:cs="Calibri"/>
                <w:color w:val="006100"/>
                <w:lang w:eastAsia="cs-CZ"/>
              </w:rPr>
            </w:pPr>
            <w:r w:rsidRPr="0043589D">
              <w:rPr>
                <w:rFonts w:ascii="Calibri" w:eastAsia="Times New Roman" w:hAnsi="Calibri" w:cs="Calibri"/>
                <w:color w:val="006100"/>
                <w:lang w:eastAsia="cs-CZ"/>
              </w:rPr>
              <w:t>Doplňující</w:t>
            </w:r>
          </w:p>
        </w:tc>
        <w:tc>
          <w:tcPr>
            <w:tcW w:w="7087" w:type="dxa"/>
            <w:tcBorders>
              <w:top w:val="nil"/>
              <w:left w:val="nil"/>
              <w:bottom w:val="single" w:sz="4" w:space="0" w:color="auto"/>
              <w:right w:val="single" w:sz="4" w:space="0" w:color="auto"/>
            </w:tcBorders>
            <w:shd w:val="clear" w:color="auto" w:fill="auto"/>
            <w:hideMark/>
          </w:tcPr>
          <w:p w14:paraId="0284DE30"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 xml:space="preserve">Vzdělávání dospělých LLL </w:t>
            </w:r>
            <w:proofErr w:type="spellStart"/>
            <w:r w:rsidRPr="0043589D">
              <w:rPr>
                <w:rFonts w:ascii="Calibri" w:eastAsia="Times New Roman" w:hAnsi="Calibri" w:cs="Calibri"/>
                <w:color w:val="auto"/>
                <w:lang w:eastAsia="cs-CZ"/>
              </w:rPr>
              <w:t>upskill</w:t>
            </w:r>
            <w:proofErr w:type="spellEnd"/>
            <w:r w:rsidRPr="0043589D">
              <w:rPr>
                <w:rFonts w:ascii="Calibri" w:eastAsia="Times New Roman" w:hAnsi="Calibri" w:cs="Calibri"/>
                <w:color w:val="auto"/>
                <w:lang w:eastAsia="cs-CZ"/>
              </w:rPr>
              <w:t>/</w:t>
            </w:r>
            <w:proofErr w:type="spellStart"/>
            <w:r w:rsidRPr="0043589D">
              <w:rPr>
                <w:rFonts w:ascii="Calibri" w:eastAsia="Times New Roman" w:hAnsi="Calibri" w:cs="Calibri"/>
                <w:color w:val="auto"/>
                <w:lang w:eastAsia="cs-CZ"/>
              </w:rPr>
              <w:t>reskilling</w:t>
            </w:r>
            <w:proofErr w:type="spellEnd"/>
          </w:p>
        </w:tc>
        <w:tc>
          <w:tcPr>
            <w:tcW w:w="1134" w:type="dxa"/>
            <w:tcBorders>
              <w:top w:val="nil"/>
              <w:left w:val="nil"/>
              <w:bottom w:val="single" w:sz="4" w:space="0" w:color="auto"/>
              <w:right w:val="single" w:sz="4" w:space="0" w:color="auto"/>
            </w:tcBorders>
            <w:shd w:val="clear" w:color="auto" w:fill="auto"/>
            <w:hideMark/>
          </w:tcPr>
          <w:p w14:paraId="3E4C7F3A"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w:t>
            </w:r>
          </w:p>
        </w:tc>
        <w:tc>
          <w:tcPr>
            <w:tcW w:w="1418" w:type="dxa"/>
            <w:tcBorders>
              <w:top w:val="nil"/>
              <w:left w:val="nil"/>
              <w:bottom w:val="single" w:sz="4" w:space="0" w:color="auto"/>
              <w:right w:val="single" w:sz="4" w:space="0" w:color="auto"/>
            </w:tcBorders>
            <w:shd w:val="clear" w:color="auto" w:fill="auto"/>
            <w:hideMark/>
          </w:tcPr>
          <w:p w14:paraId="17B998DC" w14:textId="77777777" w:rsidR="00CA37AD" w:rsidRPr="0043589D" w:rsidRDefault="00CA37AD"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9,9</w:t>
            </w:r>
          </w:p>
        </w:tc>
        <w:tc>
          <w:tcPr>
            <w:tcW w:w="850" w:type="dxa"/>
            <w:tcBorders>
              <w:top w:val="nil"/>
              <w:left w:val="nil"/>
              <w:bottom w:val="single" w:sz="4" w:space="0" w:color="auto"/>
              <w:right w:val="single" w:sz="4" w:space="0" w:color="auto"/>
            </w:tcBorders>
            <w:shd w:val="clear" w:color="auto" w:fill="auto"/>
            <w:hideMark/>
          </w:tcPr>
          <w:p w14:paraId="4629F0A9"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2023</w:t>
            </w:r>
          </w:p>
        </w:tc>
        <w:tc>
          <w:tcPr>
            <w:tcW w:w="1519" w:type="dxa"/>
            <w:tcBorders>
              <w:top w:val="nil"/>
              <w:left w:val="nil"/>
              <w:bottom w:val="single" w:sz="4" w:space="0" w:color="auto"/>
              <w:right w:val="single" w:sz="8" w:space="0" w:color="auto"/>
            </w:tcBorders>
            <w:shd w:val="clear" w:color="auto" w:fill="auto"/>
            <w:hideMark/>
          </w:tcPr>
          <w:p w14:paraId="52025AD6" w14:textId="77777777" w:rsidR="00CA37AD" w:rsidRPr="0043589D" w:rsidRDefault="00CA37AD" w:rsidP="001E7124">
            <w:pPr>
              <w:spacing w:after="0"/>
              <w:jc w:val="left"/>
              <w:rPr>
                <w:rFonts w:ascii="Calibri" w:eastAsia="Times New Roman" w:hAnsi="Calibri" w:cs="Calibri"/>
                <w:color w:val="auto"/>
                <w:u w:val="single"/>
                <w:lang w:eastAsia="cs-CZ"/>
              </w:rPr>
            </w:pPr>
            <w:r w:rsidRPr="0043589D">
              <w:rPr>
                <w:color w:val="auto"/>
              </w:rPr>
              <w:t>Eurostat</w:t>
            </w:r>
          </w:p>
        </w:tc>
      </w:tr>
      <w:tr w:rsidR="00CA37AD" w:rsidRPr="0043589D" w14:paraId="6FBBEBC2" w14:textId="77777777" w:rsidTr="003C5F13">
        <w:trPr>
          <w:trHeight w:val="300"/>
        </w:trPr>
        <w:tc>
          <w:tcPr>
            <w:tcW w:w="1408" w:type="dxa"/>
            <w:vMerge/>
            <w:tcBorders>
              <w:top w:val="nil"/>
              <w:left w:val="single" w:sz="8" w:space="0" w:color="auto"/>
              <w:bottom w:val="single" w:sz="8" w:space="0" w:color="000000"/>
              <w:right w:val="single" w:sz="8" w:space="0" w:color="auto"/>
            </w:tcBorders>
            <w:vAlign w:val="center"/>
            <w:hideMark/>
          </w:tcPr>
          <w:p w14:paraId="6B7BD07B" w14:textId="77777777" w:rsidR="00CA37AD" w:rsidRPr="0043589D" w:rsidRDefault="00CA37AD" w:rsidP="001E7124">
            <w:pPr>
              <w:spacing w:after="0"/>
              <w:jc w:val="left"/>
              <w:rPr>
                <w:rFonts w:ascii="Calibri" w:eastAsia="Times New Roman" w:hAnsi="Calibri" w:cs="Calibri"/>
                <w:color w:val="auto"/>
                <w:lang w:eastAsia="cs-CZ"/>
              </w:rPr>
            </w:pPr>
          </w:p>
        </w:tc>
        <w:tc>
          <w:tcPr>
            <w:tcW w:w="1134" w:type="dxa"/>
            <w:tcBorders>
              <w:top w:val="single" w:sz="4" w:space="0" w:color="auto"/>
              <w:left w:val="single" w:sz="8" w:space="0" w:color="auto"/>
              <w:bottom w:val="single" w:sz="4" w:space="0" w:color="auto"/>
              <w:right w:val="single" w:sz="4" w:space="0" w:color="auto"/>
            </w:tcBorders>
            <w:shd w:val="clear" w:color="000000" w:fill="C6EFCE"/>
            <w:hideMark/>
          </w:tcPr>
          <w:p w14:paraId="07F9E74A" w14:textId="77777777" w:rsidR="00CA37AD" w:rsidRPr="0043589D" w:rsidRDefault="00CA37AD" w:rsidP="001E7124">
            <w:pPr>
              <w:spacing w:after="0"/>
              <w:jc w:val="center"/>
              <w:rPr>
                <w:rFonts w:ascii="Calibri" w:eastAsia="Times New Roman" w:hAnsi="Calibri" w:cs="Calibri"/>
                <w:color w:val="006100"/>
                <w:lang w:eastAsia="cs-CZ"/>
              </w:rPr>
            </w:pPr>
            <w:r w:rsidRPr="0043589D">
              <w:rPr>
                <w:rFonts w:ascii="Calibri" w:eastAsia="Times New Roman" w:hAnsi="Calibri" w:cs="Calibri"/>
                <w:color w:val="006100"/>
                <w:lang w:eastAsia="cs-CZ"/>
              </w:rPr>
              <w:t>Doplňující</w:t>
            </w:r>
          </w:p>
        </w:tc>
        <w:tc>
          <w:tcPr>
            <w:tcW w:w="7087" w:type="dxa"/>
            <w:tcBorders>
              <w:top w:val="nil"/>
              <w:left w:val="nil"/>
              <w:bottom w:val="single" w:sz="4" w:space="0" w:color="auto"/>
              <w:right w:val="single" w:sz="4" w:space="0" w:color="auto"/>
            </w:tcBorders>
            <w:shd w:val="clear" w:color="auto" w:fill="auto"/>
            <w:hideMark/>
          </w:tcPr>
          <w:p w14:paraId="192AA4E1"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Podíl zkrácených úvazků</w:t>
            </w:r>
          </w:p>
        </w:tc>
        <w:tc>
          <w:tcPr>
            <w:tcW w:w="1134" w:type="dxa"/>
            <w:tcBorders>
              <w:top w:val="nil"/>
              <w:left w:val="nil"/>
              <w:bottom w:val="single" w:sz="4" w:space="0" w:color="auto"/>
              <w:right w:val="single" w:sz="4" w:space="0" w:color="auto"/>
            </w:tcBorders>
            <w:shd w:val="clear" w:color="auto" w:fill="auto"/>
            <w:hideMark/>
          </w:tcPr>
          <w:p w14:paraId="1403F88C"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w:t>
            </w:r>
          </w:p>
        </w:tc>
        <w:tc>
          <w:tcPr>
            <w:tcW w:w="1418" w:type="dxa"/>
            <w:tcBorders>
              <w:top w:val="nil"/>
              <w:left w:val="nil"/>
              <w:bottom w:val="single" w:sz="4" w:space="0" w:color="auto"/>
              <w:right w:val="single" w:sz="4" w:space="0" w:color="auto"/>
            </w:tcBorders>
            <w:shd w:val="clear" w:color="auto" w:fill="auto"/>
            <w:hideMark/>
          </w:tcPr>
          <w:p w14:paraId="7762DE29" w14:textId="77777777" w:rsidR="00CA37AD" w:rsidRPr="0043589D" w:rsidRDefault="00CA37AD"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6,9</w:t>
            </w:r>
          </w:p>
        </w:tc>
        <w:tc>
          <w:tcPr>
            <w:tcW w:w="850" w:type="dxa"/>
            <w:tcBorders>
              <w:top w:val="nil"/>
              <w:left w:val="nil"/>
              <w:bottom w:val="single" w:sz="4" w:space="0" w:color="auto"/>
              <w:right w:val="single" w:sz="4" w:space="0" w:color="auto"/>
            </w:tcBorders>
            <w:shd w:val="clear" w:color="auto" w:fill="auto"/>
            <w:hideMark/>
          </w:tcPr>
          <w:p w14:paraId="26F1B9CA"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2023</w:t>
            </w:r>
          </w:p>
        </w:tc>
        <w:tc>
          <w:tcPr>
            <w:tcW w:w="1519" w:type="dxa"/>
            <w:tcBorders>
              <w:top w:val="nil"/>
              <w:left w:val="nil"/>
              <w:bottom w:val="single" w:sz="4" w:space="0" w:color="auto"/>
              <w:right w:val="single" w:sz="8" w:space="0" w:color="auto"/>
            </w:tcBorders>
            <w:shd w:val="clear" w:color="auto" w:fill="auto"/>
            <w:hideMark/>
          </w:tcPr>
          <w:p w14:paraId="22714DA1" w14:textId="77777777" w:rsidR="00CA37AD" w:rsidRPr="0043589D" w:rsidRDefault="00CA37AD" w:rsidP="001E7124">
            <w:pPr>
              <w:spacing w:after="0"/>
              <w:jc w:val="left"/>
              <w:rPr>
                <w:rFonts w:ascii="Calibri" w:eastAsia="Times New Roman" w:hAnsi="Calibri" w:cs="Calibri"/>
                <w:color w:val="auto"/>
                <w:u w:val="single"/>
                <w:lang w:eastAsia="cs-CZ"/>
              </w:rPr>
            </w:pPr>
            <w:r w:rsidRPr="0043589D">
              <w:rPr>
                <w:color w:val="auto"/>
              </w:rPr>
              <w:t>Eurostat</w:t>
            </w:r>
          </w:p>
        </w:tc>
      </w:tr>
      <w:tr w:rsidR="00CA37AD" w:rsidRPr="0043589D" w14:paraId="6E4EA501" w14:textId="77777777" w:rsidTr="003C5F13">
        <w:trPr>
          <w:trHeight w:val="300"/>
        </w:trPr>
        <w:tc>
          <w:tcPr>
            <w:tcW w:w="1408" w:type="dxa"/>
            <w:vMerge/>
            <w:tcBorders>
              <w:top w:val="nil"/>
              <w:left w:val="single" w:sz="8" w:space="0" w:color="auto"/>
              <w:bottom w:val="single" w:sz="8" w:space="0" w:color="000000"/>
              <w:right w:val="single" w:sz="8" w:space="0" w:color="auto"/>
            </w:tcBorders>
            <w:vAlign w:val="center"/>
            <w:hideMark/>
          </w:tcPr>
          <w:p w14:paraId="17505C41" w14:textId="77777777" w:rsidR="00CA37AD" w:rsidRPr="0043589D" w:rsidRDefault="00CA37AD" w:rsidP="001E7124">
            <w:pPr>
              <w:spacing w:after="0"/>
              <w:jc w:val="left"/>
              <w:rPr>
                <w:rFonts w:ascii="Calibri" w:eastAsia="Times New Roman" w:hAnsi="Calibri" w:cs="Calibri"/>
                <w:color w:val="auto"/>
                <w:lang w:eastAsia="cs-CZ"/>
              </w:rPr>
            </w:pPr>
          </w:p>
        </w:tc>
        <w:tc>
          <w:tcPr>
            <w:tcW w:w="1134" w:type="dxa"/>
            <w:tcBorders>
              <w:top w:val="single" w:sz="4" w:space="0" w:color="auto"/>
              <w:left w:val="single" w:sz="8" w:space="0" w:color="auto"/>
              <w:bottom w:val="single" w:sz="4" w:space="0" w:color="auto"/>
              <w:right w:val="single" w:sz="4" w:space="0" w:color="auto"/>
            </w:tcBorders>
            <w:shd w:val="clear" w:color="000000" w:fill="C6EFCE"/>
            <w:hideMark/>
          </w:tcPr>
          <w:p w14:paraId="00EFD6F3" w14:textId="77777777" w:rsidR="00CA37AD" w:rsidRPr="0043589D" w:rsidRDefault="00CA37AD" w:rsidP="001E7124">
            <w:pPr>
              <w:spacing w:after="0"/>
              <w:jc w:val="center"/>
              <w:rPr>
                <w:rFonts w:ascii="Calibri" w:eastAsia="Times New Roman" w:hAnsi="Calibri" w:cs="Calibri"/>
                <w:color w:val="006100"/>
                <w:lang w:eastAsia="cs-CZ"/>
              </w:rPr>
            </w:pPr>
            <w:r w:rsidRPr="0043589D">
              <w:rPr>
                <w:rFonts w:ascii="Calibri" w:eastAsia="Times New Roman" w:hAnsi="Calibri" w:cs="Calibri"/>
                <w:color w:val="006100"/>
                <w:lang w:eastAsia="cs-CZ"/>
              </w:rPr>
              <w:t>Doplňující</w:t>
            </w:r>
          </w:p>
        </w:tc>
        <w:tc>
          <w:tcPr>
            <w:tcW w:w="7087" w:type="dxa"/>
            <w:tcBorders>
              <w:top w:val="nil"/>
              <w:left w:val="nil"/>
              <w:bottom w:val="single" w:sz="4" w:space="0" w:color="auto"/>
              <w:right w:val="single" w:sz="4" w:space="0" w:color="auto"/>
            </w:tcBorders>
            <w:shd w:val="clear" w:color="auto" w:fill="auto"/>
            <w:hideMark/>
          </w:tcPr>
          <w:p w14:paraId="0C15D7A3"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Přísnost ochrany zaměstnání</w:t>
            </w:r>
          </w:p>
        </w:tc>
        <w:tc>
          <w:tcPr>
            <w:tcW w:w="1134" w:type="dxa"/>
            <w:tcBorders>
              <w:top w:val="nil"/>
              <w:left w:val="nil"/>
              <w:bottom w:val="single" w:sz="4" w:space="0" w:color="auto"/>
              <w:right w:val="single" w:sz="4" w:space="0" w:color="auto"/>
            </w:tcBorders>
            <w:shd w:val="clear" w:color="auto" w:fill="auto"/>
            <w:hideMark/>
          </w:tcPr>
          <w:p w14:paraId="3CFE33E6"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index</w:t>
            </w:r>
          </w:p>
        </w:tc>
        <w:tc>
          <w:tcPr>
            <w:tcW w:w="1418" w:type="dxa"/>
            <w:tcBorders>
              <w:top w:val="nil"/>
              <w:left w:val="nil"/>
              <w:bottom w:val="single" w:sz="4" w:space="0" w:color="auto"/>
              <w:right w:val="single" w:sz="4" w:space="0" w:color="auto"/>
            </w:tcBorders>
            <w:shd w:val="clear" w:color="auto" w:fill="auto"/>
            <w:hideMark/>
          </w:tcPr>
          <w:p w14:paraId="7F19DFEC" w14:textId="77777777" w:rsidR="00CA37AD" w:rsidRPr="0043589D" w:rsidRDefault="00CA37AD"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3,03</w:t>
            </w:r>
          </w:p>
        </w:tc>
        <w:tc>
          <w:tcPr>
            <w:tcW w:w="850" w:type="dxa"/>
            <w:tcBorders>
              <w:top w:val="nil"/>
              <w:left w:val="nil"/>
              <w:bottom w:val="single" w:sz="4" w:space="0" w:color="auto"/>
              <w:right w:val="single" w:sz="4" w:space="0" w:color="auto"/>
            </w:tcBorders>
            <w:shd w:val="clear" w:color="auto" w:fill="auto"/>
            <w:hideMark/>
          </w:tcPr>
          <w:p w14:paraId="1EB04F55"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2019</w:t>
            </w:r>
          </w:p>
        </w:tc>
        <w:tc>
          <w:tcPr>
            <w:tcW w:w="1519" w:type="dxa"/>
            <w:tcBorders>
              <w:top w:val="nil"/>
              <w:left w:val="nil"/>
              <w:bottom w:val="single" w:sz="4" w:space="0" w:color="auto"/>
              <w:right w:val="single" w:sz="8" w:space="0" w:color="auto"/>
            </w:tcBorders>
            <w:shd w:val="clear" w:color="auto" w:fill="auto"/>
            <w:hideMark/>
          </w:tcPr>
          <w:p w14:paraId="6CE02740" w14:textId="77777777" w:rsidR="00CA37AD" w:rsidRPr="0043589D" w:rsidRDefault="00CA37AD" w:rsidP="001E7124">
            <w:pPr>
              <w:spacing w:after="0"/>
              <w:jc w:val="left"/>
              <w:rPr>
                <w:rFonts w:ascii="Calibri" w:eastAsia="Times New Roman" w:hAnsi="Calibri" w:cs="Calibri"/>
                <w:color w:val="auto"/>
                <w:u w:val="single"/>
                <w:lang w:eastAsia="cs-CZ"/>
              </w:rPr>
            </w:pPr>
            <w:r w:rsidRPr="0043589D">
              <w:rPr>
                <w:color w:val="auto"/>
              </w:rPr>
              <w:t>OECD</w:t>
            </w:r>
          </w:p>
        </w:tc>
      </w:tr>
      <w:tr w:rsidR="00CA37AD" w:rsidRPr="0043589D" w14:paraId="129042D6" w14:textId="77777777" w:rsidTr="003C5F13">
        <w:trPr>
          <w:trHeight w:val="300"/>
        </w:trPr>
        <w:tc>
          <w:tcPr>
            <w:tcW w:w="1408" w:type="dxa"/>
            <w:vMerge/>
            <w:tcBorders>
              <w:top w:val="nil"/>
              <w:left w:val="single" w:sz="8" w:space="0" w:color="auto"/>
              <w:bottom w:val="single" w:sz="8" w:space="0" w:color="000000"/>
              <w:right w:val="single" w:sz="8" w:space="0" w:color="auto"/>
            </w:tcBorders>
            <w:vAlign w:val="center"/>
            <w:hideMark/>
          </w:tcPr>
          <w:p w14:paraId="5A1D00C9" w14:textId="77777777" w:rsidR="00CA37AD" w:rsidRPr="0043589D" w:rsidRDefault="00CA37AD" w:rsidP="001E7124">
            <w:pPr>
              <w:spacing w:after="0"/>
              <w:jc w:val="left"/>
              <w:rPr>
                <w:rFonts w:ascii="Calibri" w:eastAsia="Times New Roman" w:hAnsi="Calibri" w:cs="Calibri"/>
                <w:color w:val="auto"/>
                <w:lang w:eastAsia="cs-CZ"/>
              </w:rPr>
            </w:pPr>
          </w:p>
        </w:tc>
        <w:tc>
          <w:tcPr>
            <w:tcW w:w="1134" w:type="dxa"/>
            <w:tcBorders>
              <w:top w:val="single" w:sz="4" w:space="0" w:color="auto"/>
              <w:left w:val="single" w:sz="8" w:space="0" w:color="auto"/>
              <w:bottom w:val="single" w:sz="4" w:space="0" w:color="auto"/>
              <w:right w:val="single" w:sz="4" w:space="0" w:color="auto"/>
            </w:tcBorders>
            <w:shd w:val="clear" w:color="000000" w:fill="C6EFCE"/>
            <w:hideMark/>
          </w:tcPr>
          <w:p w14:paraId="25B40EBD" w14:textId="77777777" w:rsidR="00CA37AD" w:rsidRPr="0043589D" w:rsidRDefault="00CA37AD" w:rsidP="001E7124">
            <w:pPr>
              <w:spacing w:after="0"/>
              <w:jc w:val="center"/>
              <w:rPr>
                <w:rFonts w:ascii="Calibri" w:eastAsia="Times New Roman" w:hAnsi="Calibri" w:cs="Calibri"/>
                <w:color w:val="006100"/>
                <w:lang w:eastAsia="cs-CZ"/>
              </w:rPr>
            </w:pPr>
            <w:r w:rsidRPr="0043589D">
              <w:rPr>
                <w:rFonts w:ascii="Calibri" w:eastAsia="Times New Roman" w:hAnsi="Calibri" w:cs="Calibri"/>
                <w:color w:val="006100"/>
                <w:lang w:eastAsia="cs-CZ"/>
              </w:rPr>
              <w:t>Doplňující</w:t>
            </w:r>
          </w:p>
        </w:tc>
        <w:tc>
          <w:tcPr>
            <w:tcW w:w="7087" w:type="dxa"/>
            <w:tcBorders>
              <w:top w:val="nil"/>
              <w:left w:val="nil"/>
              <w:bottom w:val="single" w:sz="4" w:space="0" w:color="auto"/>
              <w:right w:val="single" w:sz="4" w:space="0" w:color="auto"/>
            </w:tcBorders>
            <w:shd w:val="clear" w:color="auto" w:fill="auto"/>
            <w:hideMark/>
          </w:tcPr>
          <w:p w14:paraId="07A63BD6"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Poměr příspěvků na sociální zabezpečení k příjmu</w:t>
            </w:r>
          </w:p>
        </w:tc>
        <w:tc>
          <w:tcPr>
            <w:tcW w:w="1134" w:type="dxa"/>
            <w:tcBorders>
              <w:top w:val="nil"/>
              <w:left w:val="nil"/>
              <w:bottom w:val="single" w:sz="4" w:space="0" w:color="auto"/>
              <w:right w:val="single" w:sz="4" w:space="0" w:color="auto"/>
            </w:tcBorders>
            <w:shd w:val="clear" w:color="auto" w:fill="auto"/>
            <w:hideMark/>
          </w:tcPr>
          <w:p w14:paraId="0F5225AF"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w:t>
            </w:r>
          </w:p>
        </w:tc>
        <w:tc>
          <w:tcPr>
            <w:tcW w:w="1418" w:type="dxa"/>
            <w:tcBorders>
              <w:top w:val="nil"/>
              <w:left w:val="nil"/>
              <w:bottom w:val="single" w:sz="4" w:space="0" w:color="auto"/>
              <w:right w:val="single" w:sz="4" w:space="0" w:color="auto"/>
            </w:tcBorders>
            <w:shd w:val="clear" w:color="auto" w:fill="auto"/>
            <w:hideMark/>
          </w:tcPr>
          <w:p w14:paraId="5D7C731A" w14:textId="77777777" w:rsidR="00CA37AD" w:rsidRPr="0043589D" w:rsidRDefault="00CA37AD"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38,2</w:t>
            </w:r>
          </w:p>
        </w:tc>
        <w:tc>
          <w:tcPr>
            <w:tcW w:w="850" w:type="dxa"/>
            <w:tcBorders>
              <w:top w:val="nil"/>
              <w:left w:val="nil"/>
              <w:bottom w:val="single" w:sz="4" w:space="0" w:color="auto"/>
              <w:right w:val="single" w:sz="4" w:space="0" w:color="auto"/>
            </w:tcBorders>
            <w:shd w:val="clear" w:color="auto" w:fill="auto"/>
            <w:hideMark/>
          </w:tcPr>
          <w:p w14:paraId="0A58A60F"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2022</w:t>
            </w:r>
          </w:p>
        </w:tc>
        <w:tc>
          <w:tcPr>
            <w:tcW w:w="1519" w:type="dxa"/>
            <w:tcBorders>
              <w:top w:val="nil"/>
              <w:left w:val="nil"/>
              <w:bottom w:val="single" w:sz="4" w:space="0" w:color="auto"/>
              <w:right w:val="single" w:sz="8" w:space="0" w:color="auto"/>
            </w:tcBorders>
            <w:shd w:val="clear" w:color="auto" w:fill="auto"/>
            <w:hideMark/>
          </w:tcPr>
          <w:p w14:paraId="05E7395C" w14:textId="77777777" w:rsidR="00CA37AD" w:rsidRPr="0043589D" w:rsidRDefault="00CA37AD" w:rsidP="001E7124">
            <w:pPr>
              <w:spacing w:after="0"/>
              <w:jc w:val="left"/>
              <w:rPr>
                <w:rFonts w:ascii="Calibri" w:eastAsia="Times New Roman" w:hAnsi="Calibri" w:cs="Calibri"/>
                <w:color w:val="auto"/>
                <w:u w:val="single"/>
                <w:lang w:eastAsia="cs-CZ"/>
              </w:rPr>
            </w:pPr>
            <w:r w:rsidRPr="0043589D">
              <w:rPr>
                <w:color w:val="auto"/>
              </w:rPr>
              <w:t>Eurostat</w:t>
            </w:r>
          </w:p>
        </w:tc>
      </w:tr>
      <w:tr w:rsidR="00CA37AD" w:rsidRPr="0043589D" w14:paraId="070EC320" w14:textId="77777777" w:rsidTr="003C5F13">
        <w:trPr>
          <w:trHeight w:val="300"/>
        </w:trPr>
        <w:tc>
          <w:tcPr>
            <w:tcW w:w="1408" w:type="dxa"/>
            <w:vMerge/>
            <w:tcBorders>
              <w:top w:val="nil"/>
              <w:left w:val="single" w:sz="8" w:space="0" w:color="auto"/>
              <w:bottom w:val="single" w:sz="8" w:space="0" w:color="000000"/>
              <w:right w:val="single" w:sz="8" w:space="0" w:color="auto"/>
            </w:tcBorders>
            <w:vAlign w:val="center"/>
            <w:hideMark/>
          </w:tcPr>
          <w:p w14:paraId="4360B900" w14:textId="77777777" w:rsidR="00CA37AD" w:rsidRPr="0043589D" w:rsidRDefault="00CA37AD" w:rsidP="001E7124">
            <w:pPr>
              <w:spacing w:after="0"/>
              <w:jc w:val="left"/>
              <w:rPr>
                <w:rFonts w:ascii="Calibri" w:eastAsia="Times New Roman" w:hAnsi="Calibri" w:cs="Calibri"/>
                <w:color w:val="auto"/>
                <w:lang w:eastAsia="cs-CZ"/>
              </w:rPr>
            </w:pPr>
          </w:p>
        </w:tc>
        <w:tc>
          <w:tcPr>
            <w:tcW w:w="1134" w:type="dxa"/>
            <w:tcBorders>
              <w:top w:val="single" w:sz="4" w:space="0" w:color="auto"/>
              <w:left w:val="single" w:sz="8" w:space="0" w:color="auto"/>
              <w:bottom w:val="single" w:sz="4" w:space="0" w:color="auto"/>
              <w:right w:val="single" w:sz="4" w:space="0" w:color="auto"/>
            </w:tcBorders>
            <w:shd w:val="clear" w:color="000000" w:fill="C6EFCE"/>
            <w:hideMark/>
          </w:tcPr>
          <w:p w14:paraId="70A603BF" w14:textId="77777777" w:rsidR="00CA37AD" w:rsidRPr="0043589D" w:rsidRDefault="00CA37AD" w:rsidP="001E7124">
            <w:pPr>
              <w:spacing w:after="0"/>
              <w:jc w:val="center"/>
              <w:rPr>
                <w:rFonts w:ascii="Calibri" w:eastAsia="Times New Roman" w:hAnsi="Calibri" w:cs="Calibri"/>
                <w:color w:val="006100"/>
                <w:lang w:eastAsia="cs-CZ"/>
              </w:rPr>
            </w:pPr>
            <w:r w:rsidRPr="0043589D">
              <w:rPr>
                <w:rFonts w:ascii="Calibri" w:eastAsia="Times New Roman" w:hAnsi="Calibri" w:cs="Calibri"/>
                <w:color w:val="006100"/>
                <w:lang w:eastAsia="cs-CZ"/>
              </w:rPr>
              <w:t>Doplňující</w:t>
            </w:r>
          </w:p>
        </w:tc>
        <w:tc>
          <w:tcPr>
            <w:tcW w:w="7087" w:type="dxa"/>
            <w:tcBorders>
              <w:top w:val="nil"/>
              <w:left w:val="nil"/>
              <w:bottom w:val="single" w:sz="4" w:space="0" w:color="auto"/>
              <w:right w:val="single" w:sz="4" w:space="0" w:color="auto"/>
            </w:tcBorders>
            <w:shd w:val="clear" w:color="auto" w:fill="auto"/>
            <w:hideMark/>
          </w:tcPr>
          <w:p w14:paraId="2BEAB2EB"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Podíl obézních obyvatel dle BMI přiblížit úrovni průměru EU</w:t>
            </w:r>
          </w:p>
        </w:tc>
        <w:tc>
          <w:tcPr>
            <w:tcW w:w="1134" w:type="dxa"/>
            <w:tcBorders>
              <w:top w:val="nil"/>
              <w:left w:val="nil"/>
              <w:bottom w:val="single" w:sz="4" w:space="0" w:color="auto"/>
              <w:right w:val="single" w:sz="4" w:space="0" w:color="auto"/>
            </w:tcBorders>
            <w:shd w:val="clear" w:color="auto" w:fill="auto"/>
            <w:hideMark/>
          </w:tcPr>
          <w:p w14:paraId="65DEB703"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w:t>
            </w:r>
          </w:p>
        </w:tc>
        <w:tc>
          <w:tcPr>
            <w:tcW w:w="1418" w:type="dxa"/>
            <w:tcBorders>
              <w:top w:val="nil"/>
              <w:left w:val="nil"/>
              <w:bottom w:val="single" w:sz="4" w:space="0" w:color="auto"/>
              <w:right w:val="single" w:sz="4" w:space="0" w:color="auto"/>
            </w:tcBorders>
            <w:shd w:val="clear" w:color="auto" w:fill="auto"/>
            <w:hideMark/>
          </w:tcPr>
          <w:p w14:paraId="2C1FDF88" w14:textId="77777777" w:rsidR="00CA37AD" w:rsidRPr="0043589D" w:rsidRDefault="00CA37AD"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19,3</w:t>
            </w:r>
          </w:p>
        </w:tc>
        <w:tc>
          <w:tcPr>
            <w:tcW w:w="850" w:type="dxa"/>
            <w:tcBorders>
              <w:top w:val="nil"/>
              <w:left w:val="nil"/>
              <w:bottom w:val="single" w:sz="4" w:space="0" w:color="auto"/>
              <w:right w:val="single" w:sz="4" w:space="0" w:color="auto"/>
            </w:tcBorders>
            <w:shd w:val="clear" w:color="auto" w:fill="auto"/>
            <w:hideMark/>
          </w:tcPr>
          <w:p w14:paraId="5DCF3E65"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2019</w:t>
            </w:r>
          </w:p>
        </w:tc>
        <w:tc>
          <w:tcPr>
            <w:tcW w:w="1519" w:type="dxa"/>
            <w:tcBorders>
              <w:top w:val="nil"/>
              <w:left w:val="nil"/>
              <w:bottom w:val="single" w:sz="4" w:space="0" w:color="auto"/>
              <w:right w:val="single" w:sz="8" w:space="0" w:color="auto"/>
            </w:tcBorders>
            <w:shd w:val="clear" w:color="auto" w:fill="auto"/>
            <w:hideMark/>
          </w:tcPr>
          <w:p w14:paraId="7299884C" w14:textId="77777777" w:rsidR="00CA37AD" w:rsidRPr="0043589D" w:rsidRDefault="00CA37AD" w:rsidP="001E7124">
            <w:pPr>
              <w:spacing w:after="0"/>
              <w:jc w:val="left"/>
              <w:rPr>
                <w:rFonts w:ascii="Calibri" w:eastAsia="Times New Roman" w:hAnsi="Calibri" w:cs="Calibri"/>
                <w:color w:val="auto"/>
                <w:u w:val="single"/>
                <w:lang w:eastAsia="cs-CZ"/>
              </w:rPr>
            </w:pPr>
            <w:r w:rsidRPr="0043589D">
              <w:rPr>
                <w:color w:val="auto"/>
              </w:rPr>
              <w:t>Eurostat</w:t>
            </w:r>
          </w:p>
        </w:tc>
      </w:tr>
      <w:tr w:rsidR="00CA37AD" w:rsidRPr="0043589D" w14:paraId="2D38D622" w14:textId="77777777" w:rsidTr="003C5F13">
        <w:trPr>
          <w:trHeight w:val="300"/>
        </w:trPr>
        <w:tc>
          <w:tcPr>
            <w:tcW w:w="1408" w:type="dxa"/>
            <w:vMerge w:val="restart"/>
            <w:tcBorders>
              <w:top w:val="nil"/>
              <w:left w:val="single" w:sz="8" w:space="0" w:color="auto"/>
              <w:bottom w:val="single" w:sz="8" w:space="0" w:color="000000"/>
              <w:right w:val="single" w:sz="8" w:space="0" w:color="auto"/>
            </w:tcBorders>
            <w:shd w:val="clear" w:color="auto" w:fill="auto"/>
            <w:vAlign w:val="center"/>
            <w:hideMark/>
          </w:tcPr>
          <w:p w14:paraId="5C604B4F" w14:textId="77777777" w:rsidR="00CA37AD" w:rsidRPr="0043589D" w:rsidRDefault="00CA37AD" w:rsidP="001E7124">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1.2 Výzkum, vývoj a inovace</w:t>
            </w:r>
          </w:p>
        </w:tc>
        <w:tc>
          <w:tcPr>
            <w:tcW w:w="1134" w:type="dxa"/>
            <w:tcBorders>
              <w:top w:val="single" w:sz="8" w:space="0" w:color="auto"/>
              <w:left w:val="nil"/>
              <w:bottom w:val="single" w:sz="4" w:space="0" w:color="auto"/>
              <w:right w:val="single" w:sz="4" w:space="0" w:color="auto"/>
            </w:tcBorders>
            <w:shd w:val="clear" w:color="000000" w:fill="FFC7CE"/>
            <w:hideMark/>
          </w:tcPr>
          <w:p w14:paraId="753607BD" w14:textId="77777777" w:rsidR="00CA37AD" w:rsidRPr="0043589D" w:rsidRDefault="00CA37AD" w:rsidP="001E7124">
            <w:pPr>
              <w:spacing w:after="0"/>
              <w:jc w:val="center"/>
              <w:rPr>
                <w:rFonts w:ascii="Calibri" w:eastAsia="Times New Roman" w:hAnsi="Calibri" w:cs="Calibri"/>
                <w:color w:val="9C0006"/>
                <w:lang w:eastAsia="cs-CZ"/>
              </w:rPr>
            </w:pPr>
            <w:r w:rsidRPr="0043589D">
              <w:rPr>
                <w:rFonts w:ascii="Calibri" w:eastAsia="Times New Roman" w:hAnsi="Calibri" w:cs="Calibri"/>
                <w:color w:val="9C0006"/>
                <w:lang w:eastAsia="cs-CZ"/>
              </w:rPr>
              <w:t>Strategický</w:t>
            </w:r>
          </w:p>
        </w:tc>
        <w:tc>
          <w:tcPr>
            <w:tcW w:w="7087" w:type="dxa"/>
            <w:tcBorders>
              <w:top w:val="single" w:sz="8" w:space="0" w:color="auto"/>
              <w:left w:val="nil"/>
              <w:bottom w:val="single" w:sz="4" w:space="0" w:color="auto"/>
              <w:right w:val="single" w:sz="4" w:space="0" w:color="auto"/>
            </w:tcBorders>
            <w:shd w:val="clear" w:color="auto" w:fill="auto"/>
            <w:hideMark/>
          </w:tcPr>
          <w:p w14:paraId="34D3C909" w14:textId="77777777" w:rsidR="00CA37AD" w:rsidRPr="0043589D" w:rsidRDefault="00CA37AD" w:rsidP="001E7124">
            <w:pPr>
              <w:spacing w:after="0"/>
              <w:jc w:val="left"/>
              <w:rPr>
                <w:rFonts w:ascii="Calibri" w:eastAsia="Times New Roman" w:hAnsi="Calibri" w:cs="Calibri"/>
                <w:color w:val="auto"/>
                <w:lang w:eastAsia="cs-CZ"/>
              </w:rPr>
            </w:pPr>
            <w:proofErr w:type="spellStart"/>
            <w:r w:rsidRPr="0043589D">
              <w:rPr>
                <w:rFonts w:ascii="Calibri" w:eastAsia="Times New Roman" w:hAnsi="Calibri" w:cs="Calibri"/>
                <w:color w:val="auto"/>
                <w:lang w:eastAsia="cs-CZ"/>
              </w:rPr>
              <w:t>European</w:t>
            </w:r>
            <w:proofErr w:type="spellEnd"/>
            <w:r w:rsidRPr="0043589D">
              <w:rPr>
                <w:rFonts w:ascii="Calibri" w:eastAsia="Times New Roman" w:hAnsi="Calibri" w:cs="Calibri"/>
                <w:color w:val="auto"/>
                <w:lang w:eastAsia="cs-CZ"/>
              </w:rPr>
              <w:t xml:space="preserve"> Innovation </w:t>
            </w:r>
            <w:proofErr w:type="spellStart"/>
            <w:r w:rsidRPr="0043589D">
              <w:rPr>
                <w:rFonts w:ascii="Calibri" w:eastAsia="Times New Roman" w:hAnsi="Calibri" w:cs="Calibri"/>
                <w:color w:val="auto"/>
                <w:lang w:eastAsia="cs-CZ"/>
              </w:rPr>
              <w:t>Scoreboard</w:t>
            </w:r>
            <w:proofErr w:type="spellEnd"/>
            <w:r w:rsidRPr="0043589D">
              <w:rPr>
                <w:rFonts w:ascii="Calibri" w:eastAsia="Times New Roman" w:hAnsi="Calibri" w:cs="Calibri"/>
                <w:color w:val="auto"/>
                <w:lang w:eastAsia="cs-CZ"/>
              </w:rPr>
              <w:t xml:space="preserve"> část atraktivní výzkumné </w:t>
            </w:r>
            <w:proofErr w:type="spellStart"/>
            <w:r w:rsidRPr="0043589D">
              <w:rPr>
                <w:rFonts w:ascii="Calibri" w:eastAsia="Times New Roman" w:hAnsi="Calibri" w:cs="Calibri"/>
                <w:color w:val="auto"/>
                <w:lang w:eastAsia="cs-CZ"/>
              </w:rPr>
              <w:t>sys</w:t>
            </w:r>
            <w:proofErr w:type="spellEnd"/>
            <w:r w:rsidRPr="0043589D">
              <w:rPr>
                <w:rFonts w:ascii="Calibri" w:eastAsia="Times New Roman" w:hAnsi="Calibri" w:cs="Calibri"/>
                <w:color w:val="auto"/>
                <w:lang w:eastAsia="cs-CZ"/>
              </w:rPr>
              <w:t>.</w:t>
            </w:r>
          </w:p>
        </w:tc>
        <w:tc>
          <w:tcPr>
            <w:tcW w:w="1134" w:type="dxa"/>
            <w:tcBorders>
              <w:top w:val="single" w:sz="8" w:space="0" w:color="auto"/>
              <w:left w:val="nil"/>
              <w:bottom w:val="single" w:sz="4" w:space="0" w:color="auto"/>
              <w:right w:val="single" w:sz="4" w:space="0" w:color="auto"/>
            </w:tcBorders>
            <w:shd w:val="clear" w:color="auto" w:fill="auto"/>
            <w:hideMark/>
          </w:tcPr>
          <w:p w14:paraId="3BD41CFC"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index</w:t>
            </w:r>
          </w:p>
        </w:tc>
        <w:tc>
          <w:tcPr>
            <w:tcW w:w="1418" w:type="dxa"/>
            <w:tcBorders>
              <w:top w:val="single" w:sz="8" w:space="0" w:color="auto"/>
              <w:left w:val="nil"/>
              <w:bottom w:val="single" w:sz="4" w:space="0" w:color="auto"/>
              <w:right w:val="single" w:sz="4" w:space="0" w:color="auto"/>
            </w:tcBorders>
            <w:shd w:val="clear" w:color="auto" w:fill="auto"/>
            <w:hideMark/>
          </w:tcPr>
          <w:p w14:paraId="5368CAA9" w14:textId="77777777" w:rsidR="00CA37AD" w:rsidRPr="0043589D" w:rsidRDefault="00CA37AD"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82</w:t>
            </w:r>
          </w:p>
        </w:tc>
        <w:tc>
          <w:tcPr>
            <w:tcW w:w="850" w:type="dxa"/>
            <w:tcBorders>
              <w:top w:val="single" w:sz="8" w:space="0" w:color="auto"/>
              <w:left w:val="nil"/>
              <w:bottom w:val="single" w:sz="4" w:space="0" w:color="auto"/>
              <w:right w:val="single" w:sz="4" w:space="0" w:color="auto"/>
            </w:tcBorders>
            <w:shd w:val="clear" w:color="auto" w:fill="auto"/>
            <w:hideMark/>
          </w:tcPr>
          <w:p w14:paraId="76338A6F"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2023</w:t>
            </w:r>
          </w:p>
        </w:tc>
        <w:tc>
          <w:tcPr>
            <w:tcW w:w="1519" w:type="dxa"/>
            <w:tcBorders>
              <w:top w:val="single" w:sz="8" w:space="0" w:color="auto"/>
              <w:left w:val="nil"/>
              <w:bottom w:val="single" w:sz="4" w:space="0" w:color="auto"/>
              <w:right w:val="single" w:sz="8" w:space="0" w:color="auto"/>
            </w:tcBorders>
            <w:shd w:val="clear" w:color="auto" w:fill="auto"/>
            <w:hideMark/>
          </w:tcPr>
          <w:p w14:paraId="3252CABF" w14:textId="77777777" w:rsidR="00CA37AD" w:rsidRPr="0043589D" w:rsidRDefault="00CA37AD" w:rsidP="001E7124">
            <w:pPr>
              <w:spacing w:after="0"/>
              <w:jc w:val="left"/>
              <w:rPr>
                <w:rFonts w:ascii="Calibri" w:eastAsia="Times New Roman" w:hAnsi="Calibri" w:cs="Calibri"/>
                <w:color w:val="auto"/>
                <w:u w:val="single"/>
                <w:lang w:eastAsia="cs-CZ"/>
              </w:rPr>
            </w:pPr>
            <w:r w:rsidRPr="0043589D">
              <w:rPr>
                <w:rFonts w:ascii="Calibri" w:eastAsia="Times New Roman" w:hAnsi="Calibri" w:cs="Calibri"/>
                <w:color w:val="auto"/>
                <w:lang w:eastAsia="cs-CZ"/>
              </w:rPr>
              <w:t>EK</w:t>
            </w:r>
          </w:p>
        </w:tc>
      </w:tr>
      <w:tr w:rsidR="00CA37AD" w:rsidRPr="0043589D" w14:paraId="64A8CC8E" w14:textId="77777777" w:rsidTr="003C5F13">
        <w:trPr>
          <w:trHeight w:val="300"/>
        </w:trPr>
        <w:tc>
          <w:tcPr>
            <w:tcW w:w="1408" w:type="dxa"/>
            <w:vMerge/>
            <w:tcBorders>
              <w:top w:val="nil"/>
              <w:left w:val="single" w:sz="8" w:space="0" w:color="auto"/>
              <w:bottom w:val="single" w:sz="8" w:space="0" w:color="000000"/>
              <w:right w:val="single" w:sz="8" w:space="0" w:color="auto"/>
            </w:tcBorders>
            <w:vAlign w:val="center"/>
            <w:hideMark/>
          </w:tcPr>
          <w:p w14:paraId="787B9A88" w14:textId="77777777" w:rsidR="00CA37AD" w:rsidRPr="0043589D" w:rsidRDefault="00CA37AD" w:rsidP="001E7124">
            <w:pPr>
              <w:spacing w:after="0"/>
              <w:jc w:val="left"/>
              <w:rPr>
                <w:rFonts w:ascii="Calibri" w:eastAsia="Times New Roman" w:hAnsi="Calibri" w:cs="Calibri"/>
                <w:color w:val="auto"/>
                <w:lang w:eastAsia="cs-CZ"/>
              </w:rPr>
            </w:pPr>
          </w:p>
        </w:tc>
        <w:tc>
          <w:tcPr>
            <w:tcW w:w="1134" w:type="dxa"/>
            <w:tcBorders>
              <w:top w:val="nil"/>
              <w:left w:val="nil"/>
              <w:bottom w:val="single" w:sz="4" w:space="0" w:color="auto"/>
              <w:right w:val="single" w:sz="4" w:space="0" w:color="auto"/>
            </w:tcBorders>
            <w:shd w:val="clear" w:color="000000" w:fill="FFC7CE"/>
            <w:hideMark/>
          </w:tcPr>
          <w:p w14:paraId="38E45ED9" w14:textId="77777777" w:rsidR="00CA37AD" w:rsidRPr="0043589D" w:rsidRDefault="00CA37AD" w:rsidP="001E7124">
            <w:pPr>
              <w:spacing w:after="0"/>
              <w:jc w:val="center"/>
              <w:rPr>
                <w:rFonts w:ascii="Calibri" w:eastAsia="Times New Roman" w:hAnsi="Calibri" w:cs="Calibri"/>
                <w:color w:val="9C0006"/>
                <w:lang w:eastAsia="cs-CZ"/>
              </w:rPr>
            </w:pPr>
            <w:r w:rsidRPr="0043589D">
              <w:rPr>
                <w:rFonts w:ascii="Calibri" w:eastAsia="Times New Roman" w:hAnsi="Calibri" w:cs="Calibri"/>
                <w:color w:val="9C0006"/>
                <w:lang w:eastAsia="cs-CZ"/>
              </w:rPr>
              <w:t>Strategický</w:t>
            </w:r>
          </w:p>
        </w:tc>
        <w:tc>
          <w:tcPr>
            <w:tcW w:w="7087" w:type="dxa"/>
            <w:tcBorders>
              <w:top w:val="nil"/>
              <w:left w:val="nil"/>
              <w:bottom w:val="single" w:sz="4" w:space="0" w:color="auto"/>
              <w:right w:val="single" w:sz="4" w:space="0" w:color="auto"/>
            </w:tcBorders>
            <w:shd w:val="clear" w:color="auto" w:fill="auto"/>
            <w:hideMark/>
          </w:tcPr>
          <w:p w14:paraId="2C178605"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 xml:space="preserve">Thomson Reuters </w:t>
            </w:r>
            <w:proofErr w:type="spellStart"/>
            <w:r w:rsidRPr="0043589D">
              <w:rPr>
                <w:rFonts w:ascii="Calibri" w:eastAsia="Times New Roman" w:hAnsi="Calibri" w:cs="Calibri"/>
                <w:color w:val="auto"/>
                <w:lang w:eastAsia="cs-CZ"/>
              </w:rPr>
              <w:t>Scientific</w:t>
            </w:r>
            <w:proofErr w:type="spellEnd"/>
            <w:r w:rsidRPr="0043589D">
              <w:rPr>
                <w:rFonts w:ascii="Calibri" w:eastAsia="Times New Roman" w:hAnsi="Calibri" w:cs="Calibri"/>
                <w:color w:val="auto"/>
                <w:lang w:eastAsia="cs-CZ"/>
              </w:rPr>
              <w:t xml:space="preserve"> Index</w:t>
            </w:r>
          </w:p>
        </w:tc>
        <w:tc>
          <w:tcPr>
            <w:tcW w:w="1134" w:type="dxa"/>
            <w:tcBorders>
              <w:top w:val="nil"/>
              <w:left w:val="nil"/>
              <w:bottom w:val="single" w:sz="4" w:space="0" w:color="auto"/>
              <w:right w:val="single" w:sz="4" w:space="0" w:color="auto"/>
            </w:tcBorders>
            <w:shd w:val="clear" w:color="auto" w:fill="auto"/>
            <w:hideMark/>
          </w:tcPr>
          <w:p w14:paraId="1D7D49D5"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pořadí</w:t>
            </w:r>
          </w:p>
        </w:tc>
        <w:tc>
          <w:tcPr>
            <w:tcW w:w="1418" w:type="dxa"/>
            <w:tcBorders>
              <w:top w:val="nil"/>
              <w:left w:val="nil"/>
              <w:bottom w:val="single" w:sz="4" w:space="0" w:color="auto"/>
              <w:right w:val="single" w:sz="4" w:space="0" w:color="auto"/>
            </w:tcBorders>
            <w:shd w:val="clear" w:color="auto" w:fill="auto"/>
            <w:hideMark/>
          </w:tcPr>
          <w:p w14:paraId="6A8625F3" w14:textId="77777777" w:rsidR="00CA37AD" w:rsidRPr="0043589D" w:rsidRDefault="00CA37AD"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43</w:t>
            </w:r>
          </w:p>
        </w:tc>
        <w:tc>
          <w:tcPr>
            <w:tcW w:w="850" w:type="dxa"/>
            <w:tcBorders>
              <w:top w:val="nil"/>
              <w:left w:val="nil"/>
              <w:bottom w:val="single" w:sz="4" w:space="0" w:color="auto"/>
              <w:right w:val="single" w:sz="4" w:space="0" w:color="auto"/>
            </w:tcBorders>
            <w:shd w:val="clear" w:color="auto" w:fill="auto"/>
            <w:hideMark/>
          </w:tcPr>
          <w:p w14:paraId="376AD69C"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2024</w:t>
            </w:r>
          </w:p>
        </w:tc>
        <w:tc>
          <w:tcPr>
            <w:tcW w:w="1519" w:type="dxa"/>
            <w:tcBorders>
              <w:top w:val="nil"/>
              <w:left w:val="nil"/>
              <w:bottom w:val="single" w:sz="4" w:space="0" w:color="auto"/>
              <w:right w:val="single" w:sz="8" w:space="0" w:color="auto"/>
            </w:tcBorders>
            <w:shd w:val="clear" w:color="auto" w:fill="auto"/>
            <w:hideMark/>
          </w:tcPr>
          <w:p w14:paraId="18B7F7C4" w14:textId="77777777" w:rsidR="00CA37AD" w:rsidRPr="0043589D" w:rsidRDefault="00CA37AD" w:rsidP="001E7124">
            <w:pPr>
              <w:spacing w:after="0"/>
              <w:jc w:val="left"/>
              <w:rPr>
                <w:rFonts w:ascii="Calibri" w:eastAsia="Times New Roman" w:hAnsi="Calibri" w:cs="Calibri"/>
                <w:color w:val="auto"/>
                <w:u w:val="single"/>
                <w:lang w:eastAsia="cs-CZ"/>
              </w:rPr>
            </w:pPr>
            <w:proofErr w:type="spellStart"/>
            <w:r w:rsidRPr="0043589D">
              <w:rPr>
                <w:color w:val="auto"/>
              </w:rPr>
              <w:t>Sc</w:t>
            </w:r>
            <w:proofErr w:type="spellEnd"/>
            <w:r w:rsidRPr="0043589D">
              <w:rPr>
                <w:color w:val="auto"/>
              </w:rPr>
              <w:t>. Index</w:t>
            </w:r>
          </w:p>
        </w:tc>
      </w:tr>
      <w:tr w:rsidR="00CA37AD" w:rsidRPr="0043589D" w14:paraId="4FCB77F6" w14:textId="77777777" w:rsidTr="003C5F13">
        <w:trPr>
          <w:trHeight w:val="300"/>
        </w:trPr>
        <w:tc>
          <w:tcPr>
            <w:tcW w:w="1408" w:type="dxa"/>
            <w:vMerge/>
            <w:tcBorders>
              <w:top w:val="nil"/>
              <w:left w:val="single" w:sz="8" w:space="0" w:color="auto"/>
              <w:bottom w:val="single" w:sz="8" w:space="0" w:color="000000"/>
              <w:right w:val="single" w:sz="8" w:space="0" w:color="auto"/>
            </w:tcBorders>
            <w:vAlign w:val="center"/>
            <w:hideMark/>
          </w:tcPr>
          <w:p w14:paraId="3ABC3FD3" w14:textId="77777777" w:rsidR="00CA37AD" w:rsidRPr="0043589D" w:rsidRDefault="00CA37AD" w:rsidP="001E7124">
            <w:pPr>
              <w:spacing w:after="0"/>
              <w:jc w:val="left"/>
              <w:rPr>
                <w:rFonts w:ascii="Calibri" w:eastAsia="Times New Roman" w:hAnsi="Calibri" w:cs="Calibri"/>
                <w:color w:val="auto"/>
                <w:lang w:eastAsia="cs-CZ"/>
              </w:rPr>
            </w:pPr>
          </w:p>
        </w:tc>
        <w:tc>
          <w:tcPr>
            <w:tcW w:w="1134" w:type="dxa"/>
            <w:tcBorders>
              <w:top w:val="single" w:sz="4" w:space="0" w:color="auto"/>
              <w:left w:val="single" w:sz="8" w:space="0" w:color="auto"/>
              <w:bottom w:val="single" w:sz="4" w:space="0" w:color="auto"/>
              <w:right w:val="single" w:sz="4" w:space="0" w:color="auto"/>
            </w:tcBorders>
            <w:shd w:val="clear" w:color="000000" w:fill="C6EFCE"/>
            <w:hideMark/>
          </w:tcPr>
          <w:p w14:paraId="62E94C21" w14:textId="77777777" w:rsidR="00CA37AD" w:rsidRPr="0043589D" w:rsidRDefault="00CA37AD" w:rsidP="001E7124">
            <w:pPr>
              <w:spacing w:after="0"/>
              <w:jc w:val="center"/>
              <w:rPr>
                <w:rFonts w:ascii="Calibri" w:eastAsia="Times New Roman" w:hAnsi="Calibri" w:cs="Calibri"/>
                <w:color w:val="006100"/>
                <w:lang w:eastAsia="cs-CZ"/>
              </w:rPr>
            </w:pPr>
            <w:r w:rsidRPr="0043589D">
              <w:rPr>
                <w:rFonts w:ascii="Calibri" w:eastAsia="Times New Roman" w:hAnsi="Calibri" w:cs="Calibri"/>
                <w:color w:val="006100"/>
                <w:lang w:eastAsia="cs-CZ"/>
              </w:rPr>
              <w:t>Doplňující</w:t>
            </w:r>
          </w:p>
        </w:tc>
        <w:tc>
          <w:tcPr>
            <w:tcW w:w="7087" w:type="dxa"/>
            <w:tcBorders>
              <w:top w:val="nil"/>
              <w:left w:val="nil"/>
              <w:bottom w:val="single" w:sz="4" w:space="0" w:color="auto"/>
              <w:right w:val="single" w:sz="4" w:space="0" w:color="auto"/>
            </w:tcBorders>
            <w:shd w:val="clear" w:color="auto" w:fill="auto"/>
            <w:hideMark/>
          </w:tcPr>
          <w:p w14:paraId="2B1A7CF5" w14:textId="77777777" w:rsidR="00CA37AD" w:rsidRPr="0043589D" w:rsidRDefault="00CA37AD" w:rsidP="001E7124">
            <w:pPr>
              <w:spacing w:after="0"/>
              <w:jc w:val="left"/>
              <w:rPr>
                <w:rFonts w:ascii="Calibri" w:eastAsia="Times New Roman" w:hAnsi="Calibri" w:cs="Calibri"/>
                <w:color w:val="auto"/>
                <w:lang w:eastAsia="cs-CZ"/>
              </w:rPr>
            </w:pPr>
            <w:proofErr w:type="spellStart"/>
            <w:r w:rsidRPr="0043589D">
              <w:rPr>
                <w:rFonts w:ascii="Calibri" w:eastAsia="Times New Roman" w:hAnsi="Calibri" w:cs="Calibri"/>
                <w:color w:val="auto"/>
                <w:lang w:eastAsia="cs-CZ"/>
              </w:rPr>
              <w:t>Eco-innovation</w:t>
            </w:r>
            <w:proofErr w:type="spellEnd"/>
            <w:r w:rsidRPr="0043589D">
              <w:rPr>
                <w:rFonts w:ascii="Calibri" w:eastAsia="Times New Roman" w:hAnsi="Calibri" w:cs="Calibri"/>
                <w:color w:val="auto"/>
                <w:lang w:eastAsia="cs-CZ"/>
              </w:rPr>
              <w:t xml:space="preserve"> index</w:t>
            </w:r>
          </w:p>
        </w:tc>
        <w:tc>
          <w:tcPr>
            <w:tcW w:w="1134" w:type="dxa"/>
            <w:tcBorders>
              <w:top w:val="nil"/>
              <w:left w:val="nil"/>
              <w:bottom w:val="single" w:sz="4" w:space="0" w:color="auto"/>
              <w:right w:val="single" w:sz="4" w:space="0" w:color="auto"/>
            </w:tcBorders>
            <w:shd w:val="clear" w:color="auto" w:fill="auto"/>
            <w:hideMark/>
          </w:tcPr>
          <w:p w14:paraId="32389D38"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index</w:t>
            </w:r>
          </w:p>
        </w:tc>
        <w:tc>
          <w:tcPr>
            <w:tcW w:w="1418" w:type="dxa"/>
            <w:tcBorders>
              <w:top w:val="nil"/>
              <w:left w:val="nil"/>
              <w:bottom w:val="single" w:sz="4" w:space="0" w:color="auto"/>
              <w:right w:val="single" w:sz="4" w:space="0" w:color="auto"/>
            </w:tcBorders>
            <w:shd w:val="clear" w:color="auto" w:fill="auto"/>
            <w:hideMark/>
          </w:tcPr>
          <w:p w14:paraId="40F43B7F" w14:textId="77777777" w:rsidR="00CA37AD" w:rsidRPr="0043589D" w:rsidRDefault="00CA37AD"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110,98</w:t>
            </w:r>
          </w:p>
        </w:tc>
        <w:tc>
          <w:tcPr>
            <w:tcW w:w="850" w:type="dxa"/>
            <w:tcBorders>
              <w:top w:val="nil"/>
              <w:left w:val="nil"/>
              <w:bottom w:val="single" w:sz="4" w:space="0" w:color="auto"/>
              <w:right w:val="single" w:sz="4" w:space="0" w:color="auto"/>
            </w:tcBorders>
            <w:shd w:val="clear" w:color="auto" w:fill="auto"/>
            <w:hideMark/>
          </w:tcPr>
          <w:p w14:paraId="749B3BEB"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2022</w:t>
            </w:r>
          </w:p>
        </w:tc>
        <w:tc>
          <w:tcPr>
            <w:tcW w:w="1519" w:type="dxa"/>
            <w:tcBorders>
              <w:top w:val="nil"/>
              <w:left w:val="nil"/>
              <w:bottom w:val="single" w:sz="4" w:space="0" w:color="auto"/>
              <w:right w:val="single" w:sz="8" w:space="0" w:color="auto"/>
            </w:tcBorders>
            <w:shd w:val="clear" w:color="auto" w:fill="auto"/>
            <w:hideMark/>
          </w:tcPr>
          <w:p w14:paraId="02569CD6" w14:textId="77777777" w:rsidR="00CA37AD" w:rsidRPr="0043589D" w:rsidRDefault="00CA37AD" w:rsidP="001E7124">
            <w:pPr>
              <w:spacing w:after="0"/>
              <w:jc w:val="left"/>
              <w:rPr>
                <w:rFonts w:ascii="Calibri" w:eastAsia="Times New Roman" w:hAnsi="Calibri" w:cs="Calibri"/>
                <w:color w:val="auto"/>
                <w:u w:val="single"/>
                <w:lang w:eastAsia="cs-CZ"/>
              </w:rPr>
            </w:pPr>
            <w:r w:rsidRPr="0043589D">
              <w:rPr>
                <w:rFonts w:ascii="Calibri" w:eastAsia="Times New Roman" w:hAnsi="Calibri" w:cs="Calibri"/>
                <w:color w:val="auto"/>
                <w:lang w:eastAsia="cs-CZ"/>
              </w:rPr>
              <w:t>EK</w:t>
            </w:r>
          </w:p>
        </w:tc>
      </w:tr>
      <w:tr w:rsidR="00CA37AD" w:rsidRPr="0043589D" w14:paraId="138771F2" w14:textId="77777777" w:rsidTr="003C5F13">
        <w:trPr>
          <w:trHeight w:val="300"/>
        </w:trPr>
        <w:tc>
          <w:tcPr>
            <w:tcW w:w="1408" w:type="dxa"/>
            <w:vMerge/>
            <w:tcBorders>
              <w:top w:val="nil"/>
              <w:left w:val="single" w:sz="8" w:space="0" w:color="auto"/>
              <w:bottom w:val="single" w:sz="8" w:space="0" w:color="000000"/>
              <w:right w:val="single" w:sz="8" w:space="0" w:color="auto"/>
            </w:tcBorders>
            <w:vAlign w:val="center"/>
            <w:hideMark/>
          </w:tcPr>
          <w:p w14:paraId="4BC5F761" w14:textId="77777777" w:rsidR="00CA37AD" w:rsidRPr="0043589D" w:rsidRDefault="00CA37AD" w:rsidP="001E7124">
            <w:pPr>
              <w:spacing w:after="0"/>
              <w:jc w:val="left"/>
              <w:rPr>
                <w:rFonts w:ascii="Calibri" w:eastAsia="Times New Roman" w:hAnsi="Calibri" w:cs="Calibri"/>
                <w:color w:val="auto"/>
                <w:lang w:eastAsia="cs-CZ"/>
              </w:rPr>
            </w:pPr>
          </w:p>
        </w:tc>
        <w:tc>
          <w:tcPr>
            <w:tcW w:w="1134" w:type="dxa"/>
            <w:tcBorders>
              <w:top w:val="single" w:sz="4" w:space="0" w:color="auto"/>
              <w:left w:val="single" w:sz="8" w:space="0" w:color="auto"/>
              <w:bottom w:val="single" w:sz="4" w:space="0" w:color="auto"/>
              <w:right w:val="single" w:sz="4" w:space="0" w:color="auto"/>
            </w:tcBorders>
            <w:shd w:val="clear" w:color="000000" w:fill="C6EFCE"/>
            <w:hideMark/>
          </w:tcPr>
          <w:p w14:paraId="04B01B02" w14:textId="77777777" w:rsidR="00CA37AD" w:rsidRPr="0043589D" w:rsidRDefault="00CA37AD" w:rsidP="001E7124">
            <w:pPr>
              <w:spacing w:after="0"/>
              <w:jc w:val="center"/>
              <w:rPr>
                <w:rFonts w:ascii="Calibri" w:eastAsia="Times New Roman" w:hAnsi="Calibri" w:cs="Calibri"/>
                <w:color w:val="006100"/>
                <w:lang w:eastAsia="cs-CZ"/>
              </w:rPr>
            </w:pPr>
            <w:r w:rsidRPr="0043589D">
              <w:rPr>
                <w:rFonts w:ascii="Calibri" w:eastAsia="Times New Roman" w:hAnsi="Calibri" w:cs="Calibri"/>
                <w:color w:val="006100"/>
                <w:lang w:eastAsia="cs-CZ"/>
              </w:rPr>
              <w:t>Doplňující</w:t>
            </w:r>
          </w:p>
        </w:tc>
        <w:tc>
          <w:tcPr>
            <w:tcW w:w="7087" w:type="dxa"/>
            <w:tcBorders>
              <w:top w:val="nil"/>
              <w:left w:val="nil"/>
              <w:bottom w:val="single" w:sz="4" w:space="0" w:color="auto"/>
              <w:right w:val="single" w:sz="4" w:space="0" w:color="auto"/>
            </w:tcBorders>
            <w:shd w:val="clear" w:color="auto" w:fill="auto"/>
            <w:hideMark/>
          </w:tcPr>
          <w:p w14:paraId="7308DC3D" w14:textId="15A5B9FF"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 xml:space="preserve">Podíl financí na </w:t>
            </w:r>
            <w:proofErr w:type="spellStart"/>
            <w:r w:rsidRPr="0043589D">
              <w:rPr>
                <w:rFonts w:ascii="Calibri" w:eastAsia="Times New Roman" w:hAnsi="Calibri" w:cs="Calibri"/>
                <w:color w:val="auto"/>
                <w:lang w:eastAsia="cs-CZ"/>
              </w:rPr>
              <w:t>VaV</w:t>
            </w:r>
            <w:proofErr w:type="spellEnd"/>
            <w:r w:rsidRPr="0043589D">
              <w:rPr>
                <w:rFonts w:ascii="Calibri" w:eastAsia="Times New Roman" w:hAnsi="Calibri" w:cs="Calibri"/>
                <w:color w:val="auto"/>
                <w:lang w:eastAsia="cs-CZ"/>
              </w:rPr>
              <w:t xml:space="preserve"> z evropských kompetitivních komunitárních programů</w:t>
            </w:r>
          </w:p>
        </w:tc>
        <w:tc>
          <w:tcPr>
            <w:tcW w:w="1134" w:type="dxa"/>
            <w:tcBorders>
              <w:top w:val="nil"/>
              <w:left w:val="nil"/>
              <w:bottom w:val="single" w:sz="4" w:space="0" w:color="auto"/>
              <w:right w:val="single" w:sz="4" w:space="0" w:color="auto"/>
            </w:tcBorders>
            <w:shd w:val="clear" w:color="auto" w:fill="auto"/>
            <w:hideMark/>
          </w:tcPr>
          <w:p w14:paraId="35F5F910" w14:textId="2939C655" w:rsidR="00CA37AD" w:rsidRPr="0043589D" w:rsidRDefault="007C679A"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w:t>
            </w:r>
          </w:p>
        </w:tc>
        <w:tc>
          <w:tcPr>
            <w:tcW w:w="1418" w:type="dxa"/>
            <w:tcBorders>
              <w:top w:val="nil"/>
              <w:left w:val="nil"/>
              <w:bottom w:val="single" w:sz="4" w:space="0" w:color="auto"/>
              <w:right w:val="single" w:sz="4" w:space="0" w:color="auto"/>
            </w:tcBorders>
            <w:shd w:val="clear" w:color="auto" w:fill="auto"/>
            <w:hideMark/>
          </w:tcPr>
          <w:p w14:paraId="386099AE" w14:textId="1FFC2CA7" w:rsidR="00CA37AD" w:rsidRPr="0043589D" w:rsidRDefault="007C679A"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w:t>
            </w:r>
          </w:p>
        </w:tc>
        <w:tc>
          <w:tcPr>
            <w:tcW w:w="850" w:type="dxa"/>
            <w:tcBorders>
              <w:top w:val="nil"/>
              <w:left w:val="nil"/>
              <w:bottom w:val="single" w:sz="4" w:space="0" w:color="auto"/>
              <w:right w:val="single" w:sz="4" w:space="0" w:color="auto"/>
            </w:tcBorders>
            <w:shd w:val="clear" w:color="auto" w:fill="auto"/>
            <w:hideMark/>
          </w:tcPr>
          <w:p w14:paraId="6CF46AE5" w14:textId="6230646E" w:rsidR="00CA37AD" w:rsidRPr="0043589D" w:rsidRDefault="007C679A"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w:t>
            </w:r>
          </w:p>
        </w:tc>
        <w:tc>
          <w:tcPr>
            <w:tcW w:w="1519" w:type="dxa"/>
            <w:tcBorders>
              <w:top w:val="nil"/>
              <w:left w:val="nil"/>
              <w:bottom w:val="single" w:sz="4" w:space="0" w:color="auto"/>
              <w:right w:val="single" w:sz="8" w:space="0" w:color="auto"/>
            </w:tcBorders>
            <w:shd w:val="clear" w:color="auto" w:fill="auto"/>
            <w:hideMark/>
          </w:tcPr>
          <w:p w14:paraId="77B5C65A" w14:textId="03759010" w:rsidR="00CA37AD" w:rsidRPr="0043589D" w:rsidRDefault="007C679A" w:rsidP="001E7124">
            <w:pPr>
              <w:spacing w:after="0"/>
              <w:jc w:val="left"/>
              <w:rPr>
                <w:rFonts w:ascii="Calibri" w:eastAsia="Times New Roman" w:hAnsi="Calibri" w:cs="Calibri"/>
                <w:color w:val="auto"/>
                <w:u w:val="single"/>
                <w:lang w:eastAsia="cs-CZ"/>
              </w:rPr>
            </w:pPr>
            <w:r w:rsidRPr="0043589D">
              <w:rPr>
                <w:rFonts w:ascii="Calibri" w:eastAsia="Times New Roman" w:hAnsi="Calibri" w:cs="Calibri"/>
                <w:color w:val="auto"/>
                <w:lang w:eastAsia="cs-CZ"/>
              </w:rPr>
              <w:t>-</w:t>
            </w:r>
          </w:p>
        </w:tc>
      </w:tr>
      <w:tr w:rsidR="00CA37AD" w:rsidRPr="0043589D" w14:paraId="39891CFE" w14:textId="77777777" w:rsidTr="003C5F13">
        <w:trPr>
          <w:trHeight w:val="300"/>
        </w:trPr>
        <w:tc>
          <w:tcPr>
            <w:tcW w:w="1408" w:type="dxa"/>
            <w:vMerge/>
            <w:tcBorders>
              <w:top w:val="nil"/>
              <w:left w:val="single" w:sz="8" w:space="0" w:color="auto"/>
              <w:bottom w:val="single" w:sz="8" w:space="0" w:color="000000"/>
              <w:right w:val="single" w:sz="8" w:space="0" w:color="auto"/>
            </w:tcBorders>
            <w:vAlign w:val="center"/>
            <w:hideMark/>
          </w:tcPr>
          <w:p w14:paraId="4E2AFF25" w14:textId="77777777" w:rsidR="00CA37AD" w:rsidRPr="0043589D" w:rsidRDefault="00CA37AD" w:rsidP="001E7124">
            <w:pPr>
              <w:spacing w:after="0"/>
              <w:jc w:val="left"/>
              <w:rPr>
                <w:rFonts w:ascii="Calibri" w:eastAsia="Times New Roman" w:hAnsi="Calibri" w:cs="Calibri"/>
                <w:color w:val="auto"/>
                <w:lang w:eastAsia="cs-CZ"/>
              </w:rPr>
            </w:pPr>
          </w:p>
        </w:tc>
        <w:tc>
          <w:tcPr>
            <w:tcW w:w="1134" w:type="dxa"/>
            <w:tcBorders>
              <w:top w:val="single" w:sz="4" w:space="0" w:color="auto"/>
              <w:left w:val="single" w:sz="8" w:space="0" w:color="auto"/>
              <w:bottom w:val="single" w:sz="8" w:space="0" w:color="auto"/>
              <w:right w:val="single" w:sz="4" w:space="0" w:color="auto"/>
            </w:tcBorders>
            <w:shd w:val="clear" w:color="000000" w:fill="C6EFCE"/>
            <w:hideMark/>
          </w:tcPr>
          <w:p w14:paraId="628B0B0D" w14:textId="77777777" w:rsidR="00CA37AD" w:rsidRPr="0043589D" w:rsidRDefault="00CA37AD" w:rsidP="001E7124">
            <w:pPr>
              <w:spacing w:after="0"/>
              <w:jc w:val="center"/>
              <w:rPr>
                <w:rFonts w:ascii="Calibri" w:eastAsia="Times New Roman" w:hAnsi="Calibri" w:cs="Calibri"/>
                <w:color w:val="006100"/>
                <w:lang w:eastAsia="cs-CZ"/>
              </w:rPr>
            </w:pPr>
            <w:r w:rsidRPr="0043589D">
              <w:rPr>
                <w:rFonts w:ascii="Calibri" w:eastAsia="Times New Roman" w:hAnsi="Calibri" w:cs="Calibri"/>
                <w:color w:val="006100"/>
                <w:lang w:eastAsia="cs-CZ"/>
              </w:rPr>
              <w:t>Doplňující</w:t>
            </w:r>
          </w:p>
        </w:tc>
        <w:tc>
          <w:tcPr>
            <w:tcW w:w="7087" w:type="dxa"/>
            <w:tcBorders>
              <w:top w:val="nil"/>
              <w:left w:val="nil"/>
              <w:bottom w:val="single" w:sz="8" w:space="0" w:color="auto"/>
              <w:right w:val="single" w:sz="4" w:space="0" w:color="auto"/>
            </w:tcBorders>
            <w:shd w:val="clear" w:color="auto" w:fill="auto"/>
            <w:hideMark/>
          </w:tcPr>
          <w:p w14:paraId="0B33DF0C"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 xml:space="preserve">Podíl financí na </w:t>
            </w:r>
            <w:proofErr w:type="spellStart"/>
            <w:r w:rsidRPr="0043589D">
              <w:rPr>
                <w:rFonts w:ascii="Calibri" w:eastAsia="Times New Roman" w:hAnsi="Calibri" w:cs="Calibri"/>
                <w:color w:val="auto"/>
                <w:lang w:eastAsia="cs-CZ"/>
              </w:rPr>
              <w:t>VaV</w:t>
            </w:r>
            <w:proofErr w:type="spellEnd"/>
            <w:r w:rsidRPr="0043589D">
              <w:rPr>
                <w:rFonts w:ascii="Calibri" w:eastAsia="Times New Roman" w:hAnsi="Calibri" w:cs="Calibri"/>
                <w:color w:val="auto"/>
                <w:lang w:eastAsia="cs-CZ"/>
              </w:rPr>
              <w:t xml:space="preserve"> z privátních zdrojů</w:t>
            </w:r>
          </w:p>
        </w:tc>
        <w:tc>
          <w:tcPr>
            <w:tcW w:w="1134" w:type="dxa"/>
            <w:tcBorders>
              <w:top w:val="nil"/>
              <w:left w:val="nil"/>
              <w:bottom w:val="single" w:sz="8" w:space="0" w:color="auto"/>
              <w:right w:val="single" w:sz="4" w:space="0" w:color="auto"/>
            </w:tcBorders>
            <w:shd w:val="clear" w:color="auto" w:fill="auto"/>
            <w:hideMark/>
          </w:tcPr>
          <w:p w14:paraId="6000835C"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w:t>
            </w:r>
          </w:p>
        </w:tc>
        <w:tc>
          <w:tcPr>
            <w:tcW w:w="1418" w:type="dxa"/>
            <w:tcBorders>
              <w:top w:val="nil"/>
              <w:left w:val="nil"/>
              <w:bottom w:val="single" w:sz="8" w:space="0" w:color="auto"/>
              <w:right w:val="single" w:sz="4" w:space="0" w:color="auto"/>
            </w:tcBorders>
            <w:shd w:val="clear" w:color="auto" w:fill="auto"/>
            <w:hideMark/>
          </w:tcPr>
          <w:p w14:paraId="0EBC3C83" w14:textId="77777777" w:rsidR="00CA37AD" w:rsidRPr="0043589D" w:rsidRDefault="00CA37AD"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1,3</w:t>
            </w:r>
          </w:p>
        </w:tc>
        <w:tc>
          <w:tcPr>
            <w:tcW w:w="850" w:type="dxa"/>
            <w:tcBorders>
              <w:top w:val="nil"/>
              <w:left w:val="nil"/>
              <w:bottom w:val="single" w:sz="8" w:space="0" w:color="auto"/>
              <w:right w:val="single" w:sz="4" w:space="0" w:color="auto"/>
            </w:tcBorders>
            <w:shd w:val="clear" w:color="auto" w:fill="auto"/>
            <w:hideMark/>
          </w:tcPr>
          <w:p w14:paraId="666A2A21"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2022</w:t>
            </w:r>
          </w:p>
        </w:tc>
        <w:tc>
          <w:tcPr>
            <w:tcW w:w="1519" w:type="dxa"/>
            <w:tcBorders>
              <w:top w:val="nil"/>
              <w:left w:val="nil"/>
              <w:bottom w:val="single" w:sz="8" w:space="0" w:color="auto"/>
              <w:right w:val="single" w:sz="8" w:space="0" w:color="auto"/>
            </w:tcBorders>
            <w:shd w:val="clear" w:color="auto" w:fill="auto"/>
            <w:hideMark/>
          </w:tcPr>
          <w:p w14:paraId="11DF2B34" w14:textId="77777777" w:rsidR="00CA37AD" w:rsidRPr="0043589D" w:rsidRDefault="00CA37AD" w:rsidP="001E7124">
            <w:pPr>
              <w:spacing w:after="0"/>
              <w:jc w:val="left"/>
              <w:rPr>
                <w:rFonts w:ascii="Calibri" w:eastAsia="Times New Roman" w:hAnsi="Calibri" w:cs="Calibri"/>
                <w:color w:val="auto"/>
                <w:u w:val="single"/>
                <w:lang w:eastAsia="cs-CZ"/>
              </w:rPr>
            </w:pPr>
            <w:r w:rsidRPr="0043589D">
              <w:rPr>
                <w:rFonts w:ascii="Calibri" w:eastAsia="Times New Roman" w:hAnsi="Calibri" w:cs="Calibri"/>
                <w:color w:val="auto"/>
                <w:lang w:eastAsia="cs-CZ"/>
              </w:rPr>
              <w:t>EK</w:t>
            </w:r>
          </w:p>
        </w:tc>
      </w:tr>
      <w:tr w:rsidR="00CA37AD" w:rsidRPr="0043589D" w14:paraId="6BEB0FA0" w14:textId="77777777" w:rsidTr="003C5F13">
        <w:trPr>
          <w:trHeight w:val="300"/>
        </w:trPr>
        <w:tc>
          <w:tcPr>
            <w:tcW w:w="1408" w:type="dxa"/>
            <w:vMerge w:val="restart"/>
            <w:tcBorders>
              <w:top w:val="nil"/>
              <w:left w:val="single" w:sz="8" w:space="0" w:color="auto"/>
              <w:bottom w:val="single" w:sz="8" w:space="0" w:color="000000"/>
              <w:right w:val="single" w:sz="8" w:space="0" w:color="auto"/>
            </w:tcBorders>
            <w:shd w:val="clear" w:color="auto" w:fill="auto"/>
            <w:vAlign w:val="center"/>
            <w:hideMark/>
          </w:tcPr>
          <w:p w14:paraId="5C2A1177" w14:textId="77777777" w:rsidR="00CA37AD" w:rsidRPr="0043589D" w:rsidRDefault="00CA37AD" w:rsidP="001E7124">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lastRenderedPageBreak/>
              <w:t>1.3 Digitalizace a informační koncepce</w:t>
            </w:r>
          </w:p>
        </w:tc>
        <w:tc>
          <w:tcPr>
            <w:tcW w:w="1134" w:type="dxa"/>
            <w:tcBorders>
              <w:top w:val="nil"/>
              <w:left w:val="nil"/>
              <w:bottom w:val="single" w:sz="4" w:space="0" w:color="auto"/>
              <w:right w:val="single" w:sz="4" w:space="0" w:color="auto"/>
            </w:tcBorders>
            <w:shd w:val="clear" w:color="000000" w:fill="FFC7CE"/>
            <w:hideMark/>
          </w:tcPr>
          <w:p w14:paraId="54ECF039" w14:textId="77777777" w:rsidR="00CA37AD" w:rsidRPr="0043589D" w:rsidRDefault="00CA37AD" w:rsidP="001E7124">
            <w:pPr>
              <w:spacing w:after="0"/>
              <w:jc w:val="center"/>
              <w:rPr>
                <w:rFonts w:ascii="Calibri" w:eastAsia="Times New Roman" w:hAnsi="Calibri" w:cs="Calibri"/>
                <w:color w:val="9C0006"/>
                <w:lang w:eastAsia="cs-CZ"/>
              </w:rPr>
            </w:pPr>
            <w:r w:rsidRPr="0043589D">
              <w:rPr>
                <w:rFonts w:ascii="Calibri" w:eastAsia="Times New Roman" w:hAnsi="Calibri" w:cs="Calibri"/>
                <w:color w:val="9C0006"/>
                <w:lang w:eastAsia="cs-CZ"/>
              </w:rPr>
              <w:t>Strategický</w:t>
            </w:r>
          </w:p>
        </w:tc>
        <w:tc>
          <w:tcPr>
            <w:tcW w:w="7087" w:type="dxa"/>
            <w:tcBorders>
              <w:top w:val="nil"/>
              <w:left w:val="nil"/>
              <w:bottom w:val="single" w:sz="4" w:space="0" w:color="auto"/>
              <w:right w:val="single" w:sz="4" w:space="0" w:color="auto"/>
            </w:tcBorders>
            <w:shd w:val="clear" w:color="auto" w:fill="auto"/>
            <w:hideMark/>
          </w:tcPr>
          <w:p w14:paraId="20C8AD6D" w14:textId="301CAC54"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 xml:space="preserve">DESI Digitální veřejné služby pro občany </w:t>
            </w:r>
          </w:p>
        </w:tc>
        <w:tc>
          <w:tcPr>
            <w:tcW w:w="1134" w:type="dxa"/>
            <w:tcBorders>
              <w:top w:val="nil"/>
              <w:left w:val="nil"/>
              <w:bottom w:val="single" w:sz="4" w:space="0" w:color="auto"/>
              <w:right w:val="single" w:sz="4" w:space="0" w:color="auto"/>
            </w:tcBorders>
            <w:shd w:val="clear" w:color="auto" w:fill="auto"/>
            <w:hideMark/>
          </w:tcPr>
          <w:p w14:paraId="4DB1E598"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index</w:t>
            </w:r>
          </w:p>
        </w:tc>
        <w:tc>
          <w:tcPr>
            <w:tcW w:w="1418" w:type="dxa"/>
            <w:tcBorders>
              <w:top w:val="nil"/>
              <w:left w:val="nil"/>
              <w:bottom w:val="single" w:sz="4" w:space="0" w:color="auto"/>
              <w:right w:val="single" w:sz="4" w:space="0" w:color="auto"/>
            </w:tcBorders>
            <w:shd w:val="clear" w:color="auto" w:fill="auto"/>
            <w:hideMark/>
          </w:tcPr>
          <w:p w14:paraId="3CC1DE7F" w14:textId="77777777" w:rsidR="00CA37AD" w:rsidRPr="0043589D" w:rsidRDefault="00CA37AD"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76,33</w:t>
            </w:r>
          </w:p>
        </w:tc>
        <w:tc>
          <w:tcPr>
            <w:tcW w:w="850" w:type="dxa"/>
            <w:tcBorders>
              <w:top w:val="nil"/>
              <w:left w:val="nil"/>
              <w:bottom w:val="single" w:sz="4" w:space="0" w:color="auto"/>
              <w:right w:val="single" w:sz="4" w:space="0" w:color="auto"/>
            </w:tcBorders>
            <w:shd w:val="clear" w:color="auto" w:fill="auto"/>
            <w:hideMark/>
          </w:tcPr>
          <w:p w14:paraId="748185A6"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2024</w:t>
            </w:r>
          </w:p>
        </w:tc>
        <w:tc>
          <w:tcPr>
            <w:tcW w:w="1519" w:type="dxa"/>
            <w:tcBorders>
              <w:top w:val="nil"/>
              <w:left w:val="nil"/>
              <w:bottom w:val="single" w:sz="4" w:space="0" w:color="auto"/>
              <w:right w:val="single" w:sz="8" w:space="0" w:color="auto"/>
            </w:tcBorders>
            <w:shd w:val="clear" w:color="auto" w:fill="auto"/>
            <w:hideMark/>
          </w:tcPr>
          <w:p w14:paraId="27F13781" w14:textId="77777777" w:rsidR="00CA37AD" w:rsidRPr="0043589D" w:rsidRDefault="00CA37AD" w:rsidP="001E7124">
            <w:pPr>
              <w:spacing w:after="0"/>
              <w:jc w:val="left"/>
              <w:rPr>
                <w:rFonts w:ascii="Calibri" w:eastAsia="Times New Roman" w:hAnsi="Calibri" w:cs="Calibri"/>
                <w:color w:val="auto"/>
                <w:u w:val="single"/>
                <w:lang w:eastAsia="cs-CZ"/>
              </w:rPr>
            </w:pPr>
            <w:r w:rsidRPr="0043589D">
              <w:rPr>
                <w:rFonts w:ascii="Calibri" w:eastAsia="Times New Roman" w:hAnsi="Calibri" w:cs="Calibri"/>
                <w:color w:val="auto"/>
                <w:lang w:eastAsia="cs-CZ"/>
              </w:rPr>
              <w:t>EK</w:t>
            </w:r>
          </w:p>
        </w:tc>
      </w:tr>
      <w:tr w:rsidR="00CA37AD" w:rsidRPr="0043589D" w14:paraId="5EE14D7E" w14:textId="77777777" w:rsidTr="003C5F13">
        <w:trPr>
          <w:trHeight w:val="300"/>
        </w:trPr>
        <w:tc>
          <w:tcPr>
            <w:tcW w:w="1408" w:type="dxa"/>
            <w:vMerge/>
            <w:tcBorders>
              <w:top w:val="nil"/>
              <w:left w:val="single" w:sz="8" w:space="0" w:color="auto"/>
              <w:bottom w:val="single" w:sz="8" w:space="0" w:color="000000"/>
              <w:right w:val="single" w:sz="8" w:space="0" w:color="auto"/>
            </w:tcBorders>
            <w:vAlign w:val="center"/>
            <w:hideMark/>
          </w:tcPr>
          <w:p w14:paraId="33C35D12" w14:textId="77777777" w:rsidR="00CA37AD" w:rsidRPr="0043589D" w:rsidRDefault="00CA37AD" w:rsidP="001E7124">
            <w:pPr>
              <w:spacing w:after="0"/>
              <w:jc w:val="left"/>
              <w:rPr>
                <w:rFonts w:ascii="Calibri" w:eastAsia="Times New Roman" w:hAnsi="Calibri" w:cs="Calibri"/>
                <w:color w:val="auto"/>
                <w:lang w:eastAsia="cs-CZ"/>
              </w:rPr>
            </w:pPr>
          </w:p>
        </w:tc>
        <w:tc>
          <w:tcPr>
            <w:tcW w:w="1134" w:type="dxa"/>
            <w:tcBorders>
              <w:top w:val="single" w:sz="4" w:space="0" w:color="auto"/>
              <w:left w:val="single" w:sz="8" w:space="0" w:color="auto"/>
              <w:bottom w:val="single" w:sz="4" w:space="0" w:color="auto"/>
              <w:right w:val="single" w:sz="4" w:space="0" w:color="auto"/>
            </w:tcBorders>
            <w:shd w:val="clear" w:color="000000" w:fill="C6EFCE"/>
            <w:hideMark/>
          </w:tcPr>
          <w:p w14:paraId="68D63D66" w14:textId="77777777" w:rsidR="00CA37AD" w:rsidRPr="0043589D" w:rsidRDefault="00CA37AD" w:rsidP="001E7124">
            <w:pPr>
              <w:spacing w:after="0"/>
              <w:jc w:val="center"/>
              <w:rPr>
                <w:rFonts w:ascii="Calibri" w:eastAsia="Times New Roman" w:hAnsi="Calibri" w:cs="Calibri"/>
                <w:color w:val="006100"/>
                <w:lang w:eastAsia="cs-CZ"/>
              </w:rPr>
            </w:pPr>
            <w:r w:rsidRPr="0043589D">
              <w:rPr>
                <w:rFonts w:ascii="Calibri" w:eastAsia="Times New Roman" w:hAnsi="Calibri" w:cs="Calibri"/>
                <w:color w:val="006100"/>
                <w:lang w:eastAsia="cs-CZ"/>
              </w:rPr>
              <w:t>Doplňující</w:t>
            </w:r>
          </w:p>
        </w:tc>
        <w:tc>
          <w:tcPr>
            <w:tcW w:w="7087" w:type="dxa"/>
            <w:tcBorders>
              <w:top w:val="nil"/>
              <w:left w:val="nil"/>
              <w:bottom w:val="single" w:sz="4" w:space="0" w:color="auto"/>
              <w:right w:val="single" w:sz="4" w:space="0" w:color="auto"/>
            </w:tcBorders>
            <w:shd w:val="clear" w:color="auto" w:fill="auto"/>
            <w:hideMark/>
          </w:tcPr>
          <w:p w14:paraId="7DFE654A" w14:textId="6CAFD21E"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DESI Digitální veřejné služby pro podnikatele</w:t>
            </w:r>
          </w:p>
        </w:tc>
        <w:tc>
          <w:tcPr>
            <w:tcW w:w="1134" w:type="dxa"/>
            <w:tcBorders>
              <w:top w:val="nil"/>
              <w:left w:val="nil"/>
              <w:bottom w:val="single" w:sz="4" w:space="0" w:color="auto"/>
              <w:right w:val="single" w:sz="4" w:space="0" w:color="auto"/>
            </w:tcBorders>
            <w:shd w:val="clear" w:color="auto" w:fill="auto"/>
            <w:hideMark/>
          </w:tcPr>
          <w:p w14:paraId="2380D606"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index</w:t>
            </w:r>
          </w:p>
        </w:tc>
        <w:tc>
          <w:tcPr>
            <w:tcW w:w="1418" w:type="dxa"/>
            <w:tcBorders>
              <w:top w:val="nil"/>
              <w:left w:val="nil"/>
              <w:bottom w:val="single" w:sz="4" w:space="0" w:color="auto"/>
              <w:right w:val="single" w:sz="4" w:space="0" w:color="auto"/>
            </w:tcBorders>
            <w:shd w:val="clear" w:color="auto" w:fill="auto"/>
            <w:hideMark/>
          </w:tcPr>
          <w:p w14:paraId="209F6DB0" w14:textId="77777777" w:rsidR="00CA37AD" w:rsidRPr="0043589D" w:rsidRDefault="00CA37AD"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83,75</w:t>
            </w:r>
          </w:p>
        </w:tc>
        <w:tc>
          <w:tcPr>
            <w:tcW w:w="850" w:type="dxa"/>
            <w:tcBorders>
              <w:top w:val="nil"/>
              <w:left w:val="nil"/>
              <w:bottom w:val="single" w:sz="4" w:space="0" w:color="auto"/>
              <w:right w:val="single" w:sz="4" w:space="0" w:color="auto"/>
            </w:tcBorders>
            <w:shd w:val="clear" w:color="auto" w:fill="auto"/>
            <w:hideMark/>
          </w:tcPr>
          <w:p w14:paraId="1F3FB3AF"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2024</w:t>
            </w:r>
          </w:p>
        </w:tc>
        <w:tc>
          <w:tcPr>
            <w:tcW w:w="1519" w:type="dxa"/>
            <w:tcBorders>
              <w:top w:val="nil"/>
              <w:left w:val="nil"/>
              <w:bottom w:val="single" w:sz="4" w:space="0" w:color="auto"/>
              <w:right w:val="single" w:sz="8" w:space="0" w:color="auto"/>
            </w:tcBorders>
            <w:shd w:val="clear" w:color="auto" w:fill="auto"/>
            <w:hideMark/>
          </w:tcPr>
          <w:p w14:paraId="69DD03A2" w14:textId="77777777" w:rsidR="00CA37AD" w:rsidRPr="0043589D" w:rsidRDefault="00CA37AD" w:rsidP="001E7124">
            <w:pPr>
              <w:spacing w:after="0"/>
              <w:jc w:val="left"/>
              <w:rPr>
                <w:rFonts w:ascii="Calibri" w:eastAsia="Times New Roman" w:hAnsi="Calibri" w:cs="Calibri"/>
                <w:color w:val="auto"/>
                <w:u w:val="single"/>
                <w:lang w:eastAsia="cs-CZ"/>
              </w:rPr>
            </w:pPr>
            <w:r w:rsidRPr="0043589D">
              <w:rPr>
                <w:rFonts w:ascii="Calibri" w:eastAsia="Times New Roman" w:hAnsi="Calibri" w:cs="Calibri"/>
                <w:color w:val="auto"/>
                <w:lang w:eastAsia="cs-CZ"/>
              </w:rPr>
              <w:t>EK</w:t>
            </w:r>
          </w:p>
        </w:tc>
      </w:tr>
      <w:tr w:rsidR="00CA37AD" w:rsidRPr="0043589D" w14:paraId="246F3148" w14:textId="77777777" w:rsidTr="003C5F13">
        <w:trPr>
          <w:trHeight w:val="300"/>
        </w:trPr>
        <w:tc>
          <w:tcPr>
            <w:tcW w:w="1408" w:type="dxa"/>
            <w:vMerge/>
            <w:tcBorders>
              <w:top w:val="nil"/>
              <w:left w:val="single" w:sz="8" w:space="0" w:color="auto"/>
              <w:bottom w:val="single" w:sz="8" w:space="0" w:color="000000"/>
              <w:right w:val="single" w:sz="8" w:space="0" w:color="auto"/>
            </w:tcBorders>
            <w:vAlign w:val="center"/>
            <w:hideMark/>
          </w:tcPr>
          <w:p w14:paraId="0466CD58" w14:textId="77777777" w:rsidR="00CA37AD" w:rsidRPr="0043589D" w:rsidRDefault="00CA37AD" w:rsidP="001E7124">
            <w:pPr>
              <w:spacing w:after="0"/>
              <w:jc w:val="left"/>
              <w:rPr>
                <w:rFonts w:ascii="Calibri" w:eastAsia="Times New Roman" w:hAnsi="Calibri" w:cs="Calibri"/>
                <w:color w:val="auto"/>
                <w:lang w:eastAsia="cs-CZ"/>
              </w:rPr>
            </w:pPr>
          </w:p>
        </w:tc>
        <w:tc>
          <w:tcPr>
            <w:tcW w:w="1134" w:type="dxa"/>
            <w:tcBorders>
              <w:top w:val="single" w:sz="4" w:space="0" w:color="auto"/>
              <w:left w:val="single" w:sz="8" w:space="0" w:color="auto"/>
              <w:bottom w:val="nil"/>
              <w:right w:val="single" w:sz="4" w:space="0" w:color="auto"/>
            </w:tcBorders>
            <w:shd w:val="clear" w:color="000000" w:fill="C6EFCE"/>
            <w:hideMark/>
          </w:tcPr>
          <w:p w14:paraId="76E05207" w14:textId="77777777" w:rsidR="00CA37AD" w:rsidRPr="0043589D" w:rsidRDefault="00CA37AD" w:rsidP="001E7124">
            <w:pPr>
              <w:spacing w:after="0"/>
              <w:jc w:val="center"/>
              <w:rPr>
                <w:rFonts w:ascii="Calibri" w:eastAsia="Times New Roman" w:hAnsi="Calibri" w:cs="Calibri"/>
                <w:color w:val="006100"/>
                <w:lang w:eastAsia="cs-CZ"/>
              </w:rPr>
            </w:pPr>
            <w:r w:rsidRPr="0043589D">
              <w:rPr>
                <w:rFonts w:ascii="Calibri" w:eastAsia="Times New Roman" w:hAnsi="Calibri" w:cs="Calibri"/>
                <w:color w:val="006100"/>
                <w:lang w:eastAsia="cs-CZ"/>
              </w:rPr>
              <w:t>Doplňující</w:t>
            </w:r>
          </w:p>
        </w:tc>
        <w:tc>
          <w:tcPr>
            <w:tcW w:w="7087" w:type="dxa"/>
            <w:tcBorders>
              <w:top w:val="nil"/>
              <w:left w:val="nil"/>
              <w:bottom w:val="single" w:sz="4" w:space="0" w:color="auto"/>
              <w:right w:val="single" w:sz="4" w:space="0" w:color="auto"/>
            </w:tcBorders>
            <w:shd w:val="clear" w:color="auto" w:fill="auto"/>
            <w:hideMark/>
          </w:tcPr>
          <w:p w14:paraId="16B7C511" w14:textId="1A87F432"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 xml:space="preserve">DESI Digitální veřejné služby pro uživatelé </w:t>
            </w:r>
            <w:proofErr w:type="spellStart"/>
            <w:r w:rsidRPr="0043589D">
              <w:rPr>
                <w:rFonts w:ascii="Calibri" w:eastAsia="Times New Roman" w:hAnsi="Calibri" w:cs="Calibri"/>
                <w:color w:val="auto"/>
                <w:lang w:eastAsia="cs-CZ"/>
              </w:rPr>
              <w:t>e-Governmentu</w:t>
            </w:r>
            <w:proofErr w:type="spellEnd"/>
            <w:r w:rsidRPr="0043589D">
              <w:rPr>
                <w:rFonts w:ascii="Calibri" w:eastAsia="Times New Roman" w:hAnsi="Calibri" w:cs="Calibri"/>
                <w:color w:val="auto"/>
                <w:lang w:eastAsia="cs-CZ"/>
              </w:rPr>
              <w:t xml:space="preserve"> </w:t>
            </w:r>
          </w:p>
        </w:tc>
        <w:tc>
          <w:tcPr>
            <w:tcW w:w="1134" w:type="dxa"/>
            <w:tcBorders>
              <w:top w:val="nil"/>
              <w:left w:val="nil"/>
              <w:bottom w:val="nil"/>
              <w:right w:val="single" w:sz="4" w:space="0" w:color="auto"/>
            </w:tcBorders>
            <w:shd w:val="clear" w:color="auto" w:fill="auto"/>
            <w:hideMark/>
          </w:tcPr>
          <w:p w14:paraId="230FCDA8"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w:t>
            </w:r>
          </w:p>
        </w:tc>
        <w:tc>
          <w:tcPr>
            <w:tcW w:w="1418" w:type="dxa"/>
            <w:tcBorders>
              <w:top w:val="nil"/>
              <w:left w:val="nil"/>
              <w:bottom w:val="single" w:sz="4" w:space="0" w:color="auto"/>
              <w:right w:val="single" w:sz="4" w:space="0" w:color="auto"/>
            </w:tcBorders>
            <w:shd w:val="clear" w:color="auto" w:fill="auto"/>
            <w:hideMark/>
          </w:tcPr>
          <w:p w14:paraId="30516D84" w14:textId="77777777" w:rsidR="00CA37AD" w:rsidRPr="0043589D" w:rsidRDefault="00CA37AD"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76,7</w:t>
            </w:r>
          </w:p>
        </w:tc>
        <w:tc>
          <w:tcPr>
            <w:tcW w:w="850" w:type="dxa"/>
            <w:tcBorders>
              <w:top w:val="nil"/>
              <w:left w:val="nil"/>
              <w:bottom w:val="nil"/>
              <w:right w:val="single" w:sz="4" w:space="0" w:color="auto"/>
            </w:tcBorders>
            <w:shd w:val="clear" w:color="auto" w:fill="auto"/>
            <w:hideMark/>
          </w:tcPr>
          <w:p w14:paraId="3EE31F5E"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2024</w:t>
            </w:r>
          </w:p>
        </w:tc>
        <w:tc>
          <w:tcPr>
            <w:tcW w:w="1519" w:type="dxa"/>
            <w:tcBorders>
              <w:top w:val="nil"/>
              <w:left w:val="nil"/>
              <w:bottom w:val="nil"/>
              <w:right w:val="single" w:sz="8" w:space="0" w:color="auto"/>
            </w:tcBorders>
            <w:shd w:val="clear" w:color="auto" w:fill="auto"/>
            <w:hideMark/>
          </w:tcPr>
          <w:p w14:paraId="2A373EC1" w14:textId="77777777" w:rsidR="00CA37AD" w:rsidRPr="0043589D" w:rsidRDefault="00CA37AD" w:rsidP="001E7124">
            <w:pPr>
              <w:spacing w:after="0"/>
              <w:jc w:val="left"/>
              <w:rPr>
                <w:rFonts w:ascii="Calibri" w:eastAsia="Times New Roman" w:hAnsi="Calibri" w:cs="Calibri"/>
                <w:color w:val="auto"/>
                <w:u w:val="single"/>
                <w:lang w:eastAsia="cs-CZ"/>
              </w:rPr>
            </w:pPr>
            <w:r w:rsidRPr="0043589D">
              <w:rPr>
                <w:rFonts w:ascii="Calibri" w:eastAsia="Times New Roman" w:hAnsi="Calibri" w:cs="Calibri"/>
                <w:color w:val="auto"/>
                <w:lang w:eastAsia="cs-CZ"/>
              </w:rPr>
              <w:t>EK</w:t>
            </w:r>
          </w:p>
        </w:tc>
      </w:tr>
      <w:tr w:rsidR="00CA37AD" w:rsidRPr="0043589D" w14:paraId="5610290D" w14:textId="77777777" w:rsidTr="003C5F13">
        <w:trPr>
          <w:trHeight w:val="300"/>
        </w:trPr>
        <w:tc>
          <w:tcPr>
            <w:tcW w:w="1408" w:type="dxa"/>
            <w:vMerge w:val="restart"/>
            <w:tcBorders>
              <w:top w:val="nil"/>
              <w:left w:val="single" w:sz="8" w:space="0" w:color="auto"/>
              <w:bottom w:val="single" w:sz="8" w:space="0" w:color="000000"/>
              <w:right w:val="single" w:sz="8" w:space="0" w:color="auto"/>
            </w:tcBorders>
            <w:shd w:val="clear" w:color="auto" w:fill="auto"/>
            <w:vAlign w:val="center"/>
            <w:hideMark/>
          </w:tcPr>
          <w:p w14:paraId="58C24F5A" w14:textId="77777777" w:rsidR="00CA37AD" w:rsidRPr="0043589D" w:rsidRDefault="00CA37AD" w:rsidP="001E7124">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1.4 Fungující a efektivní regulace, podnikatelské prostředí</w:t>
            </w:r>
          </w:p>
        </w:tc>
        <w:tc>
          <w:tcPr>
            <w:tcW w:w="1134" w:type="dxa"/>
            <w:tcBorders>
              <w:top w:val="single" w:sz="8" w:space="0" w:color="auto"/>
              <w:left w:val="nil"/>
              <w:bottom w:val="single" w:sz="4" w:space="0" w:color="auto"/>
              <w:right w:val="single" w:sz="4" w:space="0" w:color="auto"/>
            </w:tcBorders>
            <w:shd w:val="clear" w:color="000000" w:fill="FFC7CE"/>
            <w:hideMark/>
          </w:tcPr>
          <w:p w14:paraId="316B1261" w14:textId="77777777" w:rsidR="00CA37AD" w:rsidRPr="0043589D" w:rsidRDefault="00CA37AD" w:rsidP="001E7124">
            <w:pPr>
              <w:spacing w:after="0"/>
              <w:jc w:val="center"/>
              <w:rPr>
                <w:rFonts w:ascii="Calibri" w:eastAsia="Times New Roman" w:hAnsi="Calibri" w:cs="Calibri"/>
                <w:color w:val="9C0006"/>
                <w:lang w:eastAsia="cs-CZ"/>
              </w:rPr>
            </w:pPr>
            <w:r w:rsidRPr="0043589D">
              <w:rPr>
                <w:rFonts w:ascii="Calibri" w:eastAsia="Times New Roman" w:hAnsi="Calibri" w:cs="Calibri"/>
                <w:color w:val="9C0006"/>
                <w:lang w:eastAsia="cs-CZ"/>
              </w:rPr>
              <w:t>Strategický</w:t>
            </w:r>
          </w:p>
        </w:tc>
        <w:tc>
          <w:tcPr>
            <w:tcW w:w="7087" w:type="dxa"/>
            <w:tcBorders>
              <w:top w:val="single" w:sz="8" w:space="0" w:color="auto"/>
              <w:left w:val="nil"/>
              <w:bottom w:val="single" w:sz="4" w:space="0" w:color="auto"/>
              <w:right w:val="single" w:sz="4" w:space="0" w:color="auto"/>
            </w:tcBorders>
            <w:shd w:val="clear" w:color="auto" w:fill="auto"/>
            <w:hideMark/>
          </w:tcPr>
          <w:p w14:paraId="73ACCF2E"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Překážky pro vstup firem na trh a konkurenci PMR</w:t>
            </w:r>
          </w:p>
        </w:tc>
        <w:tc>
          <w:tcPr>
            <w:tcW w:w="1134" w:type="dxa"/>
            <w:tcBorders>
              <w:top w:val="single" w:sz="8" w:space="0" w:color="auto"/>
              <w:left w:val="nil"/>
              <w:bottom w:val="single" w:sz="4" w:space="0" w:color="auto"/>
              <w:right w:val="single" w:sz="4" w:space="0" w:color="auto"/>
            </w:tcBorders>
            <w:shd w:val="clear" w:color="auto" w:fill="auto"/>
            <w:hideMark/>
          </w:tcPr>
          <w:p w14:paraId="4794FD8A"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index</w:t>
            </w:r>
          </w:p>
        </w:tc>
        <w:tc>
          <w:tcPr>
            <w:tcW w:w="1418" w:type="dxa"/>
            <w:tcBorders>
              <w:top w:val="single" w:sz="8" w:space="0" w:color="auto"/>
              <w:left w:val="nil"/>
              <w:bottom w:val="single" w:sz="4" w:space="0" w:color="auto"/>
              <w:right w:val="single" w:sz="4" w:space="0" w:color="auto"/>
            </w:tcBorders>
            <w:shd w:val="clear" w:color="auto" w:fill="auto"/>
            <w:hideMark/>
          </w:tcPr>
          <w:p w14:paraId="39CF6B47" w14:textId="77777777" w:rsidR="00CA37AD" w:rsidRPr="0043589D" w:rsidRDefault="00CA37AD"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1,14</w:t>
            </w:r>
          </w:p>
        </w:tc>
        <w:tc>
          <w:tcPr>
            <w:tcW w:w="850" w:type="dxa"/>
            <w:tcBorders>
              <w:top w:val="single" w:sz="8" w:space="0" w:color="auto"/>
              <w:left w:val="nil"/>
              <w:bottom w:val="single" w:sz="4" w:space="0" w:color="auto"/>
              <w:right w:val="single" w:sz="4" w:space="0" w:color="auto"/>
            </w:tcBorders>
            <w:shd w:val="clear" w:color="auto" w:fill="auto"/>
            <w:hideMark/>
          </w:tcPr>
          <w:p w14:paraId="65535BF5"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2024</w:t>
            </w:r>
          </w:p>
        </w:tc>
        <w:tc>
          <w:tcPr>
            <w:tcW w:w="1519" w:type="dxa"/>
            <w:tcBorders>
              <w:top w:val="single" w:sz="8" w:space="0" w:color="auto"/>
              <w:left w:val="nil"/>
              <w:bottom w:val="single" w:sz="4" w:space="0" w:color="auto"/>
              <w:right w:val="single" w:sz="8" w:space="0" w:color="auto"/>
            </w:tcBorders>
            <w:shd w:val="clear" w:color="auto" w:fill="auto"/>
            <w:hideMark/>
          </w:tcPr>
          <w:p w14:paraId="49FBA5B0" w14:textId="77777777" w:rsidR="00CA37AD" w:rsidRPr="0043589D" w:rsidRDefault="00CA37AD" w:rsidP="001E7124">
            <w:pPr>
              <w:spacing w:after="0"/>
              <w:jc w:val="left"/>
              <w:rPr>
                <w:rFonts w:ascii="Calibri" w:eastAsia="Times New Roman" w:hAnsi="Calibri" w:cs="Calibri"/>
                <w:color w:val="auto"/>
                <w:u w:val="single"/>
                <w:lang w:eastAsia="cs-CZ"/>
              </w:rPr>
            </w:pPr>
            <w:r w:rsidRPr="0043589D">
              <w:rPr>
                <w:color w:val="auto"/>
              </w:rPr>
              <w:t>OECD</w:t>
            </w:r>
          </w:p>
        </w:tc>
      </w:tr>
      <w:tr w:rsidR="00CA37AD" w:rsidRPr="0043589D" w14:paraId="7A24053A" w14:textId="77777777" w:rsidTr="003C5F13">
        <w:trPr>
          <w:trHeight w:val="300"/>
        </w:trPr>
        <w:tc>
          <w:tcPr>
            <w:tcW w:w="1408" w:type="dxa"/>
            <w:vMerge/>
            <w:tcBorders>
              <w:top w:val="nil"/>
              <w:left w:val="single" w:sz="8" w:space="0" w:color="auto"/>
              <w:bottom w:val="single" w:sz="8" w:space="0" w:color="000000"/>
              <w:right w:val="single" w:sz="8" w:space="0" w:color="auto"/>
            </w:tcBorders>
            <w:vAlign w:val="center"/>
            <w:hideMark/>
          </w:tcPr>
          <w:p w14:paraId="4503C8F0" w14:textId="77777777" w:rsidR="00CA37AD" w:rsidRPr="0043589D" w:rsidRDefault="00CA37AD" w:rsidP="001E7124">
            <w:pPr>
              <w:spacing w:after="0"/>
              <w:jc w:val="left"/>
              <w:rPr>
                <w:rFonts w:ascii="Calibri" w:eastAsia="Times New Roman" w:hAnsi="Calibri" w:cs="Calibri"/>
                <w:color w:val="auto"/>
                <w:lang w:eastAsia="cs-CZ"/>
              </w:rPr>
            </w:pPr>
          </w:p>
        </w:tc>
        <w:tc>
          <w:tcPr>
            <w:tcW w:w="1134" w:type="dxa"/>
            <w:tcBorders>
              <w:top w:val="nil"/>
              <w:left w:val="nil"/>
              <w:bottom w:val="single" w:sz="4" w:space="0" w:color="auto"/>
              <w:right w:val="single" w:sz="4" w:space="0" w:color="auto"/>
            </w:tcBorders>
            <w:shd w:val="clear" w:color="000000" w:fill="FFC7CE"/>
            <w:hideMark/>
          </w:tcPr>
          <w:p w14:paraId="3D408AA3" w14:textId="77777777" w:rsidR="00CA37AD" w:rsidRPr="0043589D" w:rsidRDefault="00CA37AD" w:rsidP="001E7124">
            <w:pPr>
              <w:spacing w:after="0"/>
              <w:jc w:val="center"/>
              <w:rPr>
                <w:rFonts w:ascii="Calibri" w:eastAsia="Times New Roman" w:hAnsi="Calibri" w:cs="Calibri"/>
                <w:color w:val="9C0006"/>
                <w:lang w:eastAsia="cs-CZ"/>
              </w:rPr>
            </w:pPr>
            <w:r w:rsidRPr="0043589D">
              <w:rPr>
                <w:rFonts w:ascii="Calibri" w:eastAsia="Times New Roman" w:hAnsi="Calibri" w:cs="Calibri"/>
                <w:color w:val="9C0006"/>
                <w:lang w:eastAsia="cs-CZ"/>
              </w:rPr>
              <w:t>Strategický</w:t>
            </w:r>
          </w:p>
        </w:tc>
        <w:tc>
          <w:tcPr>
            <w:tcW w:w="7087" w:type="dxa"/>
            <w:tcBorders>
              <w:top w:val="nil"/>
              <w:left w:val="nil"/>
              <w:bottom w:val="single" w:sz="4" w:space="0" w:color="auto"/>
              <w:right w:val="single" w:sz="4" w:space="0" w:color="auto"/>
            </w:tcBorders>
            <w:shd w:val="clear" w:color="auto" w:fill="auto"/>
            <w:hideMark/>
          </w:tcPr>
          <w:p w14:paraId="701354D2"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 xml:space="preserve">Zátěž vládní regulace, Single Market </w:t>
            </w:r>
            <w:proofErr w:type="spellStart"/>
            <w:r w:rsidRPr="0043589D">
              <w:rPr>
                <w:rFonts w:ascii="Calibri" w:eastAsia="Times New Roman" w:hAnsi="Calibri" w:cs="Calibri"/>
                <w:color w:val="auto"/>
                <w:lang w:eastAsia="cs-CZ"/>
              </w:rPr>
              <w:t>Scoreboard</w:t>
            </w:r>
            <w:proofErr w:type="spellEnd"/>
          </w:p>
        </w:tc>
        <w:tc>
          <w:tcPr>
            <w:tcW w:w="1134" w:type="dxa"/>
            <w:tcBorders>
              <w:top w:val="nil"/>
              <w:left w:val="nil"/>
              <w:bottom w:val="single" w:sz="4" w:space="0" w:color="auto"/>
              <w:right w:val="single" w:sz="4" w:space="0" w:color="auto"/>
            </w:tcBorders>
            <w:shd w:val="clear" w:color="auto" w:fill="auto"/>
            <w:hideMark/>
          </w:tcPr>
          <w:p w14:paraId="30A9F2AD"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 xml:space="preserve">hodnota </w:t>
            </w:r>
          </w:p>
        </w:tc>
        <w:tc>
          <w:tcPr>
            <w:tcW w:w="1418" w:type="dxa"/>
            <w:tcBorders>
              <w:top w:val="nil"/>
              <w:left w:val="nil"/>
              <w:bottom w:val="single" w:sz="4" w:space="0" w:color="auto"/>
              <w:right w:val="single" w:sz="4" w:space="0" w:color="auto"/>
            </w:tcBorders>
            <w:shd w:val="clear" w:color="auto" w:fill="auto"/>
            <w:hideMark/>
          </w:tcPr>
          <w:p w14:paraId="02CFB064" w14:textId="77777777" w:rsidR="00CA37AD" w:rsidRPr="0043589D" w:rsidRDefault="00CA37AD"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3,2</w:t>
            </w:r>
          </w:p>
        </w:tc>
        <w:tc>
          <w:tcPr>
            <w:tcW w:w="850" w:type="dxa"/>
            <w:tcBorders>
              <w:top w:val="nil"/>
              <w:left w:val="nil"/>
              <w:bottom w:val="single" w:sz="4" w:space="0" w:color="auto"/>
              <w:right w:val="single" w:sz="4" w:space="0" w:color="auto"/>
            </w:tcBorders>
            <w:shd w:val="clear" w:color="auto" w:fill="auto"/>
            <w:hideMark/>
          </w:tcPr>
          <w:p w14:paraId="74AEA220"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2022</w:t>
            </w:r>
          </w:p>
        </w:tc>
        <w:tc>
          <w:tcPr>
            <w:tcW w:w="1519" w:type="dxa"/>
            <w:tcBorders>
              <w:top w:val="nil"/>
              <w:left w:val="nil"/>
              <w:bottom w:val="single" w:sz="4" w:space="0" w:color="auto"/>
              <w:right w:val="single" w:sz="8" w:space="0" w:color="auto"/>
            </w:tcBorders>
            <w:shd w:val="clear" w:color="auto" w:fill="auto"/>
            <w:hideMark/>
          </w:tcPr>
          <w:p w14:paraId="6A8E8F80" w14:textId="77777777" w:rsidR="00CA37AD" w:rsidRPr="0043589D" w:rsidRDefault="00CA37AD" w:rsidP="001E7124">
            <w:pPr>
              <w:spacing w:after="0"/>
              <w:jc w:val="left"/>
              <w:rPr>
                <w:rFonts w:ascii="Calibri" w:eastAsia="Times New Roman" w:hAnsi="Calibri" w:cs="Calibri"/>
                <w:color w:val="auto"/>
                <w:u w:val="single"/>
                <w:lang w:eastAsia="cs-CZ"/>
              </w:rPr>
            </w:pPr>
            <w:r w:rsidRPr="0043589D">
              <w:rPr>
                <w:rFonts w:ascii="Calibri" w:eastAsia="Times New Roman" w:hAnsi="Calibri" w:cs="Calibri"/>
                <w:color w:val="auto"/>
                <w:lang w:eastAsia="cs-CZ"/>
              </w:rPr>
              <w:t>EK</w:t>
            </w:r>
          </w:p>
        </w:tc>
      </w:tr>
      <w:tr w:rsidR="00CA37AD" w:rsidRPr="0043589D" w14:paraId="0B0C3BC4" w14:textId="77777777" w:rsidTr="003C5F13">
        <w:trPr>
          <w:trHeight w:val="300"/>
        </w:trPr>
        <w:tc>
          <w:tcPr>
            <w:tcW w:w="1408" w:type="dxa"/>
            <w:vMerge/>
            <w:tcBorders>
              <w:top w:val="nil"/>
              <w:left w:val="single" w:sz="8" w:space="0" w:color="auto"/>
              <w:bottom w:val="single" w:sz="8" w:space="0" w:color="000000"/>
              <w:right w:val="single" w:sz="8" w:space="0" w:color="auto"/>
            </w:tcBorders>
            <w:vAlign w:val="center"/>
            <w:hideMark/>
          </w:tcPr>
          <w:p w14:paraId="52E97935" w14:textId="77777777" w:rsidR="00CA37AD" w:rsidRPr="0043589D" w:rsidRDefault="00CA37AD" w:rsidP="001E7124">
            <w:pPr>
              <w:spacing w:after="0"/>
              <w:jc w:val="left"/>
              <w:rPr>
                <w:rFonts w:ascii="Calibri" w:eastAsia="Times New Roman" w:hAnsi="Calibri" w:cs="Calibri"/>
                <w:color w:val="auto"/>
                <w:lang w:eastAsia="cs-CZ"/>
              </w:rPr>
            </w:pPr>
          </w:p>
        </w:tc>
        <w:tc>
          <w:tcPr>
            <w:tcW w:w="1134" w:type="dxa"/>
            <w:tcBorders>
              <w:top w:val="nil"/>
              <w:left w:val="nil"/>
              <w:bottom w:val="single" w:sz="4" w:space="0" w:color="auto"/>
              <w:right w:val="single" w:sz="4" w:space="0" w:color="auto"/>
            </w:tcBorders>
            <w:shd w:val="clear" w:color="000000" w:fill="FFC7CE"/>
            <w:hideMark/>
          </w:tcPr>
          <w:p w14:paraId="61DBB8E6" w14:textId="77777777" w:rsidR="00CA37AD" w:rsidRPr="0043589D" w:rsidRDefault="00CA37AD" w:rsidP="001E7124">
            <w:pPr>
              <w:spacing w:after="0"/>
              <w:jc w:val="center"/>
              <w:rPr>
                <w:rFonts w:ascii="Calibri" w:eastAsia="Times New Roman" w:hAnsi="Calibri" w:cs="Calibri"/>
                <w:color w:val="9C0006"/>
                <w:lang w:eastAsia="cs-CZ"/>
              </w:rPr>
            </w:pPr>
            <w:r w:rsidRPr="0043589D">
              <w:rPr>
                <w:rFonts w:ascii="Calibri" w:eastAsia="Times New Roman" w:hAnsi="Calibri" w:cs="Calibri"/>
                <w:color w:val="9C0006"/>
                <w:lang w:eastAsia="cs-CZ"/>
              </w:rPr>
              <w:t>Strategický</w:t>
            </w:r>
          </w:p>
        </w:tc>
        <w:tc>
          <w:tcPr>
            <w:tcW w:w="7087" w:type="dxa"/>
            <w:tcBorders>
              <w:top w:val="nil"/>
              <w:left w:val="nil"/>
              <w:bottom w:val="single" w:sz="4" w:space="0" w:color="auto"/>
              <w:right w:val="single" w:sz="4" w:space="0" w:color="auto"/>
            </w:tcBorders>
            <w:shd w:val="clear" w:color="auto" w:fill="auto"/>
            <w:hideMark/>
          </w:tcPr>
          <w:p w14:paraId="455136CE"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Podnikatelské prostředí a investiční klima (B-</w:t>
            </w:r>
            <w:proofErr w:type="spellStart"/>
            <w:r w:rsidRPr="0043589D">
              <w:rPr>
                <w:rFonts w:ascii="Calibri" w:eastAsia="Times New Roman" w:hAnsi="Calibri" w:cs="Calibri"/>
                <w:color w:val="auto"/>
                <w:lang w:eastAsia="cs-CZ"/>
              </w:rPr>
              <w:t>Ready</w:t>
            </w:r>
            <w:proofErr w:type="spellEnd"/>
            <w:r w:rsidRPr="0043589D">
              <w:rPr>
                <w:rFonts w:ascii="Calibri" w:eastAsia="Times New Roman" w:hAnsi="Calibri" w:cs="Calibri"/>
                <w:color w:val="auto"/>
                <w:lang w:eastAsia="cs-CZ"/>
              </w:rPr>
              <w:t>)</w:t>
            </w:r>
          </w:p>
        </w:tc>
        <w:tc>
          <w:tcPr>
            <w:tcW w:w="1134" w:type="dxa"/>
            <w:tcBorders>
              <w:top w:val="nil"/>
              <w:left w:val="nil"/>
              <w:bottom w:val="single" w:sz="4" w:space="0" w:color="auto"/>
              <w:right w:val="single" w:sz="4" w:space="0" w:color="auto"/>
            </w:tcBorders>
            <w:shd w:val="clear" w:color="auto" w:fill="auto"/>
            <w:hideMark/>
          </w:tcPr>
          <w:p w14:paraId="57B06236"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 xml:space="preserve">hodnota </w:t>
            </w:r>
          </w:p>
        </w:tc>
        <w:tc>
          <w:tcPr>
            <w:tcW w:w="1418" w:type="dxa"/>
            <w:tcBorders>
              <w:top w:val="nil"/>
              <w:left w:val="nil"/>
              <w:bottom w:val="single" w:sz="4" w:space="0" w:color="auto"/>
              <w:right w:val="single" w:sz="4" w:space="0" w:color="auto"/>
            </w:tcBorders>
            <w:shd w:val="clear" w:color="auto" w:fill="auto"/>
            <w:hideMark/>
          </w:tcPr>
          <w:p w14:paraId="24B4A89B" w14:textId="43F947DD" w:rsidR="00CA37AD" w:rsidRPr="0043589D" w:rsidRDefault="007C679A"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w:t>
            </w:r>
          </w:p>
        </w:tc>
        <w:tc>
          <w:tcPr>
            <w:tcW w:w="850" w:type="dxa"/>
            <w:tcBorders>
              <w:top w:val="nil"/>
              <w:left w:val="nil"/>
              <w:bottom w:val="single" w:sz="4" w:space="0" w:color="auto"/>
              <w:right w:val="single" w:sz="4" w:space="0" w:color="auto"/>
            </w:tcBorders>
            <w:shd w:val="clear" w:color="auto" w:fill="auto"/>
            <w:hideMark/>
          </w:tcPr>
          <w:p w14:paraId="41B506DE"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2024</w:t>
            </w:r>
          </w:p>
        </w:tc>
        <w:tc>
          <w:tcPr>
            <w:tcW w:w="1519" w:type="dxa"/>
            <w:tcBorders>
              <w:top w:val="nil"/>
              <w:left w:val="nil"/>
              <w:bottom w:val="single" w:sz="4" w:space="0" w:color="auto"/>
              <w:right w:val="single" w:sz="8" w:space="0" w:color="auto"/>
            </w:tcBorders>
            <w:shd w:val="clear" w:color="auto" w:fill="auto"/>
            <w:hideMark/>
          </w:tcPr>
          <w:p w14:paraId="58D55434" w14:textId="77777777" w:rsidR="00CA37AD" w:rsidRPr="0043589D" w:rsidRDefault="00CA37AD" w:rsidP="001E7124">
            <w:pPr>
              <w:spacing w:after="0"/>
              <w:jc w:val="left"/>
              <w:rPr>
                <w:rFonts w:ascii="Calibri" w:eastAsia="Times New Roman" w:hAnsi="Calibri" w:cs="Calibri"/>
                <w:color w:val="auto"/>
                <w:u w:val="single"/>
                <w:lang w:eastAsia="cs-CZ"/>
              </w:rPr>
            </w:pPr>
            <w:r w:rsidRPr="0043589D">
              <w:rPr>
                <w:color w:val="auto"/>
              </w:rPr>
              <w:t>Světová banka</w:t>
            </w:r>
          </w:p>
        </w:tc>
      </w:tr>
      <w:tr w:rsidR="00CA37AD" w:rsidRPr="0043589D" w14:paraId="6C4724D2" w14:textId="77777777" w:rsidTr="003C5F13">
        <w:trPr>
          <w:trHeight w:val="300"/>
        </w:trPr>
        <w:tc>
          <w:tcPr>
            <w:tcW w:w="1408" w:type="dxa"/>
            <w:vMerge/>
            <w:tcBorders>
              <w:top w:val="nil"/>
              <w:left w:val="single" w:sz="8" w:space="0" w:color="auto"/>
              <w:bottom w:val="single" w:sz="8" w:space="0" w:color="000000"/>
              <w:right w:val="single" w:sz="8" w:space="0" w:color="auto"/>
            </w:tcBorders>
            <w:vAlign w:val="center"/>
            <w:hideMark/>
          </w:tcPr>
          <w:p w14:paraId="6F5D7EC1" w14:textId="77777777" w:rsidR="00CA37AD" w:rsidRPr="0043589D" w:rsidRDefault="00CA37AD" w:rsidP="001E7124">
            <w:pPr>
              <w:spacing w:after="0"/>
              <w:jc w:val="left"/>
              <w:rPr>
                <w:rFonts w:ascii="Calibri" w:eastAsia="Times New Roman" w:hAnsi="Calibri" w:cs="Calibri"/>
                <w:color w:val="auto"/>
                <w:lang w:eastAsia="cs-CZ"/>
              </w:rPr>
            </w:pPr>
          </w:p>
        </w:tc>
        <w:tc>
          <w:tcPr>
            <w:tcW w:w="1134" w:type="dxa"/>
            <w:tcBorders>
              <w:top w:val="single" w:sz="4" w:space="0" w:color="auto"/>
              <w:left w:val="single" w:sz="8" w:space="0" w:color="auto"/>
              <w:bottom w:val="single" w:sz="4" w:space="0" w:color="auto"/>
              <w:right w:val="single" w:sz="4" w:space="0" w:color="auto"/>
            </w:tcBorders>
            <w:shd w:val="clear" w:color="000000" w:fill="C6EFCE"/>
            <w:hideMark/>
          </w:tcPr>
          <w:p w14:paraId="70D4A6ED" w14:textId="77777777" w:rsidR="00CA37AD" w:rsidRPr="0043589D" w:rsidRDefault="00CA37AD" w:rsidP="001E7124">
            <w:pPr>
              <w:spacing w:after="0"/>
              <w:jc w:val="center"/>
              <w:rPr>
                <w:rFonts w:ascii="Calibri" w:eastAsia="Times New Roman" w:hAnsi="Calibri" w:cs="Calibri"/>
                <w:color w:val="006100"/>
                <w:lang w:eastAsia="cs-CZ"/>
              </w:rPr>
            </w:pPr>
            <w:r w:rsidRPr="0043589D">
              <w:rPr>
                <w:rFonts w:ascii="Calibri" w:eastAsia="Times New Roman" w:hAnsi="Calibri" w:cs="Calibri"/>
                <w:color w:val="006100"/>
                <w:lang w:eastAsia="cs-CZ"/>
              </w:rPr>
              <w:t>Doplňující</w:t>
            </w:r>
          </w:p>
        </w:tc>
        <w:tc>
          <w:tcPr>
            <w:tcW w:w="7087" w:type="dxa"/>
            <w:tcBorders>
              <w:top w:val="nil"/>
              <w:left w:val="nil"/>
              <w:bottom w:val="single" w:sz="4" w:space="0" w:color="auto"/>
              <w:right w:val="single" w:sz="4" w:space="0" w:color="auto"/>
            </w:tcBorders>
            <w:shd w:val="clear" w:color="auto" w:fill="auto"/>
            <w:hideMark/>
          </w:tcPr>
          <w:p w14:paraId="2914B2D5" w14:textId="1D2CE81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Úroveň</w:t>
            </w:r>
            <w:r w:rsidR="00EB5276" w:rsidRPr="0043589D">
              <w:rPr>
                <w:rFonts w:ascii="Calibri" w:eastAsia="Times New Roman" w:hAnsi="Calibri" w:cs="Calibri"/>
                <w:color w:val="auto"/>
                <w:lang w:eastAsia="cs-CZ"/>
              </w:rPr>
              <w:t xml:space="preserve"> </w:t>
            </w:r>
            <w:r w:rsidR="005C7B07" w:rsidRPr="0043589D">
              <w:rPr>
                <w:rFonts w:ascii="Calibri" w:eastAsia="Times New Roman" w:hAnsi="Calibri" w:cs="Calibri"/>
                <w:color w:val="auto"/>
                <w:lang w:eastAsia="cs-CZ"/>
              </w:rPr>
              <w:t>efektivní průměrné korporátní daňové sazby</w:t>
            </w:r>
          </w:p>
        </w:tc>
        <w:tc>
          <w:tcPr>
            <w:tcW w:w="1134" w:type="dxa"/>
            <w:tcBorders>
              <w:top w:val="nil"/>
              <w:left w:val="nil"/>
              <w:bottom w:val="single" w:sz="4" w:space="0" w:color="auto"/>
              <w:right w:val="single" w:sz="4" w:space="0" w:color="auto"/>
            </w:tcBorders>
            <w:shd w:val="clear" w:color="auto" w:fill="auto"/>
            <w:hideMark/>
          </w:tcPr>
          <w:p w14:paraId="1A1D5C0A"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w:t>
            </w:r>
          </w:p>
        </w:tc>
        <w:tc>
          <w:tcPr>
            <w:tcW w:w="1418" w:type="dxa"/>
            <w:tcBorders>
              <w:top w:val="nil"/>
              <w:left w:val="nil"/>
              <w:bottom w:val="single" w:sz="4" w:space="0" w:color="auto"/>
              <w:right w:val="single" w:sz="4" w:space="0" w:color="auto"/>
            </w:tcBorders>
            <w:shd w:val="clear" w:color="auto" w:fill="auto"/>
            <w:hideMark/>
          </w:tcPr>
          <w:p w14:paraId="7360AA1F" w14:textId="4750D76B" w:rsidR="00CA37AD" w:rsidRPr="0043589D" w:rsidRDefault="00EB5276"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18,3</w:t>
            </w:r>
          </w:p>
        </w:tc>
        <w:tc>
          <w:tcPr>
            <w:tcW w:w="850" w:type="dxa"/>
            <w:tcBorders>
              <w:top w:val="nil"/>
              <w:left w:val="nil"/>
              <w:bottom w:val="single" w:sz="4" w:space="0" w:color="auto"/>
              <w:right w:val="single" w:sz="4" w:space="0" w:color="auto"/>
            </w:tcBorders>
            <w:shd w:val="clear" w:color="auto" w:fill="auto"/>
            <w:hideMark/>
          </w:tcPr>
          <w:p w14:paraId="5E6B53D5" w14:textId="51CDFEAA"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w:t>
            </w:r>
            <w:r w:rsidR="00EB5276" w:rsidRPr="0043589D">
              <w:rPr>
                <w:rFonts w:ascii="Calibri" w:eastAsia="Times New Roman" w:hAnsi="Calibri" w:cs="Calibri"/>
                <w:color w:val="auto"/>
                <w:lang w:eastAsia="cs-CZ"/>
              </w:rPr>
              <w:t>3</w:t>
            </w:r>
          </w:p>
        </w:tc>
        <w:tc>
          <w:tcPr>
            <w:tcW w:w="1519" w:type="dxa"/>
            <w:tcBorders>
              <w:top w:val="nil"/>
              <w:left w:val="nil"/>
              <w:bottom w:val="single" w:sz="4" w:space="0" w:color="auto"/>
              <w:right w:val="single" w:sz="8" w:space="0" w:color="auto"/>
            </w:tcBorders>
            <w:shd w:val="clear" w:color="auto" w:fill="auto"/>
            <w:hideMark/>
          </w:tcPr>
          <w:p w14:paraId="567BF3DC" w14:textId="56A84B57" w:rsidR="00CA37AD" w:rsidRPr="0043589D" w:rsidRDefault="00EB5276" w:rsidP="001E7124">
            <w:pPr>
              <w:spacing w:after="0"/>
              <w:jc w:val="left"/>
              <w:rPr>
                <w:rFonts w:ascii="Calibri" w:eastAsia="Times New Roman" w:hAnsi="Calibri" w:cs="Calibri"/>
                <w:color w:val="auto"/>
                <w:u w:val="single"/>
                <w:lang w:eastAsia="cs-CZ"/>
              </w:rPr>
            </w:pPr>
            <w:r w:rsidRPr="0043589D">
              <w:rPr>
                <w:color w:val="auto"/>
              </w:rPr>
              <w:t>OECD</w:t>
            </w:r>
          </w:p>
        </w:tc>
      </w:tr>
      <w:tr w:rsidR="00CA37AD" w:rsidRPr="0043589D" w14:paraId="0293AB84" w14:textId="77777777" w:rsidTr="003C5F13">
        <w:trPr>
          <w:trHeight w:val="300"/>
        </w:trPr>
        <w:tc>
          <w:tcPr>
            <w:tcW w:w="1408" w:type="dxa"/>
            <w:vMerge/>
            <w:tcBorders>
              <w:top w:val="nil"/>
              <w:left w:val="single" w:sz="8" w:space="0" w:color="auto"/>
              <w:bottom w:val="single" w:sz="8" w:space="0" w:color="000000"/>
              <w:right w:val="single" w:sz="8" w:space="0" w:color="auto"/>
            </w:tcBorders>
            <w:vAlign w:val="center"/>
            <w:hideMark/>
          </w:tcPr>
          <w:p w14:paraId="005C8DB2" w14:textId="77777777" w:rsidR="00CA37AD" w:rsidRPr="0043589D" w:rsidRDefault="00CA37AD" w:rsidP="001E7124">
            <w:pPr>
              <w:spacing w:after="0"/>
              <w:jc w:val="left"/>
              <w:rPr>
                <w:rFonts w:ascii="Calibri" w:eastAsia="Times New Roman" w:hAnsi="Calibri" w:cs="Calibri"/>
                <w:color w:val="auto"/>
                <w:lang w:eastAsia="cs-CZ"/>
              </w:rPr>
            </w:pPr>
          </w:p>
        </w:tc>
        <w:tc>
          <w:tcPr>
            <w:tcW w:w="1134" w:type="dxa"/>
            <w:tcBorders>
              <w:top w:val="single" w:sz="4" w:space="0" w:color="auto"/>
              <w:left w:val="single" w:sz="8" w:space="0" w:color="auto"/>
              <w:bottom w:val="single" w:sz="8" w:space="0" w:color="auto"/>
              <w:right w:val="single" w:sz="4" w:space="0" w:color="auto"/>
            </w:tcBorders>
            <w:shd w:val="clear" w:color="000000" w:fill="C6EFCE"/>
            <w:hideMark/>
          </w:tcPr>
          <w:p w14:paraId="79B48D73" w14:textId="77777777" w:rsidR="00CA37AD" w:rsidRPr="0043589D" w:rsidRDefault="00CA37AD" w:rsidP="001E7124">
            <w:pPr>
              <w:spacing w:after="0"/>
              <w:jc w:val="center"/>
              <w:rPr>
                <w:rFonts w:ascii="Calibri" w:eastAsia="Times New Roman" w:hAnsi="Calibri" w:cs="Calibri"/>
                <w:color w:val="006100"/>
                <w:lang w:eastAsia="cs-CZ"/>
              </w:rPr>
            </w:pPr>
            <w:r w:rsidRPr="0043589D">
              <w:rPr>
                <w:rFonts w:ascii="Calibri" w:eastAsia="Times New Roman" w:hAnsi="Calibri" w:cs="Calibri"/>
                <w:color w:val="006100"/>
                <w:lang w:eastAsia="cs-CZ"/>
              </w:rPr>
              <w:t>Doplňující</w:t>
            </w:r>
          </w:p>
        </w:tc>
        <w:tc>
          <w:tcPr>
            <w:tcW w:w="7087" w:type="dxa"/>
            <w:tcBorders>
              <w:top w:val="nil"/>
              <w:left w:val="nil"/>
              <w:bottom w:val="single" w:sz="8" w:space="0" w:color="auto"/>
              <w:right w:val="single" w:sz="4" w:space="0" w:color="auto"/>
            </w:tcBorders>
            <w:shd w:val="clear" w:color="auto" w:fill="auto"/>
            <w:hideMark/>
          </w:tcPr>
          <w:p w14:paraId="1EA35FEE"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Index klientelistického kapitalismu (podíl majetku "</w:t>
            </w:r>
            <w:proofErr w:type="spellStart"/>
            <w:r w:rsidRPr="0043589D">
              <w:rPr>
                <w:rFonts w:ascii="Calibri" w:eastAsia="Times New Roman" w:hAnsi="Calibri" w:cs="Calibri"/>
                <w:color w:val="auto"/>
                <w:lang w:eastAsia="cs-CZ"/>
              </w:rPr>
              <w:t>Crony</w:t>
            </w:r>
            <w:proofErr w:type="spellEnd"/>
            <w:r w:rsidRPr="0043589D">
              <w:rPr>
                <w:rFonts w:ascii="Calibri" w:eastAsia="Times New Roman" w:hAnsi="Calibri" w:cs="Calibri"/>
                <w:color w:val="auto"/>
                <w:lang w:eastAsia="cs-CZ"/>
              </w:rPr>
              <w:t>" kapitalistů na HDP)</w:t>
            </w:r>
          </w:p>
        </w:tc>
        <w:tc>
          <w:tcPr>
            <w:tcW w:w="1134" w:type="dxa"/>
            <w:tcBorders>
              <w:top w:val="nil"/>
              <w:left w:val="nil"/>
              <w:bottom w:val="single" w:sz="8" w:space="0" w:color="auto"/>
              <w:right w:val="single" w:sz="4" w:space="0" w:color="auto"/>
            </w:tcBorders>
            <w:shd w:val="clear" w:color="auto" w:fill="auto"/>
            <w:hideMark/>
          </w:tcPr>
          <w:p w14:paraId="7CA3E594"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w:t>
            </w:r>
          </w:p>
        </w:tc>
        <w:tc>
          <w:tcPr>
            <w:tcW w:w="1418" w:type="dxa"/>
            <w:tcBorders>
              <w:top w:val="nil"/>
              <w:left w:val="nil"/>
              <w:bottom w:val="single" w:sz="8" w:space="0" w:color="auto"/>
              <w:right w:val="single" w:sz="4" w:space="0" w:color="auto"/>
            </w:tcBorders>
            <w:shd w:val="clear" w:color="auto" w:fill="auto"/>
            <w:hideMark/>
          </w:tcPr>
          <w:p w14:paraId="36AB60D8" w14:textId="77777777" w:rsidR="00CA37AD" w:rsidRPr="0043589D" w:rsidRDefault="00CA37AD"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15,0</w:t>
            </w:r>
          </w:p>
        </w:tc>
        <w:tc>
          <w:tcPr>
            <w:tcW w:w="850" w:type="dxa"/>
            <w:tcBorders>
              <w:top w:val="nil"/>
              <w:left w:val="nil"/>
              <w:bottom w:val="single" w:sz="8" w:space="0" w:color="auto"/>
              <w:right w:val="single" w:sz="4" w:space="0" w:color="auto"/>
            </w:tcBorders>
            <w:shd w:val="clear" w:color="auto" w:fill="auto"/>
            <w:hideMark/>
          </w:tcPr>
          <w:p w14:paraId="67AEFE88"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2023</w:t>
            </w:r>
          </w:p>
        </w:tc>
        <w:tc>
          <w:tcPr>
            <w:tcW w:w="1519" w:type="dxa"/>
            <w:tcBorders>
              <w:top w:val="nil"/>
              <w:left w:val="nil"/>
              <w:bottom w:val="single" w:sz="8" w:space="0" w:color="auto"/>
              <w:right w:val="single" w:sz="8" w:space="0" w:color="auto"/>
            </w:tcBorders>
            <w:shd w:val="clear" w:color="auto" w:fill="auto"/>
            <w:hideMark/>
          </w:tcPr>
          <w:p w14:paraId="3F678CDC" w14:textId="77777777" w:rsidR="00CA37AD" w:rsidRPr="0043589D" w:rsidRDefault="00CA37AD" w:rsidP="001E7124">
            <w:pPr>
              <w:spacing w:after="0"/>
              <w:jc w:val="left"/>
              <w:rPr>
                <w:rFonts w:ascii="Calibri" w:eastAsia="Times New Roman" w:hAnsi="Calibri" w:cs="Calibri"/>
                <w:color w:val="auto"/>
                <w:u w:val="single"/>
                <w:lang w:eastAsia="cs-CZ"/>
              </w:rPr>
            </w:pPr>
            <w:r w:rsidRPr="0043589D">
              <w:rPr>
                <w:color w:val="auto"/>
              </w:rPr>
              <w:t>FT</w:t>
            </w:r>
          </w:p>
        </w:tc>
      </w:tr>
      <w:tr w:rsidR="00CA37AD" w:rsidRPr="0043589D" w14:paraId="2511E268" w14:textId="77777777" w:rsidTr="003C5F13">
        <w:trPr>
          <w:trHeight w:val="300"/>
        </w:trPr>
        <w:tc>
          <w:tcPr>
            <w:tcW w:w="1408" w:type="dxa"/>
            <w:vMerge w:val="restart"/>
            <w:tcBorders>
              <w:top w:val="nil"/>
              <w:left w:val="single" w:sz="8" w:space="0" w:color="auto"/>
              <w:bottom w:val="single" w:sz="8" w:space="0" w:color="000000"/>
              <w:right w:val="single" w:sz="8" w:space="0" w:color="auto"/>
            </w:tcBorders>
            <w:shd w:val="clear" w:color="auto" w:fill="auto"/>
            <w:vAlign w:val="center"/>
            <w:hideMark/>
          </w:tcPr>
          <w:p w14:paraId="7627A763" w14:textId="77777777" w:rsidR="00CA37AD" w:rsidRPr="0043589D" w:rsidRDefault="00CA37AD" w:rsidP="001E7124">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1.5 Kvalita veřejných institucí</w:t>
            </w:r>
          </w:p>
        </w:tc>
        <w:tc>
          <w:tcPr>
            <w:tcW w:w="1134" w:type="dxa"/>
            <w:tcBorders>
              <w:top w:val="nil"/>
              <w:left w:val="nil"/>
              <w:bottom w:val="single" w:sz="4" w:space="0" w:color="auto"/>
              <w:right w:val="single" w:sz="4" w:space="0" w:color="auto"/>
            </w:tcBorders>
            <w:shd w:val="clear" w:color="000000" w:fill="FFC7CE"/>
            <w:hideMark/>
          </w:tcPr>
          <w:p w14:paraId="6A4D8942" w14:textId="77777777" w:rsidR="00CA37AD" w:rsidRPr="0043589D" w:rsidRDefault="00CA37AD" w:rsidP="001E7124">
            <w:pPr>
              <w:spacing w:after="0"/>
              <w:jc w:val="center"/>
              <w:rPr>
                <w:rFonts w:ascii="Calibri" w:eastAsia="Times New Roman" w:hAnsi="Calibri" w:cs="Calibri"/>
                <w:color w:val="9C0006"/>
                <w:lang w:eastAsia="cs-CZ"/>
              </w:rPr>
            </w:pPr>
            <w:r w:rsidRPr="0043589D">
              <w:rPr>
                <w:rFonts w:ascii="Calibri" w:eastAsia="Times New Roman" w:hAnsi="Calibri" w:cs="Calibri"/>
                <w:color w:val="9C0006"/>
                <w:lang w:eastAsia="cs-CZ"/>
              </w:rPr>
              <w:t>Strategický</w:t>
            </w:r>
          </w:p>
        </w:tc>
        <w:tc>
          <w:tcPr>
            <w:tcW w:w="7087" w:type="dxa"/>
            <w:tcBorders>
              <w:top w:val="nil"/>
              <w:left w:val="nil"/>
              <w:bottom w:val="single" w:sz="4" w:space="0" w:color="auto"/>
              <w:right w:val="single" w:sz="4" w:space="0" w:color="auto"/>
            </w:tcBorders>
            <w:shd w:val="clear" w:color="auto" w:fill="auto"/>
            <w:hideMark/>
          </w:tcPr>
          <w:p w14:paraId="3B97A954"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 xml:space="preserve">Vládní efektivnost, </w:t>
            </w:r>
            <w:proofErr w:type="spellStart"/>
            <w:r w:rsidRPr="0043589D">
              <w:rPr>
                <w:rFonts w:ascii="Calibri" w:eastAsia="Times New Roman" w:hAnsi="Calibri" w:cs="Calibri"/>
                <w:color w:val="auto"/>
                <w:lang w:eastAsia="cs-CZ"/>
              </w:rPr>
              <w:t>World</w:t>
            </w:r>
            <w:proofErr w:type="spellEnd"/>
            <w:r w:rsidRPr="0043589D">
              <w:rPr>
                <w:rFonts w:ascii="Calibri" w:eastAsia="Times New Roman" w:hAnsi="Calibri" w:cs="Calibri"/>
                <w:color w:val="auto"/>
                <w:lang w:eastAsia="cs-CZ"/>
              </w:rPr>
              <w:t xml:space="preserve"> </w:t>
            </w:r>
            <w:proofErr w:type="spellStart"/>
            <w:r w:rsidRPr="0043589D">
              <w:rPr>
                <w:rFonts w:ascii="Calibri" w:eastAsia="Times New Roman" w:hAnsi="Calibri" w:cs="Calibri"/>
                <w:color w:val="auto"/>
                <w:lang w:eastAsia="cs-CZ"/>
              </w:rPr>
              <w:t>Governance</w:t>
            </w:r>
            <w:proofErr w:type="spellEnd"/>
            <w:r w:rsidRPr="0043589D">
              <w:rPr>
                <w:rFonts w:ascii="Calibri" w:eastAsia="Times New Roman" w:hAnsi="Calibri" w:cs="Calibri"/>
                <w:color w:val="auto"/>
                <w:lang w:eastAsia="cs-CZ"/>
              </w:rPr>
              <w:t xml:space="preserve"> </w:t>
            </w:r>
            <w:proofErr w:type="spellStart"/>
            <w:r w:rsidRPr="0043589D">
              <w:rPr>
                <w:rFonts w:ascii="Calibri" w:eastAsia="Times New Roman" w:hAnsi="Calibri" w:cs="Calibri"/>
                <w:color w:val="auto"/>
                <w:lang w:eastAsia="cs-CZ"/>
              </w:rPr>
              <w:t>Indicator</w:t>
            </w:r>
            <w:proofErr w:type="spellEnd"/>
          </w:p>
        </w:tc>
        <w:tc>
          <w:tcPr>
            <w:tcW w:w="1134" w:type="dxa"/>
            <w:tcBorders>
              <w:top w:val="nil"/>
              <w:left w:val="nil"/>
              <w:bottom w:val="single" w:sz="4" w:space="0" w:color="auto"/>
              <w:right w:val="single" w:sz="4" w:space="0" w:color="auto"/>
            </w:tcBorders>
            <w:shd w:val="clear" w:color="auto" w:fill="auto"/>
            <w:hideMark/>
          </w:tcPr>
          <w:p w14:paraId="4447DB20"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index</w:t>
            </w:r>
          </w:p>
        </w:tc>
        <w:tc>
          <w:tcPr>
            <w:tcW w:w="1418" w:type="dxa"/>
            <w:tcBorders>
              <w:top w:val="nil"/>
              <w:left w:val="nil"/>
              <w:bottom w:val="single" w:sz="4" w:space="0" w:color="auto"/>
              <w:right w:val="single" w:sz="4" w:space="0" w:color="auto"/>
            </w:tcBorders>
            <w:shd w:val="clear" w:color="auto" w:fill="auto"/>
            <w:hideMark/>
          </w:tcPr>
          <w:p w14:paraId="13AE2BC6" w14:textId="77777777" w:rsidR="00CA37AD" w:rsidRPr="0043589D" w:rsidRDefault="00CA37AD"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81,13</w:t>
            </w:r>
          </w:p>
        </w:tc>
        <w:tc>
          <w:tcPr>
            <w:tcW w:w="850" w:type="dxa"/>
            <w:tcBorders>
              <w:top w:val="nil"/>
              <w:left w:val="nil"/>
              <w:bottom w:val="single" w:sz="4" w:space="0" w:color="auto"/>
              <w:right w:val="single" w:sz="4" w:space="0" w:color="auto"/>
            </w:tcBorders>
            <w:shd w:val="clear" w:color="auto" w:fill="auto"/>
            <w:hideMark/>
          </w:tcPr>
          <w:p w14:paraId="1BD219E8"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2022</w:t>
            </w:r>
          </w:p>
        </w:tc>
        <w:tc>
          <w:tcPr>
            <w:tcW w:w="1519" w:type="dxa"/>
            <w:tcBorders>
              <w:top w:val="nil"/>
              <w:left w:val="nil"/>
              <w:bottom w:val="single" w:sz="4" w:space="0" w:color="auto"/>
              <w:right w:val="single" w:sz="8" w:space="0" w:color="auto"/>
            </w:tcBorders>
            <w:shd w:val="clear" w:color="auto" w:fill="auto"/>
            <w:hideMark/>
          </w:tcPr>
          <w:p w14:paraId="66389DFD" w14:textId="77777777" w:rsidR="00CA37AD" w:rsidRPr="0043589D" w:rsidRDefault="00CA37AD" w:rsidP="001E7124">
            <w:pPr>
              <w:spacing w:after="0"/>
              <w:jc w:val="left"/>
              <w:rPr>
                <w:rFonts w:ascii="Calibri" w:eastAsia="Times New Roman" w:hAnsi="Calibri" w:cs="Calibri"/>
                <w:color w:val="auto"/>
                <w:u w:val="single"/>
                <w:lang w:eastAsia="cs-CZ"/>
              </w:rPr>
            </w:pPr>
            <w:r w:rsidRPr="0043589D">
              <w:rPr>
                <w:color w:val="auto"/>
              </w:rPr>
              <w:t>Světová banka</w:t>
            </w:r>
          </w:p>
        </w:tc>
      </w:tr>
      <w:tr w:rsidR="00CA37AD" w:rsidRPr="0043589D" w14:paraId="3455C0F6" w14:textId="77777777" w:rsidTr="003C5F13">
        <w:trPr>
          <w:trHeight w:val="300"/>
        </w:trPr>
        <w:tc>
          <w:tcPr>
            <w:tcW w:w="1408" w:type="dxa"/>
            <w:vMerge/>
            <w:tcBorders>
              <w:top w:val="nil"/>
              <w:left w:val="single" w:sz="8" w:space="0" w:color="auto"/>
              <w:bottom w:val="single" w:sz="8" w:space="0" w:color="000000"/>
              <w:right w:val="single" w:sz="8" w:space="0" w:color="auto"/>
            </w:tcBorders>
            <w:vAlign w:val="center"/>
            <w:hideMark/>
          </w:tcPr>
          <w:p w14:paraId="3A276E0C" w14:textId="77777777" w:rsidR="00CA37AD" w:rsidRPr="0043589D" w:rsidRDefault="00CA37AD" w:rsidP="001E7124">
            <w:pPr>
              <w:spacing w:after="0"/>
              <w:jc w:val="left"/>
              <w:rPr>
                <w:rFonts w:ascii="Calibri" w:eastAsia="Times New Roman" w:hAnsi="Calibri" w:cs="Calibri"/>
                <w:color w:val="auto"/>
                <w:lang w:eastAsia="cs-CZ"/>
              </w:rPr>
            </w:pPr>
          </w:p>
        </w:tc>
        <w:tc>
          <w:tcPr>
            <w:tcW w:w="1134" w:type="dxa"/>
            <w:tcBorders>
              <w:top w:val="nil"/>
              <w:left w:val="single" w:sz="8" w:space="0" w:color="auto"/>
              <w:bottom w:val="single" w:sz="4" w:space="0" w:color="auto"/>
              <w:right w:val="single" w:sz="4" w:space="0" w:color="auto"/>
            </w:tcBorders>
            <w:shd w:val="clear" w:color="000000" w:fill="C6EFCE"/>
            <w:hideMark/>
          </w:tcPr>
          <w:p w14:paraId="15B59A07" w14:textId="77777777" w:rsidR="00CA37AD" w:rsidRPr="0043589D" w:rsidRDefault="00CA37AD" w:rsidP="001E7124">
            <w:pPr>
              <w:spacing w:after="0"/>
              <w:jc w:val="center"/>
              <w:rPr>
                <w:rFonts w:ascii="Calibri" w:eastAsia="Times New Roman" w:hAnsi="Calibri" w:cs="Calibri"/>
                <w:color w:val="006100"/>
                <w:lang w:eastAsia="cs-CZ"/>
              </w:rPr>
            </w:pPr>
            <w:r w:rsidRPr="0043589D">
              <w:rPr>
                <w:rFonts w:ascii="Calibri" w:eastAsia="Times New Roman" w:hAnsi="Calibri" w:cs="Calibri"/>
                <w:color w:val="006100"/>
                <w:lang w:eastAsia="cs-CZ"/>
              </w:rPr>
              <w:t>Doplňující</w:t>
            </w:r>
          </w:p>
        </w:tc>
        <w:tc>
          <w:tcPr>
            <w:tcW w:w="7087" w:type="dxa"/>
            <w:tcBorders>
              <w:top w:val="nil"/>
              <w:left w:val="nil"/>
              <w:bottom w:val="single" w:sz="4" w:space="0" w:color="auto"/>
              <w:right w:val="single" w:sz="4" w:space="0" w:color="auto"/>
            </w:tcBorders>
            <w:shd w:val="clear" w:color="auto" w:fill="auto"/>
            <w:hideMark/>
          </w:tcPr>
          <w:p w14:paraId="72E2C5F2" w14:textId="56906140" w:rsidR="00CA37AD" w:rsidRPr="0043589D" w:rsidRDefault="00421331"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 xml:space="preserve">OECD Public Integrity </w:t>
            </w:r>
            <w:proofErr w:type="spellStart"/>
            <w:r w:rsidRPr="0043589D">
              <w:rPr>
                <w:rFonts w:ascii="Calibri" w:eastAsia="Times New Roman" w:hAnsi="Calibri" w:cs="Calibri"/>
                <w:color w:val="auto"/>
                <w:lang w:eastAsia="cs-CZ"/>
              </w:rPr>
              <w:t>Inndicators</w:t>
            </w:r>
            <w:proofErr w:type="spellEnd"/>
            <w:r w:rsidRPr="0043589D">
              <w:rPr>
                <w:rFonts w:ascii="Calibri" w:eastAsia="Times New Roman" w:hAnsi="Calibri" w:cs="Calibri"/>
                <w:color w:val="auto"/>
                <w:lang w:eastAsia="cs-CZ"/>
              </w:rPr>
              <w:t xml:space="preserve"> – Předpisy</w:t>
            </w:r>
            <w:r w:rsidR="00CA37AD" w:rsidRPr="0043589D">
              <w:rPr>
                <w:rFonts w:ascii="Calibri" w:eastAsia="Times New Roman" w:hAnsi="Calibri" w:cs="Calibri"/>
                <w:color w:val="auto"/>
                <w:lang w:eastAsia="cs-CZ"/>
              </w:rPr>
              <w:t xml:space="preserve"> o transparentnosti vlivu politiky </w:t>
            </w:r>
          </w:p>
        </w:tc>
        <w:tc>
          <w:tcPr>
            <w:tcW w:w="1134" w:type="dxa"/>
            <w:tcBorders>
              <w:top w:val="nil"/>
              <w:left w:val="nil"/>
              <w:bottom w:val="single" w:sz="4" w:space="0" w:color="auto"/>
              <w:right w:val="single" w:sz="4" w:space="0" w:color="auto"/>
            </w:tcBorders>
            <w:shd w:val="clear" w:color="auto" w:fill="auto"/>
            <w:hideMark/>
          </w:tcPr>
          <w:p w14:paraId="00D0D917"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hodnota</w:t>
            </w:r>
          </w:p>
        </w:tc>
        <w:tc>
          <w:tcPr>
            <w:tcW w:w="1418" w:type="dxa"/>
            <w:tcBorders>
              <w:top w:val="nil"/>
              <w:left w:val="nil"/>
              <w:bottom w:val="single" w:sz="4" w:space="0" w:color="auto"/>
              <w:right w:val="single" w:sz="4" w:space="0" w:color="auto"/>
            </w:tcBorders>
            <w:shd w:val="clear" w:color="auto" w:fill="auto"/>
            <w:noWrap/>
            <w:hideMark/>
          </w:tcPr>
          <w:p w14:paraId="67250AB7" w14:textId="77777777" w:rsidR="00CA37AD" w:rsidRPr="0043589D" w:rsidRDefault="00CA37AD"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21</w:t>
            </w:r>
          </w:p>
        </w:tc>
        <w:tc>
          <w:tcPr>
            <w:tcW w:w="850" w:type="dxa"/>
            <w:tcBorders>
              <w:top w:val="nil"/>
              <w:left w:val="nil"/>
              <w:bottom w:val="single" w:sz="4" w:space="0" w:color="auto"/>
              <w:right w:val="single" w:sz="4" w:space="0" w:color="auto"/>
            </w:tcBorders>
            <w:shd w:val="clear" w:color="auto" w:fill="auto"/>
            <w:hideMark/>
          </w:tcPr>
          <w:p w14:paraId="1318F3A3"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2022</w:t>
            </w:r>
          </w:p>
        </w:tc>
        <w:tc>
          <w:tcPr>
            <w:tcW w:w="1519" w:type="dxa"/>
            <w:tcBorders>
              <w:top w:val="nil"/>
              <w:left w:val="nil"/>
              <w:bottom w:val="single" w:sz="4" w:space="0" w:color="auto"/>
              <w:right w:val="single" w:sz="8" w:space="0" w:color="auto"/>
            </w:tcBorders>
            <w:shd w:val="clear" w:color="auto" w:fill="auto"/>
            <w:hideMark/>
          </w:tcPr>
          <w:p w14:paraId="3F477B66" w14:textId="77777777" w:rsidR="00CA37AD" w:rsidRPr="0043589D" w:rsidRDefault="00CA37AD" w:rsidP="001E7124">
            <w:pPr>
              <w:spacing w:after="0"/>
              <w:jc w:val="left"/>
              <w:rPr>
                <w:rFonts w:ascii="Calibri" w:eastAsia="Times New Roman" w:hAnsi="Calibri" w:cs="Calibri"/>
                <w:color w:val="auto"/>
                <w:u w:val="single"/>
                <w:lang w:eastAsia="cs-CZ"/>
              </w:rPr>
            </w:pPr>
            <w:r w:rsidRPr="0043589D">
              <w:rPr>
                <w:color w:val="auto"/>
              </w:rPr>
              <w:t>OECD</w:t>
            </w:r>
          </w:p>
        </w:tc>
      </w:tr>
      <w:tr w:rsidR="00CA37AD" w:rsidRPr="0043589D" w14:paraId="673B4D62" w14:textId="77777777" w:rsidTr="003C5F13">
        <w:trPr>
          <w:trHeight w:val="300"/>
        </w:trPr>
        <w:tc>
          <w:tcPr>
            <w:tcW w:w="1408" w:type="dxa"/>
            <w:vMerge/>
            <w:tcBorders>
              <w:top w:val="nil"/>
              <w:left w:val="single" w:sz="8" w:space="0" w:color="auto"/>
              <w:bottom w:val="single" w:sz="8" w:space="0" w:color="000000"/>
              <w:right w:val="single" w:sz="8" w:space="0" w:color="auto"/>
            </w:tcBorders>
            <w:vAlign w:val="center"/>
            <w:hideMark/>
          </w:tcPr>
          <w:p w14:paraId="58D86D17" w14:textId="77777777" w:rsidR="00CA37AD" w:rsidRPr="0043589D" w:rsidRDefault="00CA37AD" w:rsidP="001E7124">
            <w:pPr>
              <w:spacing w:after="0"/>
              <w:jc w:val="left"/>
              <w:rPr>
                <w:rFonts w:ascii="Calibri" w:eastAsia="Times New Roman" w:hAnsi="Calibri" w:cs="Calibri"/>
                <w:color w:val="auto"/>
                <w:lang w:eastAsia="cs-CZ"/>
              </w:rPr>
            </w:pPr>
          </w:p>
        </w:tc>
        <w:tc>
          <w:tcPr>
            <w:tcW w:w="1134" w:type="dxa"/>
            <w:tcBorders>
              <w:top w:val="single" w:sz="4" w:space="0" w:color="auto"/>
              <w:left w:val="single" w:sz="8" w:space="0" w:color="auto"/>
              <w:bottom w:val="single" w:sz="4" w:space="0" w:color="auto"/>
              <w:right w:val="single" w:sz="4" w:space="0" w:color="auto"/>
            </w:tcBorders>
            <w:shd w:val="clear" w:color="000000" w:fill="C6EFCE"/>
            <w:hideMark/>
          </w:tcPr>
          <w:p w14:paraId="01DDEF64" w14:textId="77777777" w:rsidR="00CA37AD" w:rsidRPr="0043589D" w:rsidRDefault="00CA37AD" w:rsidP="001E7124">
            <w:pPr>
              <w:spacing w:after="0"/>
              <w:jc w:val="center"/>
              <w:rPr>
                <w:rFonts w:ascii="Calibri" w:eastAsia="Times New Roman" w:hAnsi="Calibri" w:cs="Calibri"/>
                <w:color w:val="006100"/>
                <w:lang w:eastAsia="cs-CZ"/>
              </w:rPr>
            </w:pPr>
            <w:r w:rsidRPr="0043589D">
              <w:rPr>
                <w:rFonts w:ascii="Calibri" w:eastAsia="Times New Roman" w:hAnsi="Calibri" w:cs="Calibri"/>
                <w:color w:val="006100"/>
                <w:lang w:eastAsia="cs-CZ"/>
              </w:rPr>
              <w:t>Doplňující</w:t>
            </w:r>
          </w:p>
        </w:tc>
        <w:tc>
          <w:tcPr>
            <w:tcW w:w="7087" w:type="dxa"/>
            <w:tcBorders>
              <w:top w:val="nil"/>
              <w:left w:val="nil"/>
              <w:bottom w:val="single" w:sz="4" w:space="0" w:color="auto"/>
              <w:right w:val="single" w:sz="4" w:space="0" w:color="auto"/>
            </w:tcBorders>
            <w:shd w:val="clear" w:color="auto" w:fill="auto"/>
            <w:hideMark/>
          </w:tcPr>
          <w:p w14:paraId="3A356F40" w14:textId="781A3E3B" w:rsidR="00CA37AD" w:rsidRPr="0043589D" w:rsidRDefault="00421331"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 xml:space="preserve">OECD Public Integrity </w:t>
            </w:r>
            <w:proofErr w:type="spellStart"/>
            <w:r w:rsidRPr="0043589D">
              <w:rPr>
                <w:rFonts w:ascii="Calibri" w:eastAsia="Times New Roman" w:hAnsi="Calibri" w:cs="Calibri"/>
                <w:color w:val="auto"/>
                <w:lang w:eastAsia="cs-CZ"/>
              </w:rPr>
              <w:t>Inndicators</w:t>
            </w:r>
            <w:proofErr w:type="spellEnd"/>
            <w:r w:rsidRPr="0043589D">
              <w:rPr>
                <w:rFonts w:ascii="Calibri" w:eastAsia="Times New Roman" w:hAnsi="Calibri" w:cs="Calibri"/>
                <w:color w:val="auto"/>
                <w:lang w:eastAsia="cs-CZ"/>
              </w:rPr>
              <w:t xml:space="preserve"> – </w:t>
            </w:r>
            <w:r w:rsidR="00CA37AD" w:rsidRPr="0043589D">
              <w:rPr>
                <w:rFonts w:ascii="Calibri" w:eastAsia="Times New Roman" w:hAnsi="Calibri" w:cs="Calibri"/>
                <w:color w:val="auto"/>
                <w:lang w:eastAsia="cs-CZ"/>
              </w:rPr>
              <w:t xml:space="preserve">Ochrany proti střetu zájmů v praxi </w:t>
            </w:r>
          </w:p>
        </w:tc>
        <w:tc>
          <w:tcPr>
            <w:tcW w:w="1134" w:type="dxa"/>
            <w:tcBorders>
              <w:top w:val="nil"/>
              <w:left w:val="nil"/>
              <w:bottom w:val="single" w:sz="4" w:space="0" w:color="auto"/>
              <w:right w:val="single" w:sz="4" w:space="0" w:color="auto"/>
            </w:tcBorders>
            <w:shd w:val="clear" w:color="auto" w:fill="auto"/>
            <w:hideMark/>
          </w:tcPr>
          <w:p w14:paraId="2EF9AC44"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hodnota</w:t>
            </w:r>
          </w:p>
        </w:tc>
        <w:tc>
          <w:tcPr>
            <w:tcW w:w="1418" w:type="dxa"/>
            <w:tcBorders>
              <w:top w:val="nil"/>
              <w:left w:val="nil"/>
              <w:bottom w:val="single" w:sz="4" w:space="0" w:color="auto"/>
              <w:right w:val="single" w:sz="4" w:space="0" w:color="auto"/>
            </w:tcBorders>
            <w:shd w:val="clear" w:color="auto" w:fill="auto"/>
            <w:noWrap/>
            <w:hideMark/>
          </w:tcPr>
          <w:p w14:paraId="3B527828" w14:textId="77777777" w:rsidR="00CA37AD" w:rsidRPr="0043589D" w:rsidRDefault="00CA37AD"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4</w:t>
            </w:r>
          </w:p>
        </w:tc>
        <w:tc>
          <w:tcPr>
            <w:tcW w:w="850" w:type="dxa"/>
            <w:tcBorders>
              <w:top w:val="nil"/>
              <w:left w:val="nil"/>
              <w:bottom w:val="single" w:sz="4" w:space="0" w:color="auto"/>
              <w:right w:val="single" w:sz="4" w:space="0" w:color="auto"/>
            </w:tcBorders>
            <w:shd w:val="clear" w:color="auto" w:fill="auto"/>
            <w:hideMark/>
          </w:tcPr>
          <w:p w14:paraId="65D86CFF"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2022</w:t>
            </w:r>
          </w:p>
        </w:tc>
        <w:tc>
          <w:tcPr>
            <w:tcW w:w="1519" w:type="dxa"/>
            <w:tcBorders>
              <w:top w:val="nil"/>
              <w:left w:val="nil"/>
              <w:bottom w:val="single" w:sz="4" w:space="0" w:color="auto"/>
              <w:right w:val="single" w:sz="8" w:space="0" w:color="auto"/>
            </w:tcBorders>
            <w:shd w:val="clear" w:color="auto" w:fill="auto"/>
            <w:hideMark/>
          </w:tcPr>
          <w:p w14:paraId="3ADA6401" w14:textId="77777777" w:rsidR="00CA37AD" w:rsidRPr="0043589D" w:rsidRDefault="00CA37AD" w:rsidP="001E7124">
            <w:pPr>
              <w:spacing w:after="0"/>
              <w:jc w:val="left"/>
              <w:rPr>
                <w:rFonts w:ascii="Calibri" w:eastAsia="Times New Roman" w:hAnsi="Calibri" w:cs="Calibri"/>
                <w:color w:val="auto"/>
                <w:u w:val="single"/>
                <w:lang w:eastAsia="cs-CZ"/>
              </w:rPr>
            </w:pPr>
            <w:r w:rsidRPr="0043589D">
              <w:rPr>
                <w:color w:val="auto"/>
              </w:rPr>
              <w:t>OECD</w:t>
            </w:r>
          </w:p>
        </w:tc>
      </w:tr>
      <w:tr w:rsidR="00CA37AD" w:rsidRPr="0043589D" w14:paraId="40BB536A" w14:textId="77777777" w:rsidTr="003C5F13">
        <w:trPr>
          <w:trHeight w:val="300"/>
        </w:trPr>
        <w:tc>
          <w:tcPr>
            <w:tcW w:w="1408" w:type="dxa"/>
            <w:vMerge/>
            <w:tcBorders>
              <w:top w:val="nil"/>
              <w:left w:val="single" w:sz="8" w:space="0" w:color="auto"/>
              <w:bottom w:val="single" w:sz="8" w:space="0" w:color="000000"/>
              <w:right w:val="single" w:sz="8" w:space="0" w:color="auto"/>
            </w:tcBorders>
            <w:vAlign w:val="center"/>
            <w:hideMark/>
          </w:tcPr>
          <w:p w14:paraId="69148C54" w14:textId="77777777" w:rsidR="00CA37AD" w:rsidRPr="0043589D" w:rsidRDefault="00CA37AD" w:rsidP="001E7124">
            <w:pPr>
              <w:spacing w:after="0"/>
              <w:jc w:val="left"/>
              <w:rPr>
                <w:rFonts w:ascii="Calibri" w:eastAsia="Times New Roman" w:hAnsi="Calibri" w:cs="Calibri"/>
                <w:color w:val="auto"/>
                <w:lang w:eastAsia="cs-CZ"/>
              </w:rPr>
            </w:pPr>
          </w:p>
        </w:tc>
        <w:tc>
          <w:tcPr>
            <w:tcW w:w="1134" w:type="dxa"/>
            <w:tcBorders>
              <w:top w:val="single" w:sz="4" w:space="0" w:color="auto"/>
              <w:left w:val="single" w:sz="8" w:space="0" w:color="auto"/>
              <w:bottom w:val="single" w:sz="4" w:space="0" w:color="auto"/>
              <w:right w:val="single" w:sz="4" w:space="0" w:color="auto"/>
            </w:tcBorders>
            <w:shd w:val="clear" w:color="000000" w:fill="C6EFCE"/>
            <w:hideMark/>
          </w:tcPr>
          <w:p w14:paraId="545869A7" w14:textId="77777777" w:rsidR="00CA37AD" w:rsidRPr="0043589D" w:rsidRDefault="00CA37AD" w:rsidP="001E7124">
            <w:pPr>
              <w:spacing w:after="0"/>
              <w:jc w:val="center"/>
              <w:rPr>
                <w:rFonts w:ascii="Calibri" w:eastAsia="Times New Roman" w:hAnsi="Calibri" w:cs="Calibri"/>
                <w:color w:val="006100"/>
                <w:lang w:eastAsia="cs-CZ"/>
              </w:rPr>
            </w:pPr>
            <w:r w:rsidRPr="0043589D">
              <w:rPr>
                <w:rFonts w:ascii="Calibri" w:eastAsia="Times New Roman" w:hAnsi="Calibri" w:cs="Calibri"/>
                <w:color w:val="006100"/>
                <w:lang w:eastAsia="cs-CZ"/>
              </w:rPr>
              <w:t>Doplňující</w:t>
            </w:r>
          </w:p>
        </w:tc>
        <w:tc>
          <w:tcPr>
            <w:tcW w:w="7087" w:type="dxa"/>
            <w:tcBorders>
              <w:top w:val="nil"/>
              <w:left w:val="nil"/>
              <w:bottom w:val="single" w:sz="4" w:space="0" w:color="auto"/>
              <w:right w:val="single" w:sz="4" w:space="0" w:color="auto"/>
            </w:tcBorders>
            <w:shd w:val="clear" w:color="auto" w:fill="auto"/>
            <w:hideMark/>
          </w:tcPr>
          <w:p w14:paraId="5ED9FE2A" w14:textId="21D24403" w:rsidR="00CA37AD" w:rsidRPr="0043589D" w:rsidRDefault="00421331"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 xml:space="preserve">OECD Public Integrity </w:t>
            </w:r>
            <w:proofErr w:type="spellStart"/>
            <w:r w:rsidRPr="0043589D">
              <w:rPr>
                <w:rFonts w:ascii="Calibri" w:eastAsia="Times New Roman" w:hAnsi="Calibri" w:cs="Calibri"/>
                <w:color w:val="auto"/>
                <w:lang w:eastAsia="cs-CZ"/>
              </w:rPr>
              <w:t>Inndicators</w:t>
            </w:r>
            <w:proofErr w:type="spellEnd"/>
            <w:r w:rsidRPr="0043589D">
              <w:rPr>
                <w:rFonts w:ascii="Calibri" w:eastAsia="Times New Roman" w:hAnsi="Calibri" w:cs="Calibri"/>
                <w:color w:val="auto"/>
                <w:lang w:eastAsia="cs-CZ"/>
              </w:rPr>
              <w:t xml:space="preserve"> – </w:t>
            </w:r>
            <w:r w:rsidR="00CA37AD" w:rsidRPr="0043589D">
              <w:rPr>
                <w:rFonts w:ascii="Calibri" w:eastAsia="Times New Roman" w:hAnsi="Calibri" w:cs="Calibri"/>
                <w:color w:val="auto"/>
                <w:lang w:eastAsia="cs-CZ"/>
              </w:rPr>
              <w:t xml:space="preserve">Lobbingové záruky v praxi </w:t>
            </w:r>
          </w:p>
        </w:tc>
        <w:tc>
          <w:tcPr>
            <w:tcW w:w="1134" w:type="dxa"/>
            <w:tcBorders>
              <w:top w:val="nil"/>
              <w:left w:val="nil"/>
              <w:bottom w:val="single" w:sz="4" w:space="0" w:color="auto"/>
              <w:right w:val="single" w:sz="4" w:space="0" w:color="auto"/>
            </w:tcBorders>
            <w:shd w:val="clear" w:color="auto" w:fill="auto"/>
            <w:hideMark/>
          </w:tcPr>
          <w:p w14:paraId="6BF86A92"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hodnota</w:t>
            </w:r>
          </w:p>
        </w:tc>
        <w:tc>
          <w:tcPr>
            <w:tcW w:w="1418" w:type="dxa"/>
            <w:tcBorders>
              <w:top w:val="nil"/>
              <w:left w:val="nil"/>
              <w:bottom w:val="single" w:sz="4" w:space="0" w:color="auto"/>
              <w:right w:val="single" w:sz="4" w:space="0" w:color="auto"/>
            </w:tcBorders>
            <w:shd w:val="clear" w:color="auto" w:fill="auto"/>
            <w:noWrap/>
            <w:hideMark/>
          </w:tcPr>
          <w:p w14:paraId="341D50A9" w14:textId="77777777" w:rsidR="00CA37AD" w:rsidRPr="0043589D" w:rsidRDefault="00CA37AD"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1</w:t>
            </w:r>
          </w:p>
        </w:tc>
        <w:tc>
          <w:tcPr>
            <w:tcW w:w="850" w:type="dxa"/>
            <w:tcBorders>
              <w:top w:val="nil"/>
              <w:left w:val="nil"/>
              <w:bottom w:val="single" w:sz="4" w:space="0" w:color="auto"/>
              <w:right w:val="single" w:sz="4" w:space="0" w:color="auto"/>
            </w:tcBorders>
            <w:shd w:val="clear" w:color="auto" w:fill="auto"/>
            <w:hideMark/>
          </w:tcPr>
          <w:p w14:paraId="63AC3357"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2022</w:t>
            </w:r>
          </w:p>
        </w:tc>
        <w:tc>
          <w:tcPr>
            <w:tcW w:w="1519" w:type="dxa"/>
            <w:tcBorders>
              <w:top w:val="nil"/>
              <w:left w:val="nil"/>
              <w:bottom w:val="single" w:sz="4" w:space="0" w:color="auto"/>
              <w:right w:val="single" w:sz="8" w:space="0" w:color="auto"/>
            </w:tcBorders>
            <w:shd w:val="clear" w:color="auto" w:fill="auto"/>
            <w:hideMark/>
          </w:tcPr>
          <w:p w14:paraId="603A898A" w14:textId="77777777" w:rsidR="00CA37AD" w:rsidRPr="0043589D" w:rsidRDefault="00CA37AD" w:rsidP="001E7124">
            <w:pPr>
              <w:spacing w:after="0"/>
              <w:jc w:val="left"/>
              <w:rPr>
                <w:rFonts w:ascii="Calibri" w:eastAsia="Times New Roman" w:hAnsi="Calibri" w:cs="Calibri"/>
                <w:color w:val="auto"/>
                <w:u w:val="single"/>
                <w:lang w:eastAsia="cs-CZ"/>
              </w:rPr>
            </w:pPr>
            <w:r w:rsidRPr="0043589D">
              <w:rPr>
                <w:color w:val="auto"/>
              </w:rPr>
              <w:t>OECD</w:t>
            </w:r>
          </w:p>
        </w:tc>
      </w:tr>
      <w:tr w:rsidR="00CA37AD" w:rsidRPr="0043589D" w14:paraId="116732FE" w14:textId="77777777" w:rsidTr="003C5F13">
        <w:trPr>
          <w:trHeight w:val="300"/>
        </w:trPr>
        <w:tc>
          <w:tcPr>
            <w:tcW w:w="1408" w:type="dxa"/>
            <w:vMerge/>
            <w:tcBorders>
              <w:top w:val="nil"/>
              <w:left w:val="single" w:sz="8" w:space="0" w:color="auto"/>
              <w:bottom w:val="single" w:sz="8" w:space="0" w:color="000000"/>
              <w:right w:val="single" w:sz="8" w:space="0" w:color="auto"/>
            </w:tcBorders>
            <w:vAlign w:val="center"/>
            <w:hideMark/>
          </w:tcPr>
          <w:p w14:paraId="6D7BF301" w14:textId="77777777" w:rsidR="00CA37AD" w:rsidRPr="0043589D" w:rsidRDefault="00CA37AD" w:rsidP="001E7124">
            <w:pPr>
              <w:spacing w:after="0"/>
              <w:jc w:val="left"/>
              <w:rPr>
                <w:rFonts w:ascii="Calibri" w:eastAsia="Times New Roman" w:hAnsi="Calibri" w:cs="Calibri"/>
                <w:color w:val="auto"/>
                <w:lang w:eastAsia="cs-CZ"/>
              </w:rPr>
            </w:pPr>
          </w:p>
        </w:tc>
        <w:tc>
          <w:tcPr>
            <w:tcW w:w="1134" w:type="dxa"/>
            <w:tcBorders>
              <w:top w:val="single" w:sz="4" w:space="0" w:color="auto"/>
              <w:left w:val="single" w:sz="8" w:space="0" w:color="auto"/>
              <w:bottom w:val="single" w:sz="4" w:space="0" w:color="auto"/>
              <w:right w:val="single" w:sz="4" w:space="0" w:color="auto"/>
            </w:tcBorders>
            <w:shd w:val="clear" w:color="000000" w:fill="C6EFCE"/>
            <w:hideMark/>
          </w:tcPr>
          <w:p w14:paraId="472663FA" w14:textId="77777777" w:rsidR="00CA37AD" w:rsidRPr="0043589D" w:rsidRDefault="00CA37AD" w:rsidP="001E7124">
            <w:pPr>
              <w:spacing w:after="0"/>
              <w:jc w:val="center"/>
              <w:rPr>
                <w:rFonts w:ascii="Calibri" w:eastAsia="Times New Roman" w:hAnsi="Calibri" w:cs="Calibri"/>
                <w:color w:val="006100"/>
                <w:lang w:eastAsia="cs-CZ"/>
              </w:rPr>
            </w:pPr>
            <w:r w:rsidRPr="0043589D">
              <w:rPr>
                <w:rFonts w:ascii="Calibri" w:eastAsia="Times New Roman" w:hAnsi="Calibri" w:cs="Calibri"/>
                <w:color w:val="006100"/>
                <w:lang w:eastAsia="cs-CZ"/>
              </w:rPr>
              <w:t>Doplňující</w:t>
            </w:r>
          </w:p>
        </w:tc>
        <w:tc>
          <w:tcPr>
            <w:tcW w:w="7087" w:type="dxa"/>
            <w:tcBorders>
              <w:top w:val="nil"/>
              <w:left w:val="nil"/>
              <w:bottom w:val="single" w:sz="4" w:space="0" w:color="auto"/>
              <w:right w:val="single" w:sz="4" w:space="0" w:color="auto"/>
            </w:tcBorders>
            <w:shd w:val="clear" w:color="auto" w:fill="auto"/>
            <w:hideMark/>
          </w:tcPr>
          <w:p w14:paraId="26D635FA"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Vnímání korupce (</w:t>
            </w:r>
            <w:proofErr w:type="spellStart"/>
            <w:r w:rsidRPr="0043589D">
              <w:rPr>
                <w:rFonts w:ascii="Calibri" w:eastAsia="Times New Roman" w:hAnsi="Calibri" w:cs="Calibri"/>
                <w:color w:val="auto"/>
                <w:lang w:eastAsia="cs-CZ"/>
              </w:rPr>
              <w:t>Transparency</w:t>
            </w:r>
            <w:proofErr w:type="spellEnd"/>
            <w:r w:rsidRPr="0043589D">
              <w:rPr>
                <w:rFonts w:ascii="Calibri" w:eastAsia="Times New Roman" w:hAnsi="Calibri" w:cs="Calibri"/>
                <w:color w:val="auto"/>
                <w:lang w:eastAsia="cs-CZ"/>
              </w:rPr>
              <w:t xml:space="preserve"> International) vylepšit do TOP 30</w:t>
            </w:r>
          </w:p>
        </w:tc>
        <w:tc>
          <w:tcPr>
            <w:tcW w:w="1134" w:type="dxa"/>
            <w:tcBorders>
              <w:top w:val="nil"/>
              <w:left w:val="nil"/>
              <w:bottom w:val="single" w:sz="4" w:space="0" w:color="auto"/>
              <w:right w:val="single" w:sz="4" w:space="0" w:color="auto"/>
            </w:tcBorders>
            <w:shd w:val="clear" w:color="auto" w:fill="auto"/>
            <w:hideMark/>
          </w:tcPr>
          <w:p w14:paraId="02E18E97"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index</w:t>
            </w:r>
          </w:p>
        </w:tc>
        <w:tc>
          <w:tcPr>
            <w:tcW w:w="1418" w:type="dxa"/>
            <w:tcBorders>
              <w:top w:val="nil"/>
              <w:left w:val="nil"/>
              <w:bottom w:val="single" w:sz="4" w:space="0" w:color="auto"/>
              <w:right w:val="single" w:sz="4" w:space="0" w:color="auto"/>
            </w:tcBorders>
            <w:shd w:val="clear" w:color="auto" w:fill="auto"/>
            <w:hideMark/>
          </w:tcPr>
          <w:p w14:paraId="2227F75F" w14:textId="77777777" w:rsidR="00CA37AD" w:rsidRPr="0043589D" w:rsidRDefault="00CA37AD"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41</w:t>
            </w:r>
          </w:p>
        </w:tc>
        <w:tc>
          <w:tcPr>
            <w:tcW w:w="850" w:type="dxa"/>
            <w:tcBorders>
              <w:top w:val="nil"/>
              <w:left w:val="nil"/>
              <w:bottom w:val="single" w:sz="4" w:space="0" w:color="auto"/>
              <w:right w:val="single" w:sz="4" w:space="0" w:color="auto"/>
            </w:tcBorders>
            <w:shd w:val="clear" w:color="auto" w:fill="auto"/>
            <w:hideMark/>
          </w:tcPr>
          <w:p w14:paraId="7249BA0C"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2023</w:t>
            </w:r>
          </w:p>
        </w:tc>
        <w:tc>
          <w:tcPr>
            <w:tcW w:w="1519" w:type="dxa"/>
            <w:tcBorders>
              <w:top w:val="nil"/>
              <w:left w:val="nil"/>
              <w:bottom w:val="single" w:sz="4" w:space="0" w:color="auto"/>
              <w:right w:val="single" w:sz="8" w:space="0" w:color="auto"/>
            </w:tcBorders>
            <w:shd w:val="clear" w:color="auto" w:fill="auto"/>
            <w:hideMark/>
          </w:tcPr>
          <w:p w14:paraId="11735A98" w14:textId="77777777" w:rsidR="00CA37AD" w:rsidRPr="0043589D" w:rsidRDefault="00CA37AD" w:rsidP="001E7124">
            <w:pPr>
              <w:spacing w:after="0"/>
              <w:jc w:val="left"/>
              <w:rPr>
                <w:rFonts w:ascii="Calibri" w:eastAsia="Times New Roman" w:hAnsi="Calibri" w:cs="Calibri"/>
                <w:color w:val="auto"/>
                <w:u w:val="single"/>
                <w:lang w:eastAsia="cs-CZ"/>
              </w:rPr>
            </w:pPr>
            <w:proofErr w:type="spellStart"/>
            <w:r w:rsidRPr="0043589D">
              <w:rPr>
                <w:color w:val="auto"/>
              </w:rPr>
              <w:t>Transparency</w:t>
            </w:r>
            <w:proofErr w:type="spellEnd"/>
          </w:p>
        </w:tc>
      </w:tr>
      <w:tr w:rsidR="00CA37AD" w:rsidRPr="0043589D" w14:paraId="04017764" w14:textId="77777777" w:rsidTr="003C5F13">
        <w:trPr>
          <w:trHeight w:val="300"/>
        </w:trPr>
        <w:tc>
          <w:tcPr>
            <w:tcW w:w="1408" w:type="dxa"/>
            <w:vMerge/>
            <w:tcBorders>
              <w:top w:val="nil"/>
              <w:left w:val="single" w:sz="8" w:space="0" w:color="auto"/>
              <w:bottom w:val="single" w:sz="8" w:space="0" w:color="000000"/>
              <w:right w:val="single" w:sz="8" w:space="0" w:color="auto"/>
            </w:tcBorders>
            <w:vAlign w:val="center"/>
            <w:hideMark/>
          </w:tcPr>
          <w:p w14:paraId="3F1BEF79" w14:textId="77777777" w:rsidR="00CA37AD" w:rsidRPr="0043589D" w:rsidRDefault="00CA37AD" w:rsidP="001E7124">
            <w:pPr>
              <w:spacing w:after="0"/>
              <w:jc w:val="left"/>
              <w:rPr>
                <w:rFonts w:ascii="Calibri" w:eastAsia="Times New Roman" w:hAnsi="Calibri" w:cs="Calibri"/>
                <w:color w:val="auto"/>
                <w:lang w:eastAsia="cs-CZ"/>
              </w:rPr>
            </w:pPr>
          </w:p>
        </w:tc>
        <w:tc>
          <w:tcPr>
            <w:tcW w:w="1134" w:type="dxa"/>
            <w:tcBorders>
              <w:top w:val="single" w:sz="4" w:space="0" w:color="auto"/>
              <w:left w:val="single" w:sz="8" w:space="0" w:color="auto"/>
              <w:bottom w:val="single" w:sz="4" w:space="0" w:color="auto"/>
              <w:right w:val="single" w:sz="4" w:space="0" w:color="auto"/>
            </w:tcBorders>
            <w:shd w:val="clear" w:color="000000" w:fill="C6EFCE"/>
            <w:hideMark/>
          </w:tcPr>
          <w:p w14:paraId="2DBECD73" w14:textId="77777777" w:rsidR="00CA37AD" w:rsidRPr="0043589D" w:rsidRDefault="00CA37AD" w:rsidP="001E7124">
            <w:pPr>
              <w:spacing w:after="0"/>
              <w:jc w:val="center"/>
              <w:rPr>
                <w:rFonts w:ascii="Calibri" w:eastAsia="Times New Roman" w:hAnsi="Calibri" w:cs="Calibri"/>
                <w:color w:val="006100"/>
                <w:lang w:eastAsia="cs-CZ"/>
              </w:rPr>
            </w:pPr>
            <w:r w:rsidRPr="0043589D">
              <w:rPr>
                <w:rFonts w:ascii="Calibri" w:eastAsia="Times New Roman" w:hAnsi="Calibri" w:cs="Calibri"/>
                <w:color w:val="006100"/>
                <w:lang w:eastAsia="cs-CZ"/>
              </w:rPr>
              <w:t>Doplňující</w:t>
            </w:r>
          </w:p>
        </w:tc>
        <w:tc>
          <w:tcPr>
            <w:tcW w:w="7087" w:type="dxa"/>
            <w:tcBorders>
              <w:top w:val="nil"/>
              <w:left w:val="nil"/>
              <w:bottom w:val="single" w:sz="4" w:space="0" w:color="auto"/>
              <w:right w:val="single" w:sz="4" w:space="0" w:color="auto"/>
            </w:tcBorders>
            <w:shd w:val="clear" w:color="auto" w:fill="auto"/>
            <w:hideMark/>
          </w:tcPr>
          <w:p w14:paraId="0BDC7C1D"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Průměrný počet obyvatel na 1 obec</w:t>
            </w:r>
          </w:p>
        </w:tc>
        <w:tc>
          <w:tcPr>
            <w:tcW w:w="1134" w:type="dxa"/>
            <w:tcBorders>
              <w:top w:val="nil"/>
              <w:left w:val="nil"/>
              <w:bottom w:val="single" w:sz="4" w:space="0" w:color="auto"/>
              <w:right w:val="single" w:sz="4" w:space="0" w:color="auto"/>
            </w:tcBorders>
            <w:shd w:val="clear" w:color="auto" w:fill="auto"/>
            <w:hideMark/>
          </w:tcPr>
          <w:p w14:paraId="24921504"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počet</w:t>
            </w:r>
          </w:p>
        </w:tc>
        <w:tc>
          <w:tcPr>
            <w:tcW w:w="1418" w:type="dxa"/>
            <w:tcBorders>
              <w:top w:val="nil"/>
              <w:left w:val="nil"/>
              <w:bottom w:val="single" w:sz="4" w:space="0" w:color="auto"/>
              <w:right w:val="single" w:sz="4" w:space="0" w:color="auto"/>
            </w:tcBorders>
            <w:shd w:val="clear" w:color="auto" w:fill="auto"/>
            <w:hideMark/>
          </w:tcPr>
          <w:p w14:paraId="133D01F0" w14:textId="77777777" w:rsidR="00CA37AD" w:rsidRPr="0043589D" w:rsidRDefault="00CA37AD"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1 736</w:t>
            </w:r>
          </w:p>
        </w:tc>
        <w:tc>
          <w:tcPr>
            <w:tcW w:w="850" w:type="dxa"/>
            <w:tcBorders>
              <w:top w:val="nil"/>
              <w:left w:val="nil"/>
              <w:bottom w:val="single" w:sz="4" w:space="0" w:color="auto"/>
              <w:right w:val="single" w:sz="4" w:space="0" w:color="auto"/>
            </w:tcBorders>
            <w:shd w:val="clear" w:color="auto" w:fill="auto"/>
            <w:hideMark/>
          </w:tcPr>
          <w:p w14:paraId="2680129B"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2024</w:t>
            </w:r>
          </w:p>
        </w:tc>
        <w:tc>
          <w:tcPr>
            <w:tcW w:w="1519" w:type="dxa"/>
            <w:tcBorders>
              <w:top w:val="nil"/>
              <w:left w:val="nil"/>
              <w:bottom w:val="single" w:sz="4" w:space="0" w:color="auto"/>
              <w:right w:val="single" w:sz="8" w:space="0" w:color="auto"/>
            </w:tcBorders>
            <w:shd w:val="clear" w:color="auto" w:fill="auto"/>
            <w:hideMark/>
          </w:tcPr>
          <w:p w14:paraId="1A56838D" w14:textId="77777777" w:rsidR="00CA37AD" w:rsidRPr="0043589D" w:rsidRDefault="00CA37AD" w:rsidP="001E7124">
            <w:pPr>
              <w:spacing w:after="0"/>
              <w:jc w:val="left"/>
              <w:rPr>
                <w:rFonts w:ascii="Calibri" w:eastAsia="Times New Roman" w:hAnsi="Calibri" w:cs="Calibri"/>
                <w:color w:val="auto"/>
                <w:u w:val="single"/>
                <w:lang w:eastAsia="cs-CZ"/>
              </w:rPr>
            </w:pPr>
            <w:r w:rsidRPr="0043589D">
              <w:rPr>
                <w:color w:val="auto"/>
              </w:rPr>
              <w:t>OECD</w:t>
            </w:r>
          </w:p>
        </w:tc>
      </w:tr>
      <w:tr w:rsidR="00CA37AD" w:rsidRPr="0043589D" w14:paraId="1CA59076" w14:textId="77777777" w:rsidTr="003C5F13">
        <w:trPr>
          <w:trHeight w:val="300"/>
        </w:trPr>
        <w:tc>
          <w:tcPr>
            <w:tcW w:w="1408" w:type="dxa"/>
            <w:vMerge/>
            <w:tcBorders>
              <w:top w:val="nil"/>
              <w:left w:val="single" w:sz="8" w:space="0" w:color="auto"/>
              <w:bottom w:val="single" w:sz="8" w:space="0" w:color="000000"/>
              <w:right w:val="single" w:sz="8" w:space="0" w:color="auto"/>
            </w:tcBorders>
            <w:vAlign w:val="center"/>
            <w:hideMark/>
          </w:tcPr>
          <w:p w14:paraId="474DEF86" w14:textId="77777777" w:rsidR="00CA37AD" w:rsidRPr="0043589D" w:rsidRDefault="00CA37AD" w:rsidP="001E7124">
            <w:pPr>
              <w:spacing w:after="0"/>
              <w:jc w:val="left"/>
              <w:rPr>
                <w:rFonts w:ascii="Calibri" w:eastAsia="Times New Roman" w:hAnsi="Calibri" w:cs="Calibri"/>
                <w:color w:val="auto"/>
                <w:lang w:eastAsia="cs-CZ"/>
              </w:rPr>
            </w:pPr>
          </w:p>
        </w:tc>
        <w:tc>
          <w:tcPr>
            <w:tcW w:w="1134" w:type="dxa"/>
            <w:tcBorders>
              <w:top w:val="single" w:sz="4" w:space="0" w:color="auto"/>
              <w:left w:val="single" w:sz="8" w:space="0" w:color="auto"/>
              <w:bottom w:val="single" w:sz="4" w:space="0" w:color="auto"/>
              <w:right w:val="single" w:sz="4" w:space="0" w:color="auto"/>
            </w:tcBorders>
            <w:shd w:val="clear" w:color="000000" w:fill="C6EFCE"/>
            <w:hideMark/>
          </w:tcPr>
          <w:p w14:paraId="13EACA5D" w14:textId="77777777" w:rsidR="00CA37AD" w:rsidRPr="0043589D" w:rsidRDefault="00CA37AD" w:rsidP="001E7124">
            <w:pPr>
              <w:spacing w:after="0"/>
              <w:jc w:val="center"/>
              <w:rPr>
                <w:rFonts w:ascii="Calibri" w:eastAsia="Times New Roman" w:hAnsi="Calibri" w:cs="Calibri"/>
                <w:color w:val="006100"/>
                <w:lang w:eastAsia="cs-CZ"/>
              </w:rPr>
            </w:pPr>
            <w:r w:rsidRPr="0043589D">
              <w:rPr>
                <w:rFonts w:ascii="Calibri" w:eastAsia="Times New Roman" w:hAnsi="Calibri" w:cs="Calibri"/>
                <w:color w:val="006100"/>
                <w:lang w:eastAsia="cs-CZ"/>
              </w:rPr>
              <w:t>Doplňující</w:t>
            </w:r>
          </w:p>
        </w:tc>
        <w:tc>
          <w:tcPr>
            <w:tcW w:w="7087" w:type="dxa"/>
            <w:tcBorders>
              <w:top w:val="nil"/>
              <w:left w:val="nil"/>
              <w:bottom w:val="single" w:sz="4" w:space="0" w:color="auto"/>
              <w:right w:val="single" w:sz="4" w:space="0" w:color="auto"/>
            </w:tcBorders>
            <w:shd w:val="clear" w:color="auto" w:fill="auto"/>
            <w:hideMark/>
          </w:tcPr>
          <w:p w14:paraId="31620DBB"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 xml:space="preserve">Podíl zaměstnanců ve </w:t>
            </w:r>
            <w:proofErr w:type="spellStart"/>
            <w:r w:rsidRPr="0043589D">
              <w:rPr>
                <w:rFonts w:ascii="Calibri" w:eastAsia="Times New Roman" w:hAnsi="Calibri" w:cs="Calibri"/>
                <w:color w:val="auto"/>
                <w:lang w:eastAsia="cs-CZ"/>
              </w:rPr>
              <w:t>ve</w:t>
            </w:r>
            <w:proofErr w:type="spellEnd"/>
            <w:r w:rsidRPr="0043589D">
              <w:rPr>
                <w:rFonts w:ascii="Calibri" w:eastAsia="Times New Roman" w:hAnsi="Calibri" w:cs="Calibri"/>
                <w:color w:val="auto"/>
                <w:lang w:eastAsia="cs-CZ"/>
              </w:rPr>
              <w:t xml:space="preserve"> vládních institucích k celkové zaměstnanosti</w:t>
            </w:r>
          </w:p>
        </w:tc>
        <w:tc>
          <w:tcPr>
            <w:tcW w:w="1134" w:type="dxa"/>
            <w:tcBorders>
              <w:top w:val="nil"/>
              <w:left w:val="nil"/>
              <w:bottom w:val="single" w:sz="4" w:space="0" w:color="auto"/>
              <w:right w:val="single" w:sz="4" w:space="0" w:color="auto"/>
            </w:tcBorders>
            <w:shd w:val="clear" w:color="auto" w:fill="auto"/>
            <w:hideMark/>
          </w:tcPr>
          <w:p w14:paraId="19B57E67"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w:t>
            </w:r>
          </w:p>
        </w:tc>
        <w:tc>
          <w:tcPr>
            <w:tcW w:w="1418" w:type="dxa"/>
            <w:tcBorders>
              <w:top w:val="nil"/>
              <w:left w:val="nil"/>
              <w:bottom w:val="single" w:sz="4" w:space="0" w:color="auto"/>
              <w:right w:val="single" w:sz="4" w:space="0" w:color="auto"/>
            </w:tcBorders>
            <w:shd w:val="clear" w:color="auto" w:fill="auto"/>
            <w:hideMark/>
          </w:tcPr>
          <w:p w14:paraId="62BEE31F" w14:textId="77777777" w:rsidR="00CA37AD" w:rsidRPr="0043589D" w:rsidRDefault="00CA37AD"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17,9</w:t>
            </w:r>
          </w:p>
        </w:tc>
        <w:tc>
          <w:tcPr>
            <w:tcW w:w="850" w:type="dxa"/>
            <w:tcBorders>
              <w:top w:val="nil"/>
              <w:left w:val="nil"/>
              <w:bottom w:val="single" w:sz="4" w:space="0" w:color="auto"/>
              <w:right w:val="single" w:sz="4" w:space="0" w:color="auto"/>
            </w:tcBorders>
            <w:shd w:val="clear" w:color="auto" w:fill="auto"/>
            <w:hideMark/>
          </w:tcPr>
          <w:p w14:paraId="501C14D2"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2023</w:t>
            </w:r>
          </w:p>
        </w:tc>
        <w:tc>
          <w:tcPr>
            <w:tcW w:w="1519" w:type="dxa"/>
            <w:tcBorders>
              <w:top w:val="nil"/>
              <w:left w:val="nil"/>
              <w:bottom w:val="single" w:sz="4" w:space="0" w:color="auto"/>
              <w:right w:val="single" w:sz="8" w:space="0" w:color="auto"/>
            </w:tcBorders>
            <w:shd w:val="clear" w:color="auto" w:fill="auto"/>
            <w:hideMark/>
          </w:tcPr>
          <w:p w14:paraId="6057A018" w14:textId="77777777" w:rsidR="00CA37AD" w:rsidRPr="0043589D" w:rsidRDefault="00CA37AD" w:rsidP="001E7124">
            <w:pPr>
              <w:spacing w:after="0"/>
              <w:jc w:val="left"/>
              <w:rPr>
                <w:rFonts w:ascii="Calibri" w:eastAsia="Times New Roman" w:hAnsi="Calibri" w:cs="Calibri"/>
                <w:color w:val="auto"/>
                <w:u w:val="single"/>
                <w:lang w:eastAsia="cs-CZ"/>
              </w:rPr>
            </w:pPr>
            <w:r w:rsidRPr="0043589D">
              <w:rPr>
                <w:color w:val="auto"/>
              </w:rPr>
              <w:t>ČSÚ</w:t>
            </w:r>
          </w:p>
        </w:tc>
      </w:tr>
      <w:tr w:rsidR="00CA37AD" w:rsidRPr="0043589D" w14:paraId="406555E4" w14:textId="77777777" w:rsidTr="003C5F13">
        <w:trPr>
          <w:trHeight w:val="300"/>
        </w:trPr>
        <w:tc>
          <w:tcPr>
            <w:tcW w:w="1408" w:type="dxa"/>
            <w:vMerge/>
            <w:tcBorders>
              <w:top w:val="nil"/>
              <w:left w:val="single" w:sz="8" w:space="0" w:color="auto"/>
              <w:bottom w:val="single" w:sz="8" w:space="0" w:color="000000"/>
              <w:right w:val="single" w:sz="8" w:space="0" w:color="auto"/>
            </w:tcBorders>
            <w:vAlign w:val="center"/>
            <w:hideMark/>
          </w:tcPr>
          <w:p w14:paraId="16A3CD3F" w14:textId="77777777" w:rsidR="00CA37AD" w:rsidRPr="0043589D" w:rsidRDefault="00CA37AD" w:rsidP="001E7124">
            <w:pPr>
              <w:spacing w:after="0"/>
              <w:jc w:val="left"/>
              <w:rPr>
                <w:rFonts w:ascii="Calibri" w:eastAsia="Times New Roman" w:hAnsi="Calibri" w:cs="Calibri"/>
                <w:color w:val="auto"/>
                <w:lang w:eastAsia="cs-CZ"/>
              </w:rPr>
            </w:pPr>
          </w:p>
        </w:tc>
        <w:tc>
          <w:tcPr>
            <w:tcW w:w="1134" w:type="dxa"/>
            <w:tcBorders>
              <w:top w:val="single" w:sz="4" w:space="0" w:color="auto"/>
              <w:left w:val="single" w:sz="8" w:space="0" w:color="auto"/>
              <w:bottom w:val="single" w:sz="4" w:space="0" w:color="auto"/>
              <w:right w:val="single" w:sz="4" w:space="0" w:color="auto"/>
            </w:tcBorders>
            <w:shd w:val="clear" w:color="000000" w:fill="C6EFCE"/>
            <w:hideMark/>
          </w:tcPr>
          <w:p w14:paraId="25059D37" w14:textId="77777777" w:rsidR="00CA37AD" w:rsidRPr="0043589D" w:rsidRDefault="00CA37AD" w:rsidP="001E7124">
            <w:pPr>
              <w:spacing w:after="0"/>
              <w:jc w:val="center"/>
              <w:rPr>
                <w:rFonts w:ascii="Calibri" w:eastAsia="Times New Roman" w:hAnsi="Calibri" w:cs="Calibri"/>
                <w:color w:val="006100"/>
                <w:lang w:eastAsia="cs-CZ"/>
              </w:rPr>
            </w:pPr>
            <w:r w:rsidRPr="0043589D">
              <w:rPr>
                <w:rFonts w:ascii="Calibri" w:eastAsia="Times New Roman" w:hAnsi="Calibri" w:cs="Calibri"/>
                <w:color w:val="006100"/>
                <w:lang w:eastAsia="cs-CZ"/>
              </w:rPr>
              <w:t>Doplňující</w:t>
            </w:r>
          </w:p>
        </w:tc>
        <w:tc>
          <w:tcPr>
            <w:tcW w:w="7087" w:type="dxa"/>
            <w:tcBorders>
              <w:top w:val="nil"/>
              <w:left w:val="nil"/>
              <w:bottom w:val="single" w:sz="4" w:space="0" w:color="auto"/>
              <w:right w:val="single" w:sz="4" w:space="0" w:color="auto"/>
            </w:tcBorders>
            <w:shd w:val="clear" w:color="auto" w:fill="auto"/>
            <w:hideMark/>
          </w:tcPr>
          <w:p w14:paraId="636D0AB7"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Podíl investic (ÚSC a DSO) na celkovém rozpočtu (ÚSC a DSO)</w:t>
            </w:r>
          </w:p>
        </w:tc>
        <w:tc>
          <w:tcPr>
            <w:tcW w:w="1134" w:type="dxa"/>
            <w:tcBorders>
              <w:top w:val="nil"/>
              <w:left w:val="nil"/>
              <w:bottom w:val="single" w:sz="4" w:space="0" w:color="auto"/>
              <w:right w:val="single" w:sz="4" w:space="0" w:color="auto"/>
            </w:tcBorders>
            <w:shd w:val="clear" w:color="auto" w:fill="auto"/>
            <w:hideMark/>
          </w:tcPr>
          <w:p w14:paraId="6940F01C"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w:t>
            </w:r>
          </w:p>
        </w:tc>
        <w:tc>
          <w:tcPr>
            <w:tcW w:w="1418" w:type="dxa"/>
            <w:tcBorders>
              <w:top w:val="nil"/>
              <w:left w:val="nil"/>
              <w:bottom w:val="single" w:sz="4" w:space="0" w:color="auto"/>
              <w:right w:val="single" w:sz="4" w:space="0" w:color="auto"/>
            </w:tcBorders>
            <w:shd w:val="clear" w:color="auto" w:fill="auto"/>
            <w:hideMark/>
          </w:tcPr>
          <w:p w14:paraId="7B485602" w14:textId="4DEA8632" w:rsidR="00CA37AD" w:rsidRPr="0043589D" w:rsidRDefault="007C679A"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w:t>
            </w:r>
          </w:p>
        </w:tc>
        <w:tc>
          <w:tcPr>
            <w:tcW w:w="850" w:type="dxa"/>
            <w:tcBorders>
              <w:top w:val="nil"/>
              <w:left w:val="nil"/>
              <w:bottom w:val="single" w:sz="4" w:space="0" w:color="auto"/>
              <w:right w:val="single" w:sz="4" w:space="0" w:color="auto"/>
            </w:tcBorders>
            <w:shd w:val="clear" w:color="auto" w:fill="auto"/>
            <w:hideMark/>
          </w:tcPr>
          <w:p w14:paraId="211883E3" w14:textId="075E1CC4" w:rsidR="00CA37AD" w:rsidRPr="0043589D" w:rsidRDefault="007C679A"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2024</w:t>
            </w:r>
          </w:p>
        </w:tc>
        <w:tc>
          <w:tcPr>
            <w:tcW w:w="1519" w:type="dxa"/>
            <w:tcBorders>
              <w:top w:val="nil"/>
              <w:left w:val="nil"/>
              <w:bottom w:val="single" w:sz="4" w:space="0" w:color="auto"/>
              <w:right w:val="single" w:sz="8" w:space="0" w:color="auto"/>
            </w:tcBorders>
            <w:shd w:val="clear" w:color="auto" w:fill="auto"/>
            <w:hideMark/>
          </w:tcPr>
          <w:p w14:paraId="44886A5D" w14:textId="77777777" w:rsidR="00CA37AD" w:rsidRPr="0043589D" w:rsidRDefault="00CA37AD" w:rsidP="001E7124">
            <w:pPr>
              <w:spacing w:after="0"/>
              <w:jc w:val="left"/>
              <w:rPr>
                <w:rFonts w:ascii="Calibri" w:eastAsia="Times New Roman" w:hAnsi="Calibri" w:cs="Calibri"/>
                <w:color w:val="auto"/>
                <w:u w:val="single"/>
                <w:lang w:eastAsia="cs-CZ"/>
              </w:rPr>
            </w:pPr>
            <w:r w:rsidRPr="0043589D">
              <w:rPr>
                <w:color w:val="auto"/>
              </w:rPr>
              <w:t>MF</w:t>
            </w:r>
          </w:p>
        </w:tc>
      </w:tr>
      <w:tr w:rsidR="00CA37AD" w:rsidRPr="0043589D" w14:paraId="19E54E6E" w14:textId="77777777" w:rsidTr="003C5F13">
        <w:trPr>
          <w:trHeight w:val="300"/>
        </w:trPr>
        <w:tc>
          <w:tcPr>
            <w:tcW w:w="1408" w:type="dxa"/>
            <w:vMerge/>
            <w:tcBorders>
              <w:top w:val="nil"/>
              <w:left w:val="single" w:sz="8" w:space="0" w:color="auto"/>
              <w:bottom w:val="single" w:sz="8" w:space="0" w:color="000000"/>
              <w:right w:val="single" w:sz="8" w:space="0" w:color="auto"/>
            </w:tcBorders>
            <w:vAlign w:val="center"/>
            <w:hideMark/>
          </w:tcPr>
          <w:p w14:paraId="0A9CD915" w14:textId="77777777" w:rsidR="00CA37AD" w:rsidRPr="0043589D" w:rsidRDefault="00CA37AD" w:rsidP="001E7124">
            <w:pPr>
              <w:spacing w:after="0"/>
              <w:jc w:val="left"/>
              <w:rPr>
                <w:rFonts w:ascii="Calibri" w:eastAsia="Times New Roman" w:hAnsi="Calibri" w:cs="Calibri"/>
                <w:color w:val="auto"/>
                <w:lang w:eastAsia="cs-CZ"/>
              </w:rPr>
            </w:pPr>
          </w:p>
        </w:tc>
        <w:tc>
          <w:tcPr>
            <w:tcW w:w="1134" w:type="dxa"/>
            <w:tcBorders>
              <w:top w:val="single" w:sz="4" w:space="0" w:color="auto"/>
              <w:left w:val="single" w:sz="8" w:space="0" w:color="auto"/>
              <w:bottom w:val="single" w:sz="8" w:space="0" w:color="auto"/>
              <w:right w:val="single" w:sz="4" w:space="0" w:color="auto"/>
            </w:tcBorders>
            <w:shd w:val="clear" w:color="000000" w:fill="C6EFCE"/>
            <w:hideMark/>
          </w:tcPr>
          <w:p w14:paraId="3E40B885" w14:textId="77777777" w:rsidR="00CA37AD" w:rsidRPr="0043589D" w:rsidRDefault="00CA37AD" w:rsidP="001E7124">
            <w:pPr>
              <w:spacing w:after="0"/>
              <w:jc w:val="center"/>
              <w:rPr>
                <w:rFonts w:ascii="Calibri" w:eastAsia="Times New Roman" w:hAnsi="Calibri" w:cs="Calibri"/>
                <w:color w:val="006100"/>
                <w:lang w:eastAsia="cs-CZ"/>
              </w:rPr>
            </w:pPr>
            <w:r w:rsidRPr="0043589D">
              <w:rPr>
                <w:rFonts w:ascii="Calibri" w:eastAsia="Times New Roman" w:hAnsi="Calibri" w:cs="Calibri"/>
                <w:color w:val="006100"/>
                <w:lang w:eastAsia="cs-CZ"/>
              </w:rPr>
              <w:t>Doplňující</w:t>
            </w:r>
          </w:p>
        </w:tc>
        <w:tc>
          <w:tcPr>
            <w:tcW w:w="7087" w:type="dxa"/>
            <w:tcBorders>
              <w:top w:val="nil"/>
              <w:left w:val="nil"/>
              <w:bottom w:val="single" w:sz="8" w:space="0" w:color="auto"/>
              <w:right w:val="single" w:sz="4" w:space="0" w:color="auto"/>
            </w:tcBorders>
            <w:shd w:val="clear" w:color="auto" w:fill="auto"/>
            <w:hideMark/>
          </w:tcPr>
          <w:p w14:paraId="53F3A181"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Právní stát (</w:t>
            </w:r>
            <w:proofErr w:type="spellStart"/>
            <w:r w:rsidRPr="0043589D">
              <w:rPr>
                <w:rFonts w:ascii="Calibri" w:eastAsia="Times New Roman" w:hAnsi="Calibri" w:cs="Calibri"/>
                <w:color w:val="auto"/>
                <w:lang w:eastAsia="cs-CZ"/>
              </w:rPr>
              <w:t>World</w:t>
            </w:r>
            <w:proofErr w:type="spellEnd"/>
            <w:r w:rsidRPr="0043589D">
              <w:rPr>
                <w:rFonts w:ascii="Calibri" w:eastAsia="Times New Roman" w:hAnsi="Calibri" w:cs="Calibri"/>
                <w:color w:val="auto"/>
                <w:lang w:eastAsia="cs-CZ"/>
              </w:rPr>
              <w:t xml:space="preserve"> Justice Project) přiblížit na úroveň vyspělých zemí</w:t>
            </w:r>
          </w:p>
        </w:tc>
        <w:tc>
          <w:tcPr>
            <w:tcW w:w="1134" w:type="dxa"/>
            <w:tcBorders>
              <w:top w:val="nil"/>
              <w:left w:val="nil"/>
              <w:bottom w:val="single" w:sz="8" w:space="0" w:color="auto"/>
              <w:right w:val="single" w:sz="4" w:space="0" w:color="auto"/>
            </w:tcBorders>
            <w:shd w:val="clear" w:color="auto" w:fill="auto"/>
            <w:hideMark/>
          </w:tcPr>
          <w:p w14:paraId="4487ADE0"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index</w:t>
            </w:r>
          </w:p>
        </w:tc>
        <w:tc>
          <w:tcPr>
            <w:tcW w:w="1418" w:type="dxa"/>
            <w:tcBorders>
              <w:top w:val="nil"/>
              <w:left w:val="nil"/>
              <w:bottom w:val="single" w:sz="8" w:space="0" w:color="auto"/>
              <w:right w:val="single" w:sz="4" w:space="0" w:color="auto"/>
            </w:tcBorders>
            <w:shd w:val="clear" w:color="auto" w:fill="auto"/>
            <w:hideMark/>
          </w:tcPr>
          <w:p w14:paraId="24264650" w14:textId="77777777" w:rsidR="00CA37AD" w:rsidRPr="0043589D" w:rsidRDefault="00CA37AD"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0,73</w:t>
            </w:r>
          </w:p>
        </w:tc>
        <w:tc>
          <w:tcPr>
            <w:tcW w:w="850" w:type="dxa"/>
            <w:tcBorders>
              <w:top w:val="nil"/>
              <w:left w:val="nil"/>
              <w:bottom w:val="single" w:sz="8" w:space="0" w:color="auto"/>
              <w:right w:val="single" w:sz="4" w:space="0" w:color="auto"/>
            </w:tcBorders>
            <w:shd w:val="clear" w:color="auto" w:fill="auto"/>
            <w:hideMark/>
          </w:tcPr>
          <w:p w14:paraId="6B644007"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2023</w:t>
            </w:r>
          </w:p>
        </w:tc>
        <w:tc>
          <w:tcPr>
            <w:tcW w:w="1519" w:type="dxa"/>
            <w:tcBorders>
              <w:top w:val="nil"/>
              <w:left w:val="nil"/>
              <w:bottom w:val="single" w:sz="8" w:space="0" w:color="auto"/>
              <w:right w:val="single" w:sz="8" w:space="0" w:color="auto"/>
            </w:tcBorders>
            <w:shd w:val="clear" w:color="auto" w:fill="auto"/>
            <w:hideMark/>
          </w:tcPr>
          <w:p w14:paraId="7FF94BFE" w14:textId="77777777" w:rsidR="00CA37AD" w:rsidRPr="0043589D" w:rsidRDefault="00CA37AD" w:rsidP="001E7124">
            <w:pPr>
              <w:spacing w:after="0"/>
              <w:jc w:val="left"/>
              <w:rPr>
                <w:rFonts w:ascii="Calibri" w:eastAsia="Times New Roman" w:hAnsi="Calibri" w:cs="Calibri"/>
                <w:color w:val="auto"/>
                <w:u w:val="single"/>
                <w:lang w:eastAsia="cs-CZ"/>
              </w:rPr>
            </w:pPr>
            <w:proofErr w:type="spellStart"/>
            <w:r w:rsidRPr="0043589D">
              <w:rPr>
                <w:color w:val="auto"/>
              </w:rPr>
              <w:t>worldjustice</w:t>
            </w:r>
            <w:proofErr w:type="spellEnd"/>
          </w:p>
        </w:tc>
      </w:tr>
      <w:tr w:rsidR="00CA37AD" w:rsidRPr="0043589D" w14:paraId="164E6C50" w14:textId="77777777" w:rsidTr="003C5F13">
        <w:trPr>
          <w:trHeight w:val="300"/>
        </w:trPr>
        <w:tc>
          <w:tcPr>
            <w:tcW w:w="1408" w:type="dxa"/>
            <w:vMerge w:val="restart"/>
            <w:tcBorders>
              <w:top w:val="nil"/>
              <w:left w:val="single" w:sz="8" w:space="0" w:color="auto"/>
              <w:bottom w:val="single" w:sz="8" w:space="0" w:color="000000"/>
              <w:right w:val="single" w:sz="8" w:space="0" w:color="auto"/>
            </w:tcBorders>
            <w:shd w:val="clear" w:color="auto" w:fill="auto"/>
            <w:vAlign w:val="center"/>
            <w:hideMark/>
          </w:tcPr>
          <w:p w14:paraId="0CFE8EE2" w14:textId="77777777" w:rsidR="00CA37AD" w:rsidRPr="0043589D" w:rsidRDefault="00CA37AD" w:rsidP="001E7124">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2.1 Energetická infrastruktura a dekarbonizace</w:t>
            </w:r>
          </w:p>
        </w:tc>
        <w:tc>
          <w:tcPr>
            <w:tcW w:w="1134" w:type="dxa"/>
            <w:tcBorders>
              <w:top w:val="nil"/>
              <w:left w:val="nil"/>
              <w:bottom w:val="single" w:sz="4" w:space="0" w:color="auto"/>
              <w:right w:val="single" w:sz="4" w:space="0" w:color="auto"/>
            </w:tcBorders>
            <w:shd w:val="clear" w:color="000000" w:fill="FFC7CE"/>
            <w:hideMark/>
          </w:tcPr>
          <w:p w14:paraId="1CBC1B11" w14:textId="77777777" w:rsidR="00CA37AD" w:rsidRPr="0043589D" w:rsidRDefault="00CA37AD" w:rsidP="001E7124">
            <w:pPr>
              <w:spacing w:after="0"/>
              <w:jc w:val="center"/>
              <w:rPr>
                <w:rFonts w:ascii="Calibri" w:eastAsia="Times New Roman" w:hAnsi="Calibri" w:cs="Calibri"/>
                <w:color w:val="9C0006"/>
                <w:lang w:eastAsia="cs-CZ"/>
              </w:rPr>
            </w:pPr>
            <w:r w:rsidRPr="0043589D">
              <w:rPr>
                <w:rFonts w:ascii="Calibri" w:eastAsia="Times New Roman" w:hAnsi="Calibri" w:cs="Calibri"/>
                <w:color w:val="9C0006"/>
                <w:lang w:eastAsia="cs-CZ"/>
              </w:rPr>
              <w:t>Strategický</w:t>
            </w:r>
          </w:p>
        </w:tc>
        <w:tc>
          <w:tcPr>
            <w:tcW w:w="7087" w:type="dxa"/>
            <w:tcBorders>
              <w:top w:val="nil"/>
              <w:left w:val="nil"/>
              <w:bottom w:val="single" w:sz="4" w:space="0" w:color="auto"/>
              <w:right w:val="single" w:sz="4" w:space="0" w:color="auto"/>
            </w:tcBorders>
            <w:shd w:val="clear" w:color="auto" w:fill="auto"/>
            <w:vAlign w:val="center"/>
            <w:hideMark/>
          </w:tcPr>
          <w:p w14:paraId="77672008"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Dovozní závislost (podíl čistého dovozu a celkového množství energie)</w:t>
            </w:r>
          </w:p>
        </w:tc>
        <w:tc>
          <w:tcPr>
            <w:tcW w:w="1134" w:type="dxa"/>
            <w:tcBorders>
              <w:top w:val="nil"/>
              <w:left w:val="nil"/>
              <w:bottom w:val="single" w:sz="4" w:space="0" w:color="auto"/>
              <w:right w:val="single" w:sz="4" w:space="0" w:color="auto"/>
            </w:tcBorders>
            <w:shd w:val="clear" w:color="auto" w:fill="auto"/>
            <w:vAlign w:val="center"/>
            <w:hideMark/>
          </w:tcPr>
          <w:p w14:paraId="4A44D056"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w:t>
            </w:r>
          </w:p>
        </w:tc>
        <w:tc>
          <w:tcPr>
            <w:tcW w:w="1418" w:type="dxa"/>
            <w:tcBorders>
              <w:top w:val="nil"/>
              <w:left w:val="nil"/>
              <w:bottom w:val="single" w:sz="4" w:space="0" w:color="auto"/>
              <w:right w:val="single" w:sz="4" w:space="0" w:color="auto"/>
            </w:tcBorders>
            <w:shd w:val="clear" w:color="auto" w:fill="auto"/>
            <w:vAlign w:val="center"/>
            <w:hideMark/>
          </w:tcPr>
          <w:p w14:paraId="4CF94FC7" w14:textId="77777777" w:rsidR="00CA37AD" w:rsidRPr="0043589D" w:rsidRDefault="00CA37AD"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42</w:t>
            </w:r>
          </w:p>
        </w:tc>
        <w:tc>
          <w:tcPr>
            <w:tcW w:w="850" w:type="dxa"/>
            <w:tcBorders>
              <w:top w:val="nil"/>
              <w:left w:val="nil"/>
              <w:bottom w:val="single" w:sz="4" w:space="0" w:color="auto"/>
              <w:right w:val="single" w:sz="4" w:space="0" w:color="auto"/>
            </w:tcBorders>
            <w:shd w:val="clear" w:color="auto" w:fill="auto"/>
            <w:vAlign w:val="center"/>
            <w:hideMark/>
          </w:tcPr>
          <w:p w14:paraId="13766BA6"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2022</w:t>
            </w:r>
          </w:p>
        </w:tc>
        <w:tc>
          <w:tcPr>
            <w:tcW w:w="1519" w:type="dxa"/>
            <w:tcBorders>
              <w:top w:val="nil"/>
              <w:left w:val="nil"/>
              <w:bottom w:val="single" w:sz="4" w:space="0" w:color="auto"/>
              <w:right w:val="single" w:sz="8" w:space="0" w:color="auto"/>
            </w:tcBorders>
            <w:shd w:val="clear" w:color="auto" w:fill="auto"/>
            <w:hideMark/>
          </w:tcPr>
          <w:p w14:paraId="410C776D" w14:textId="77777777" w:rsidR="00CA37AD" w:rsidRPr="0043589D" w:rsidRDefault="00CA37AD" w:rsidP="001E7124">
            <w:pPr>
              <w:spacing w:after="0"/>
              <w:jc w:val="left"/>
              <w:rPr>
                <w:rFonts w:ascii="Calibri" w:eastAsia="Times New Roman" w:hAnsi="Calibri" w:cs="Calibri"/>
                <w:color w:val="auto"/>
                <w:u w:val="single"/>
                <w:lang w:eastAsia="cs-CZ"/>
              </w:rPr>
            </w:pPr>
            <w:r w:rsidRPr="0043589D">
              <w:rPr>
                <w:color w:val="auto"/>
              </w:rPr>
              <w:t>Eurostat</w:t>
            </w:r>
          </w:p>
        </w:tc>
      </w:tr>
      <w:tr w:rsidR="00CA37AD" w:rsidRPr="0043589D" w14:paraId="1132658D" w14:textId="77777777" w:rsidTr="003C5F13">
        <w:trPr>
          <w:trHeight w:val="300"/>
        </w:trPr>
        <w:tc>
          <w:tcPr>
            <w:tcW w:w="1408" w:type="dxa"/>
            <w:vMerge/>
            <w:tcBorders>
              <w:top w:val="nil"/>
              <w:left w:val="single" w:sz="8" w:space="0" w:color="auto"/>
              <w:bottom w:val="single" w:sz="8" w:space="0" w:color="000000"/>
              <w:right w:val="single" w:sz="8" w:space="0" w:color="auto"/>
            </w:tcBorders>
            <w:vAlign w:val="center"/>
            <w:hideMark/>
          </w:tcPr>
          <w:p w14:paraId="599DF920" w14:textId="77777777" w:rsidR="00CA37AD" w:rsidRPr="0043589D" w:rsidRDefault="00CA37AD" w:rsidP="001E7124">
            <w:pPr>
              <w:spacing w:after="0"/>
              <w:jc w:val="left"/>
              <w:rPr>
                <w:rFonts w:ascii="Calibri" w:eastAsia="Times New Roman" w:hAnsi="Calibri" w:cs="Calibri"/>
                <w:color w:val="auto"/>
                <w:lang w:eastAsia="cs-CZ"/>
              </w:rPr>
            </w:pPr>
          </w:p>
        </w:tc>
        <w:tc>
          <w:tcPr>
            <w:tcW w:w="1134" w:type="dxa"/>
            <w:tcBorders>
              <w:top w:val="nil"/>
              <w:left w:val="nil"/>
              <w:bottom w:val="single" w:sz="4" w:space="0" w:color="auto"/>
              <w:right w:val="single" w:sz="4" w:space="0" w:color="auto"/>
            </w:tcBorders>
            <w:shd w:val="clear" w:color="000000" w:fill="FFC7CE"/>
            <w:hideMark/>
          </w:tcPr>
          <w:p w14:paraId="1C6B2615" w14:textId="77777777" w:rsidR="00CA37AD" w:rsidRPr="0043589D" w:rsidRDefault="00CA37AD" w:rsidP="001E7124">
            <w:pPr>
              <w:spacing w:after="0"/>
              <w:jc w:val="center"/>
              <w:rPr>
                <w:rFonts w:ascii="Calibri" w:eastAsia="Times New Roman" w:hAnsi="Calibri" w:cs="Calibri"/>
                <w:color w:val="9C0006"/>
                <w:lang w:eastAsia="cs-CZ"/>
              </w:rPr>
            </w:pPr>
            <w:r w:rsidRPr="0043589D">
              <w:rPr>
                <w:rFonts w:ascii="Calibri" w:eastAsia="Times New Roman" w:hAnsi="Calibri" w:cs="Calibri"/>
                <w:color w:val="9C0006"/>
                <w:lang w:eastAsia="cs-CZ"/>
              </w:rPr>
              <w:t>Strategický</w:t>
            </w:r>
          </w:p>
        </w:tc>
        <w:tc>
          <w:tcPr>
            <w:tcW w:w="7087" w:type="dxa"/>
            <w:tcBorders>
              <w:top w:val="nil"/>
              <w:left w:val="nil"/>
              <w:bottom w:val="single" w:sz="4" w:space="0" w:color="auto"/>
              <w:right w:val="single" w:sz="4" w:space="0" w:color="auto"/>
            </w:tcBorders>
            <w:shd w:val="clear" w:color="auto" w:fill="auto"/>
            <w:vAlign w:val="center"/>
            <w:hideMark/>
          </w:tcPr>
          <w:p w14:paraId="55A0A4DB"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Podíl fosilních paliv na spotřebě primárních energetických zdrojů</w:t>
            </w:r>
          </w:p>
        </w:tc>
        <w:tc>
          <w:tcPr>
            <w:tcW w:w="1134" w:type="dxa"/>
            <w:tcBorders>
              <w:top w:val="nil"/>
              <w:left w:val="nil"/>
              <w:bottom w:val="single" w:sz="4" w:space="0" w:color="auto"/>
              <w:right w:val="single" w:sz="4" w:space="0" w:color="auto"/>
            </w:tcBorders>
            <w:shd w:val="clear" w:color="auto" w:fill="auto"/>
            <w:vAlign w:val="center"/>
            <w:hideMark/>
          </w:tcPr>
          <w:p w14:paraId="0EE14C5D"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w:t>
            </w:r>
          </w:p>
        </w:tc>
        <w:tc>
          <w:tcPr>
            <w:tcW w:w="1418" w:type="dxa"/>
            <w:tcBorders>
              <w:top w:val="nil"/>
              <w:left w:val="nil"/>
              <w:bottom w:val="single" w:sz="4" w:space="0" w:color="auto"/>
              <w:right w:val="single" w:sz="4" w:space="0" w:color="auto"/>
            </w:tcBorders>
            <w:shd w:val="clear" w:color="auto" w:fill="auto"/>
            <w:vAlign w:val="center"/>
            <w:hideMark/>
          </w:tcPr>
          <w:p w14:paraId="743B475A" w14:textId="77777777" w:rsidR="00CA37AD" w:rsidRPr="0043589D" w:rsidRDefault="00CA37AD"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70</w:t>
            </w:r>
          </w:p>
        </w:tc>
        <w:tc>
          <w:tcPr>
            <w:tcW w:w="850" w:type="dxa"/>
            <w:tcBorders>
              <w:top w:val="nil"/>
              <w:left w:val="nil"/>
              <w:bottom w:val="single" w:sz="4" w:space="0" w:color="auto"/>
              <w:right w:val="single" w:sz="4" w:space="0" w:color="auto"/>
            </w:tcBorders>
            <w:shd w:val="clear" w:color="auto" w:fill="auto"/>
            <w:vAlign w:val="center"/>
            <w:hideMark/>
          </w:tcPr>
          <w:p w14:paraId="212D310C"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2022</w:t>
            </w:r>
          </w:p>
        </w:tc>
        <w:tc>
          <w:tcPr>
            <w:tcW w:w="1519" w:type="dxa"/>
            <w:tcBorders>
              <w:top w:val="nil"/>
              <w:left w:val="nil"/>
              <w:bottom w:val="single" w:sz="4" w:space="0" w:color="auto"/>
              <w:right w:val="single" w:sz="8" w:space="0" w:color="auto"/>
            </w:tcBorders>
            <w:shd w:val="clear" w:color="auto" w:fill="auto"/>
            <w:hideMark/>
          </w:tcPr>
          <w:p w14:paraId="5DBF5BD2" w14:textId="77777777" w:rsidR="00CA37AD" w:rsidRPr="0043589D" w:rsidRDefault="00CA37AD" w:rsidP="001E7124">
            <w:pPr>
              <w:spacing w:after="0"/>
              <w:jc w:val="left"/>
              <w:rPr>
                <w:rFonts w:ascii="Calibri" w:eastAsia="Times New Roman" w:hAnsi="Calibri" w:cs="Calibri"/>
                <w:color w:val="auto"/>
                <w:u w:val="single"/>
                <w:lang w:eastAsia="cs-CZ"/>
              </w:rPr>
            </w:pPr>
            <w:r w:rsidRPr="0043589D">
              <w:rPr>
                <w:color w:val="auto"/>
              </w:rPr>
              <w:t>Eurostat</w:t>
            </w:r>
          </w:p>
        </w:tc>
      </w:tr>
      <w:tr w:rsidR="00CA37AD" w:rsidRPr="0043589D" w14:paraId="218FA841" w14:textId="77777777" w:rsidTr="003C5F13">
        <w:trPr>
          <w:trHeight w:val="300"/>
        </w:trPr>
        <w:tc>
          <w:tcPr>
            <w:tcW w:w="1408" w:type="dxa"/>
            <w:vMerge/>
            <w:tcBorders>
              <w:top w:val="nil"/>
              <w:left w:val="single" w:sz="8" w:space="0" w:color="auto"/>
              <w:bottom w:val="single" w:sz="8" w:space="0" w:color="000000"/>
              <w:right w:val="single" w:sz="8" w:space="0" w:color="auto"/>
            </w:tcBorders>
            <w:vAlign w:val="center"/>
            <w:hideMark/>
          </w:tcPr>
          <w:p w14:paraId="556E9907" w14:textId="77777777" w:rsidR="00CA37AD" w:rsidRPr="0043589D" w:rsidRDefault="00CA37AD" w:rsidP="001E7124">
            <w:pPr>
              <w:spacing w:after="0"/>
              <w:jc w:val="left"/>
              <w:rPr>
                <w:rFonts w:ascii="Calibri" w:eastAsia="Times New Roman" w:hAnsi="Calibri" w:cs="Calibri"/>
                <w:color w:val="auto"/>
                <w:lang w:eastAsia="cs-CZ"/>
              </w:rPr>
            </w:pPr>
          </w:p>
        </w:tc>
        <w:tc>
          <w:tcPr>
            <w:tcW w:w="1134" w:type="dxa"/>
            <w:tcBorders>
              <w:top w:val="nil"/>
              <w:left w:val="nil"/>
              <w:bottom w:val="single" w:sz="4" w:space="0" w:color="auto"/>
              <w:right w:val="single" w:sz="4" w:space="0" w:color="auto"/>
            </w:tcBorders>
            <w:shd w:val="clear" w:color="000000" w:fill="FFC7CE"/>
            <w:hideMark/>
          </w:tcPr>
          <w:p w14:paraId="0EF19456" w14:textId="77777777" w:rsidR="00CA37AD" w:rsidRPr="0043589D" w:rsidRDefault="00CA37AD" w:rsidP="001E7124">
            <w:pPr>
              <w:spacing w:after="0"/>
              <w:jc w:val="center"/>
              <w:rPr>
                <w:rFonts w:ascii="Calibri" w:eastAsia="Times New Roman" w:hAnsi="Calibri" w:cs="Calibri"/>
                <w:color w:val="9C0006"/>
                <w:lang w:eastAsia="cs-CZ"/>
              </w:rPr>
            </w:pPr>
            <w:r w:rsidRPr="0043589D">
              <w:rPr>
                <w:rFonts w:ascii="Calibri" w:eastAsia="Times New Roman" w:hAnsi="Calibri" w:cs="Calibri"/>
                <w:color w:val="9C0006"/>
                <w:lang w:eastAsia="cs-CZ"/>
              </w:rPr>
              <w:t>Strategický</w:t>
            </w:r>
          </w:p>
        </w:tc>
        <w:tc>
          <w:tcPr>
            <w:tcW w:w="7087" w:type="dxa"/>
            <w:tcBorders>
              <w:top w:val="nil"/>
              <w:left w:val="nil"/>
              <w:bottom w:val="single" w:sz="4" w:space="0" w:color="auto"/>
              <w:right w:val="single" w:sz="4" w:space="0" w:color="auto"/>
            </w:tcBorders>
            <w:shd w:val="clear" w:color="auto" w:fill="auto"/>
            <w:vAlign w:val="center"/>
            <w:hideMark/>
          </w:tcPr>
          <w:p w14:paraId="64D46535"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Energetická náročnost tvorby hrubé přidané hodnoty</w:t>
            </w:r>
          </w:p>
        </w:tc>
        <w:tc>
          <w:tcPr>
            <w:tcW w:w="1134" w:type="dxa"/>
            <w:tcBorders>
              <w:top w:val="nil"/>
              <w:left w:val="nil"/>
              <w:bottom w:val="single" w:sz="4" w:space="0" w:color="auto"/>
              <w:right w:val="single" w:sz="4" w:space="0" w:color="auto"/>
            </w:tcBorders>
            <w:shd w:val="clear" w:color="auto" w:fill="auto"/>
            <w:vAlign w:val="center"/>
            <w:hideMark/>
          </w:tcPr>
          <w:p w14:paraId="433B8469"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MJ/PPS</w:t>
            </w:r>
          </w:p>
        </w:tc>
        <w:tc>
          <w:tcPr>
            <w:tcW w:w="1418" w:type="dxa"/>
            <w:tcBorders>
              <w:top w:val="nil"/>
              <w:left w:val="nil"/>
              <w:bottom w:val="single" w:sz="4" w:space="0" w:color="auto"/>
              <w:right w:val="single" w:sz="4" w:space="0" w:color="auto"/>
            </w:tcBorders>
            <w:shd w:val="clear" w:color="auto" w:fill="auto"/>
            <w:vAlign w:val="center"/>
            <w:hideMark/>
          </w:tcPr>
          <w:p w14:paraId="5D538809" w14:textId="77777777" w:rsidR="00CA37AD" w:rsidRPr="0043589D" w:rsidRDefault="00CA37AD"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5,4</w:t>
            </w:r>
          </w:p>
        </w:tc>
        <w:tc>
          <w:tcPr>
            <w:tcW w:w="850" w:type="dxa"/>
            <w:tcBorders>
              <w:top w:val="nil"/>
              <w:left w:val="nil"/>
              <w:bottom w:val="single" w:sz="4" w:space="0" w:color="auto"/>
              <w:right w:val="single" w:sz="4" w:space="0" w:color="auto"/>
            </w:tcBorders>
            <w:shd w:val="clear" w:color="auto" w:fill="auto"/>
            <w:vAlign w:val="center"/>
            <w:hideMark/>
          </w:tcPr>
          <w:p w14:paraId="68969D94"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2022</w:t>
            </w:r>
          </w:p>
        </w:tc>
        <w:tc>
          <w:tcPr>
            <w:tcW w:w="1519" w:type="dxa"/>
            <w:tcBorders>
              <w:top w:val="nil"/>
              <w:left w:val="nil"/>
              <w:bottom w:val="single" w:sz="4" w:space="0" w:color="auto"/>
              <w:right w:val="single" w:sz="8" w:space="0" w:color="auto"/>
            </w:tcBorders>
            <w:shd w:val="clear" w:color="auto" w:fill="auto"/>
            <w:hideMark/>
          </w:tcPr>
          <w:p w14:paraId="75282E93" w14:textId="77777777" w:rsidR="00CA37AD" w:rsidRPr="0043589D" w:rsidRDefault="00CA37AD" w:rsidP="001E7124">
            <w:pPr>
              <w:spacing w:after="0"/>
              <w:jc w:val="left"/>
              <w:rPr>
                <w:rFonts w:ascii="Calibri" w:eastAsia="Times New Roman" w:hAnsi="Calibri" w:cs="Calibri"/>
                <w:color w:val="auto"/>
                <w:u w:val="single"/>
                <w:lang w:eastAsia="cs-CZ"/>
              </w:rPr>
            </w:pPr>
            <w:r w:rsidRPr="0043589D">
              <w:rPr>
                <w:color w:val="auto"/>
              </w:rPr>
              <w:t>Eurostat</w:t>
            </w:r>
          </w:p>
        </w:tc>
      </w:tr>
      <w:tr w:rsidR="00CA37AD" w:rsidRPr="0043589D" w14:paraId="7802505E" w14:textId="77777777" w:rsidTr="003C5F13">
        <w:trPr>
          <w:trHeight w:val="300"/>
        </w:trPr>
        <w:tc>
          <w:tcPr>
            <w:tcW w:w="1408" w:type="dxa"/>
            <w:vMerge/>
            <w:tcBorders>
              <w:top w:val="nil"/>
              <w:left w:val="single" w:sz="8" w:space="0" w:color="auto"/>
              <w:bottom w:val="single" w:sz="8" w:space="0" w:color="000000"/>
              <w:right w:val="single" w:sz="8" w:space="0" w:color="auto"/>
            </w:tcBorders>
            <w:vAlign w:val="center"/>
            <w:hideMark/>
          </w:tcPr>
          <w:p w14:paraId="1F3679FE" w14:textId="77777777" w:rsidR="00CA37AD" w:rsidRPr="0043589D" w:rsidRDefault="00CA37AD" w:rsidP="001E7124">
            <w:pPr>
              <w:spacing w:after="0"/>
              <w:jc w:val="left"/>
              <w:rPr>
                <w:rFonts w:ascii="Calibri" w:eastAsia="Times New Roman" w:hAnsi="Calibri" w:cs="Calibri"/>
                <w:color w:val="auto"/>
                <w:lang w:eastAsia="cs-CZ"/>
              </w:rPr>
            </w:pPr>
          </w:p>
        </w:tc>
        <w:tc>
          <w:tcPr>
            <w:tcW w:w="1134" w:type="dxa"/>
            <w:tcBorders>
              <w:top w:val="nil"/>
              <w:left w:val="nil"/>
              <w:bottom w:val="single" w:sz="4" w:space="0" w:color="auto"/>
              <w:right w:val="single" w:sz="4" w:space="0" w:color="auto"/>
            </w:tcBorders>
            <w:shd w:val="clear" w:color="000000" w:fill="FFC7CE"/>
            <w:hideMark/>
          </w:tcPr>
          <w:p w14:paraId="07F2B77B" w14:textId="77777777" w:rsidR="00CA37AD" w:rsidRPr="0043589D" w:rsidRDefault="00CA37AD" w:rsidP="001E7124">
            <w:pPr>
              <w:spacing w:after="0"/>
              <w:jc w:val="center"/>
              <w:rPr>
                <w:rFonts w:ascii="Calibri" w:eastAsia="Times New Roman" w:hAnsi="Calibri" w:cs="Calibri"/>
                <w:color w:val="9C0006"/>
                <w:lang w:eastAsia="cs-CZ"/>
              </w:rPr>
            </w:pPr>
            <w:r w:rsidRPr="0043589D">
              <w:rPr>
                <w:rFonts w:ascii="Calibri" w:eastAsia="Times New Roman" w:hAnsi="Calibri" w:cs="Calibri"/>
                <w:color w:val="9C0006"/>
                <w:lang w:eastAsia="cs-CZ"/>
              </w:rPr>
              <w:t>Strategický</w:t>
            </w:r>
          </w:p>
        </w:tc>
        <w:tc>
          <w:tcPr>
            <w:tcW w:w="7087" w:type="dxa"/>
            <w:tcBorders>
              <w:top w:val="nil"/>
              <w:left w:val="nil"/>
              <w:bottom w:val="single" w:sz="4" w:space="0" w:color="auto"/>
              <w:right w:val="single" w:sz="4" w:space="0" w:color="auto"/>
            </w:tcBorders>
            <w:shd w:val="clear" w:color="auto" w:fill="auto"/>
            <w:vAlign w:val="center"/>
            <w:hideMark/>
          </w:tcPr>
          <w:p w14:paraId="057591A0"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Emise skleníkových plynů</w:t>
            </w:r>
          </w:p>
        </w:tc>
        <w:tc>
          <w:tcPr>
            <w:tcW w:w="1134" w:type="dxa"/>
            <w:tcBorders>
              <w:top w:val="nil"/>
              <w:left w:val="nil"/>
              <w:bottom w:val="single" w:sz="4" w:space="0" w:color="auto"/>
              <w:right w:val="single" w:sz="4" w:space="0" w:color="auto"/>
            </w:tcBorders>
            <w:shd w:val="clear" w:color="auto" w:fill="auto"/>
            <w:vAlign w:val="center"/>
            <w:hideMark/>
          </w:tcPr>
          <w:p w14:paraId="0A60537C" w14:textId="77777777" w:rsidR="00CA37AD" w:rsidRPr="0043589D" w:rsidRDefault="00CA37AD" w:rsidP="001E7124">
            <w:pPr>
              <w:spacing w:after="0"/>
              <w:jc w:val="left"/>
              <w:rPr>
                <w:rFonts w:ascii="Calibri" w:eastAsia="Times New Roman" w:hAnsi="Calibri" w:cs="Calibri"/>
                <w:color w:val="auto"/>
                <w:lang w:eastAsia="cs-CZ"/>
              </w:rPr>
            </w:pPr>
            <w:proofErr w:type="spellStart"/>
            <w:r w:rsidRPr="0043589D">
              <w:rPr>
                <w:rFonts w:ascii="Calibri" w:eastAsia="Times New Roman" w:hAnsi="Calibri" w:cs="Calibri"/>
                <w:color w:val="auto"/>
                <w:lang w:eastAsia="cs-CZ"/>
              </w:rPr>
              <w:t>Mt</w:t>
            </w:r>
            <w:proofErr w:type="spellEnd"/>
            <w:r w:rsidRPr="0043589D">
              <w:rPr>
                <w:rFonts w:ascii="Calibri" w:eastAsia="Times New Roman" w:hAnsi="Calibri" w:cs="Calibri"/>
                <w:color w:val="auto"/>
                <w:lang w:eastAsia="cs-CZ"/>
              </w:rPr>
              <w:t xml:space="preserve"> </w:t>
            </w:r>
            <w:proofErr w:type="spellStart"/>
            <w:r w:rsidRPr="0043589D">
              <w:rPr>
                <w:rFonts w:ascii="Calibri" w:eastAsia="Times New Roman" w:hAnsi="Calibri" w:cs="Calibri"/>
                <w:color w:val="auto"/>
                <w:lang w:eastAsia="cs-CZ"/>
              </w:rPr>
              <w:t>CO₂eq</w:t>
            </w:r>
            <w:proofErr w:type="spellEnd"/>
          </w:p>
        </w:tc>
        <w:tc>
          <w:tcPr>
            <w:tcW w:w="1418" w:type="dxa"/>
            <w:tcBorders>
              <w:top w:val="nil"/>
              <w:left w:val="nil"/>
              <w:bottom w:val="single" w:sz="4" w:space="0" w:color="auto"/>
              <w:right w:val="single" w:sz="4" w:space="0" w:color="auto"/>
            </w:tcBorders>
            <w:shd w:val="clear" w:color="auto" w:fill="auto"/>
            <w:vAlign w:val="center"/>
            <w:hideMark/>
          </w:tcPr>
          <w:p w14:paraId="2C6F83E8" w14:textId="77777777" w:rsidR="00CA37AD" w:rsidRPr="0043589D" w:rsidRDefault="00CA37AD"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121</w:t>
            </w:r>
          </w:p>
        </w:tc>
        <w:tc>
          <w:tcPr>
            <w:tcW w:w="850" w:type="dxa"/>
            <w:tcBorders>
              <w:top w:val="nil"/>
              <w:left w:val="nil"/>
              <w:bottom w:val="single" w:sz="4" w:space="0" w:color="auto"/>
              <w:right w:val="single" w:sz="4" w:space="0" w:color="auto"/>
            </w:tcBorders>
            <w:shd w:val="clear" w:color="auto" w:fill="auto"/>
            <w:vAlign w:val="center"/>
            <w:hideMark/>
          </w:tcPr>
          <w:p w14:paraId="4D24162D"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2022</w:t>
            </w:r>
          </w:p>
        </w:tc>
        <w:tc>
          <w:tcPr>
            <w:tcW w:w="1519" w:type="dxa"/>
            <w:tcBorders>
              <w:top w:val="nil"/>
              <w:left w:val="nil"/>
              <w:bottom w:val="single" w:sz="4" w:space="0" w:color="auto"/>
              <w:right w:val="single" w:sz="8" w:space="0" w:color="auto"/>
            </w:tcBorders>
            <w:shd w:val="clear" w:color="auto" w:fill="auto"/>
            <w:hideMark/>
          </w:tcPr>
          <w:p w14:paraId="7C738D57" w14:textId="77777777" w:rsidR="00CA37AD" w:rsidRPr="0043589D" w:rsidRDefault="00CA37AD" w:rsidP="001E7124">
            <w:pPr>
              <w:spacing w:after="0"/>
              <w:jc w:val="left"/>
              <w:rPr>
                <w:rFonts w:ascii="Calibri" w:eastAsia="Times New Roman" w:hAnsi="Calibri" w:cs="Calibri"/>
                <w:color w:val="auto"/>
                <w:u w:val="single"/>
                <w:lang w:eastAsia="cs-CZ"/>
              </w:rPr>
            </w:pPr>
            <w:r w:rsidRPr="0043589D">
              <w:rPr>
                <w:color w:val="auto"/>
              </w:rPr>
              <w:t>ČHMÚ</w:t>
            </w:r>
          </w:p>
        </w:tc>
      </w:tr>
      <w:tr w:rsidR="00CA37AD" w:rsidRPr="0043589D" w14:paraId="4F8FAA52" w14:textId="77777777" w:rsidTr="003C5F13">
        <w:trPr>
          <w:trHeight w:val="300"/>
        </w:trPr>
        <w:tc>
          <w:tcPr>
            <w:tcW w:w="1408" w:type="dxa"/>
            <w:vMerge/>
            <w:tcBorders>
              <w:top w:val="nil"/>
              <w:left w:val="single" w:sz="8" w:space="0" w:color="auto"/>
              <w:bottom w:val="single" w:sz="8" w:space="0" w:color="000000"/>
              <w:right w:val="single" w:sz="8" w:space="0" w:color="auto"/>
            </w:tcBorders>
            <w:vAlign w:val="center"/>
            <w:hideMark/>
          </w:tcPr>
          <w:p w14:paraId="0BD21977" w14:textId="77777777" w:rsidR="00CA37AD" w:rsidRPr="0043589D" w:rsidRDefault="00CA37AD" w:rsidP="001E7124">
            <w:pPr>
              <w:spacing w:after="0"/>
              <w:jc w:val="left"/>
              <w:rPr>
                <w:rFonts w:ascii="Calibri" w:eastAsia="Times New Roman" w:hAnsi="Calibri" w:cs="Calibri"/>
                <w:color w:val="auto"/>
                <w:lang w:eastAsia="cs-CZ"/>
              </w:rPr>
            </w:pPr>
          </w:p>
        </w:tc>
        <w:tc>
          <w:tcPr>
            <w:tcW w:w="1134" w:type="dxa"/>
            <w:tcBorders>
              <w:top w:val="nil"/>
              <w:left w:val="single" w:sz="8" w:space="0" w:color="auto"/>
              <w:bottom w:val="single" w:sz="4" w:space="0" w:color="auto"/>
              <w:right w:val="single" w:sz="4" w:space="0" w:color="auto"/>
            </w:tcBorders>
            <w:shd w:val="clear" w:color="000000" w:fill="C6EFCE"/>
            <w:hideMark/>
          </w:tcPr>
          <w:p w14:paraId="1627B2B0" w14:textId="77777777" w:rsidR="00CA37AD" w:rsidRPr="0043589D" w:rsidRDefault="00CA37AD" w:rsidP="001E7124">
            <w:pPr>
              <w:spacing w:after="0"/>
              <w:jc w:val="center"/>
              <w:rPr>
                <w:rFonts w:ascii="Calibri" w:eastAsia="Times New Roman" w:hAnsi="Calibri" w:cs="Calibri"/>
                <w:color w:val="006100"/>
                <w:lang w:eastAsia="cs-CZ"/>
              </w:rPr>
            </w:pPr>
            <w:r w:rsidRPr="0043589D">
              <w:rPr>
                <w:rFonts w:ascii="Calibri" w:eastAsia="Times New Roman" w:hAnsi="Calibri" w:cs="Calibri"/>
                <w:color w:val="006100"/>
                <w:lang w:eastAsia="cs-CZ"/>
              </w:rPr>
              <w:t>Doplňující</w:t>
            </w:r>
          </w:p>
        </w:tc>
        <w:tc>
          <w:tcPr>
            <w:tcW w:w="7087" w:type="dxa"/>
            <w:tcBorders>
              <w:top w:val="nil"/>
              <w:left w:val="nil"/>
              <w:bottom w:val="nil"/>
              <w:right w:val="nil"/>
            </w:tcBorders>
            <w:shd w:val="clear" w:color="auto" w:fill="auto"/>
            <w:noWrap/>
            <w:vAlign w:val="bottom"/>
            <w:hideMark/>
          </w:tcPr>
          <w:p w14:paraId="0BFED638"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Soběstačnost v dodávkách elektřiny (podíl hrubé výroby elektřiny a hrubé spotřeby elektřiny)</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4A6CD25F"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w:t>
            </w:r>
          </w:p>
        </w:tc>
        <w:tc>
          <w:tcPr>
            <w:tcW w:w="1418" w:type="dxa"/>
            <w:tcBorders>
              <w:top w:val="nil"/>
              <w:left w:val="nil"/>
              <w:bottom w:val="single" w:sz="4" w:space="0" w:color="auto"/>
              <w:right w:val="single" w:sz="4" w:space="0" w:color="auto"/>
            </w:tcBorders>
            <w:shd w:val="clear" w:color="auto" w:fill="auto"/>
            <w:vAlign w:val="center"/>
            <w:hideMark/>
          </w:tcPr>
          <w:p w14:paraId="4BCF70E9" w14:textId="77777777" w:rsidR="00CA37AD" w:rsidRPr="0043589D" w:rsidRDefault="00CA37AD"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119</w:t>
            </w:r>
          </w:p>
        </w:tc>
        <w:tc>
          <w:tcPr>
            <w:tcW w:w="850" w:type="dxa"/>
            <w:tcBorders>
              <w:top w:val="nil"/>
              <w:left w:val="nil"/>
              <w:bottom w:val="single" w:sz="4" w:space="0" w:color="auto"/>
              <w:right w:val="single" w:sz="4" w:space="0" w:color="auto"/>
            </w:tcBorders>
            <w:shd w:val="clear" w:color="auto" w:fill="auto"/>
            <w:vAlign w:val="center"/>
            <w:hideMark/>
          </w:tcPr>
          <w:p w14:paraId="702B71C9"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2022</w:t>
            </w:r>
          </w:p>
        </w:tc>
        <w:tc>
          <w:tcPr>
            <w:tcW w:w="1519" w:type="dxa"/>
            <w:tcBorders>
              <w:top w:val="nil"/>
              <w:left w:val="nil"/>
              <w:bottom w:val="single" w:sz="4" w:space="0" w:color="auto"/>
              <w:right w:val="single" w:sz="8" w:space="0" w:color="auto"/>
            </w:tcBorders>
            <w:shd w:val="clear" w:color="auto" w:fill="auto"/>
            <w:hideMark/>
          </w:tcPr>
          <w:p w14:paraId="4DB90F60" w14:textId="77777777" w:rsidR="00CA37AD" w:rsidRPr="0043589D" w:rsidRDefault="00CA37AD" w:rsidP="001E7124">
            <w:pPr>
              <w:spacing w:after="0"/>
              <w:jc w:val="left"/>
              <w:rPr>
                <w:rFonts w:ascii="Calibri" w:eastAsia="Times New Roman" w:hAnsi="Calibri" w:cs="Calibri"/>
                <w:color w:val="auto"/>
                <w:u w:val="single"/>
                <w:lang w:eastAsia="cs-CZ"/>
              </w:rPr>
            </w:pPr>
            <w:r w:rsidRPr="0043589D">
              <w:rPr>
                <w:color w:val="auto"/>
              </w:rPr>
              <w:t>Eurostat</w:t>
            </w:r>
          </w:p>
        </w:tc>
      </w:tr>
      <w:tr w:rsidR="00CA37AD" w:rsidRPr="0043589D" w14:paraId="1AE24939" w14:textId="77777777" w:rsidTr="003C5F13">
        <w:trPr>
          <w:trHeight w:val="300"/>
        </w:trPr>
        <w:tc>
          <w:tcPr>
            <w:tcW w:w="1408" w:type="dxa"/>
            <w:vMerge/>
            <w:tcBorders>
              <w:top w:val="nil"/>
              <w:left w:val="single" w:sz="8" w:space="0" w:color="auto"/>
              <w:bottom w:val="single" w:sz="8" w:space="0" w:color="000000"/>
              <w:right w:val="single" w:sz="8" w:space="0" w:color="auto"/>
            </w:tcBorders>
            <w:vAlign w:val="center"/>
            <w:hideMark/>
          </w:tcPr>
          <w:p w14:paraId="5585DA76" w14:textId="77777777" w:rsidR="00CA37AD" w:rsidRPr="0043589D" w:rsidRDefault="00CA37AD" w:rsidP="001E7124">
            <w:pPr>
              <w:spacing w:after="0"/>
              <w:jc w:val="left"/>
              <w:rPr>
                <w:rFonts w:ascii="Calibri" w:eastAsia="Times New Roman" w:hAnsi="Calibri" w:cs="Calibri"/>
                <w:color w:val="auto"/>
                <w:lang w:eastAsia="cs-CZ"/>
              </w:rPr>
            </w:pPr>
          </w:p>
        </w:tc>
        <w:tc>
          <w:tcPr>
            <w:tcW w:w="1134" w:type="dxa"/>
            <w:tcBorders>
              <w:top w:val="nil"/>
              <w:left w:val="single" w:sz="8" w:space="0" w:color="auto"/>
              <w:bottom w:val="single" w:sz="4" w:space="0" w:color="auto"/>
              <w:right w:val="single" w:sz="4" w:space="0" w:color="auto"/>
            </w:tcBorders>
            <w:shd w:val="clear" w:color="000000" w:fill="C6EFCE"/>
            <w:hideMark/>
          </w:tcPr>
          <w:p w14:paraId="0B1AD66F" w14:textId="77777777" w:rsidR="00CA37AD" w:rsidRPr="0043589D" w:rsidRDefault="00CA37AD" w:rsidP="001E7124">
            <w:pPr>
              <w:spacing w:after="0"/>
              <w:jc w:val="center"/>
              <w:rPr>
                <w:rFonts w:ascii="Calibri" w:eastAsia="Times New Roman" w:hAnsi="Calibri" w:cs="Calibri"/>
                <w:color w:val="006100"/>
                <w:lang w:eastAsia="cs-CZ"/>
              </w:rPr>
            </w:pPr>
            <w:r w:rsidRPr="0043589D">
              <w:rPr>
                <w:rFonts w:ascii="Calibri" w:eastAsia="Times New Roman" w:hAnsi="Calibri" w:cs="Calibri"/>
                <w:color w:val="006100"/>
                <w:lang w:eastAsia="cs-CZ"/>
              </w:rPr>
              <w:t>Doplňující</w:t>
            </w:r>
          </w:p>
        </w:tc>
        <w:tc>
          <w:tcPr>
            <w:tcW w:w="7087" w:type="dxa"/>
            <w:tcBorders>
              <w:top w:val="single" w:sz="4" w:space="0" w:color="auto"/>
              <w:left w:val="nil"/>
              <w:bottom w:val="single" w:sz="4" w:space="0" w:color="auto"/>
              <w:right w:val="single" w:sz="4" w:space="0" w:color="auto"/>
            </w:tcBorders>
            <w:shd w:val="clear" w:color="auto" w:fill="auto"/>
            <w:vAlign w:val="center"/>
            <w:hideMark/>
          </w:tcPr>
          <w:p w14:paraId="1FA11394"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Konečná spotřeba energie</w:t>
            </w:r>
          </w:p>
        </w:tc>
        <w:tc>
          <w:tcPr>
            <w:tcW w:w="1134" w:type="dxa"/>
            <w:tcBorders>
              <w:top w:val="nil"/>
              <w:left w:val="nil"/>
              <w:bottom w:val="single" w:sz="4" w:space="0" w:color="auto"/>
              <w:right w:val="single" w:sz="4" w:space="0" w:color="auto"/>
            </w:tcBorders>
            <w:shd w:val="clear" w:color="auto" w:fill="auto"/>
            <w:vAlign w:val="center"/>
            <w:hideMark/>
          </w:tcPr>
          <w:p w14:paraId="0178D189"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PJ</w:t>
            </w:r>
          </w:p>
        </w:tc>
        <w:tc>
          <w:tcPr>
            <w:tcW w:w="1418" w:type="dxa"/>
            <w:tcBorders>
              <w:top w:val="nil"/>
              <w:left w:val="nil"/>
              <w:bottom w:val="single" w:sz="4" w:space="0" w:color="auto"/>
              <w:right w:val="single" w:sz="4" w:space="0" w:color="auto"/>
            </w:tcBorders>
            <w:shd w:val="clear" w:color="auto" w:fill="auto"/>
            <w:vAlign w:val="center"/>
            <w:hideMark/>
          </w:tcPr>
          <w:p w14:paraId="130B3429" w14:textId="77777777" w:rsidR="00CA37AD" w:rsidRPr="0043589D" w:rsidRDefault="00CA37AD"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1015</w:t>
            </w:r>
          </w:p>
        </w:tc>
        <w:tc>
          <w:tcPr>
            <w:tcW w:w="850" w:type="dxa"/>
            <w:tcBorders>
              <w:top w:val="nil"/>
              <w:left w:val="nil"/>
              <w:bottom w:val="single" w:sz="4" w:space="0" w:color="auto"/>
              <w:right w:val="single" w:sz="4" w:space="0" w:color="auto"/>
            </w:tcBorders>
            <w:shd w:val="clear" w:color="auto" w:fill="auto"/>
            <w:vAlign w:val="center"/>
            <w:hideMark/>
          </w:tcPr>
          <w:p w14:paraId="2FDCD600"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2022</w:t>
            </w:r>
          </w:p>
        </w:tc>
        <w:tc>
          <w:tcPr>
            <w:tcW w:w="1519" w:type="dxa"/>
            <w:tcBorders>
              <w:top w:val="nil"/>
              <w:left w:val="nil"/>
              <w:bottom w:val="single" w:sz="4" w:space="0" w:color="auto"/>
              <w:right w:val="single" w:sz="8" w:space="0" w:color="auto"/>
            </w:tcBorders>
            <w:shd w:val="clear" w:color="auto" w:fill="auto"/>
            <w:hideMark/>
          </w:tcPr>
          <w:p w14:paraId="460A7975" w14:textId="77777777" w:rsidR="00CA37AD" w:rsidRPr="0043589D" w:rsidRDefault="00CA37AD" w:rsidP="001E7124">
            <w:pPr>
              <w:spacing w:after="0"/>
              <w:jc w:val="left"/>
              <w:rPr>
                <w:rFonts w:ascii="Calibri" w:eastAsia="Times New Roman" w:hAnsi="Calibri" w:cs="Calibri"/>
                <w:color w:val="auto"/>
                <w:u w:val="single"/>
                <w:lang w:eastAsia="cs-CZ"/>
              </w:rPr>
            </w:pPr>
            <w:r w:rsidRPr="0043589D">
              <w:rPr>
                <w:color w:val="auto"/>
              </w:rPr>
              <w:t>Eurostat</w:t>
            </w:r>
          </w:p>
        </w:tc>
      </w:tr>
      <w:tr w:rsidR="00CA37AD" w:rsidRPr="0043589D" w14:paraId="1334D740" w14:textId="77777777" w:rsidTr="003C5F13">
        <w:trPr>
          <w:trHeight w:val="300"/>
        </w:trPr>
        <w:tc>
          <w:tcPr>
            <w:tcW w:w="1408" w:type="dxa"/>
            <w:vMerge/>
            <w:tcBorders>
              <w:top w:val="nil"/>
              <w:left w:val="single" w:sz="8" w:space="0" w:color="auto"/>
              <w:bottom w:val="single" w:sz="8" w:space="0" w:color="000000"/>
              <w:right w:val="single" w:sz="8" w:space="0" w:color="auto"/>
            </w:tcBorders>
            <w:vAlign w:val="center"/>
            <w:hideMark/>
          </w:tcPr>
          <w:p w14:paraId="761FC50E" w14:textId="77777777" w:rsidR="00CA37AD" w:rsidRPr="0043589D" w:rsidRDefault="00CA37AD" w:rsidP="001E7124">
            <w:pPr>
              <w:spacing w:after="0"/>
              <w:jc w:val="left"/>
              <w:rPr>
                <w:rFonts w:ascii="Calibri" w:eastAsia="Times New Roman" w:hAnsi="Calibri" w:cs="Calibri"/>
                <w:color w:val="auto"/>
                <w:lang w:eastAsia="cs-CZ"/>
              </w:rPr>
            </w:pPr>
          </w:p>
        </w:tc>
        <w:tc>
          <w:tcPr>
            <w:tcW w:w="1134" w:type="dxa"/>
            <w:tcBorders>
              <w:top w:val="nil"/>
              <w:left w:val="single" w:sz="8" w:space="0" w:color="auto"/>
              <w:bottom w:val="single" w:sz="4" w:space="0" w:color="auto"/>
              <w:right w:val="single" w:sz="4" w:space="0" w:color="auto"/>
            </w:tcBorders>
            <w:shd w:val="clear" w:color="000000" w:fill="C6EFCE"/>
            <w:hideMark/>
          </w:tcPr>
          <w:p w14:paraId="3BD79083" w14:textId="77777777" w:rsidR="00CA37AD" w:rsidRPr="0043589D" w:rsidRDefault="00CA37AD" w:rsidP="001E7124">
            <w:pPr>
              <w:spacing w:after="0"/>
              <w:jc w:val="center"/>
              <w:rPr>
                <w:rFonts w:ascii="Calibri" w:eastAsia="Times New Roman" w:hAnsi="Calibri" w:cs="Calibri"/>
                <w:color w:val="006100"/>
                <w:lang w:eastAsia="cs-CZ"/>
              </w:rPr>
            </w:pPr>
            <w:r w:rsidRPr="0043589D">
              <w:rPr>
                <w:rFonts w:ascii="Calibri" w:eastAsia="Times New Roman" w:hAnsi="Calibri" w:cs="Calibri"/>
                <w:color w:val="006100"/>
                <w:lang w:eastAsia="cs-CZ"/>
              </w:rPr>
              <w:t>Doplňující</w:t>
            </w:r>
          </w:p>
        </w:tc>
        <w:tc>
          <w:tcPr>
            <w:tcW w:w="7087" w:type="dxa"/>
            <w:tcBorders>
              <w:top w:val="nil"/>
              <w:left w:val="nil"/>
              <w:bottom w:val="single" w:sz="4" w:space="0" w:color="auto"/>
              <w:right w:val="single" w:sz="4" w:space="0" w:color="auto"/>
            </w:tcBorders>
            <w:shd w:val="clear" w:color="auto" w:fill="auto"/>
            <w:vAlign w:val="center"/>
            <w:hideMark/>
          </w:tcPr>
          <w:p w14:paraId="57CFD71E"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Konečné ceny elektřiny pro průmysl a domácnosti</w:t>
            </w:r>
          </w:p>
        </w:tc>
        <w:tc>
          <w:tcPr>
            <w:tcW w:w="1134" w:type="dxa"/>
            <w:tcBorders>
              <w:top w:val="nil"/>
              <w:left w:val="nil"/>
              <w:bottom w:val="single" w:sz="4" w:space="0" w:color="auto"/>
              <w:right w:val="single" w:sz="4" w:space="0" w:color="auto"/>
            </w:tcBorders>
            <w:shd w:val="clear" w:color="auto" w:fill="auto"/>
            <w:vAlign w:val="center"/>
            <w:hideMark/>
          </w:tcPr>
          <w:p w14:paraId="5B7C7875"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USD PPP/</w:t>
            </w:r>
            <w:proofErr w:type="spellStart"/>
            <w:r w:rsidRPr="0043589D">
              <w:rPr>
                <w:rFonts w:ascii="Calibri" w:eastAsia="Times New Roman" w:hAnsi="Calibri" w:cs="Calibri"/>
                <w:color w:val="auto"/>
                <w:lang w:eastAsia="cs-CZ"/>
              </w:rPr>
              <w:t>MWh</w:t>
            </w:r>
            <w:proofErr w:type="spellEnd"/>
          </w:p>
        </w:tc>
        <w:tc>
          <w:tcPr>
            <w:tcW w:w="1418" w:type="dxa"/>
            <w:tcBorders>
              <w:top w:val="nil"/>
              <w:left w:val="nil"/>
              <w:bottom w:val="single" w:sz="4" w:space="0" w:color="auto"/>
              <w:right w:val="single" w:sz="4" w:space="0" w:color="auto"/>
            </w:tcBorders>
            <w:shd w:val="clear" w:color="auto" w:fill="auto"/>
            <w:vAlign w:val="center"/>
            <w:hideMark/>
          </w:tcPr>
          <w:p w14:paraId="5126032F" w14:textId="77777777" w:rsidR="00CA37AD" w:rsidRPr="0043589D" w:rsidRDefault="00CA37AD"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357 a 370</w:t>
            </w:r>
          </w:p>
        </w:tc>
        <w:tc>
          <w:tcPr>
            <w:tcW w:w="850" w:type="dxa"/>
            <w:tcBorders>
              <w:top w:val="nil"/>
              <w:left w:val="nil"/>
              <w:bottom w:val="single" w:sz="4" w:space="0" w:color="auto"/>
              <w:right w:val="single" w:sz="4" w:space="0" w:color="auto"/>
            </w:tcBorders>
            <w:shd w:val="clear" w:color="auto" w:fill="auto"/>
            <w:vAlign w:val="center"/>
            <w:hideMark/>
          </w:tcPr>
          <w:p w14:paraId="3A550461"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2022</w:t>
            </w:r>
          </w:p>
        </w:tc>
        <w:tc>
          <w:tcPr>
            <w:tcW w:w="1519" w:type="dxa"/>
            <w:tcBorders>
              <w:top w:val="nil"/>
              <w:left w:val="nil"/>
              <w:bottom w:val="single" w:sz="4" w:space="0" w:color="auto"/>
              <w:right w:val="single" w:sz="8" w:space="0" w:color="auto"/>
            </w:tcBorders>
            <w:shd w:val="clear" w:color="auto" w:fill="auto"/>
            <w:hideMark/>
          </w:tcPr>
          <w:p w14:paraId="6A95E310" w14:textId="77777777" w:rsidR="00CA37AD" w:rsidRPr="0043589D" w:rsidRDefault="00CA37AD" w:rsidP="001E7124">
            <w:pPr>
              <w:spacing w:after="0"/>
              <w:jc w:val="left"/>
              <w:rPr>
                <w:rFonts w:ascii="Calibri" w:eastAsia="Times New Roman" w:hAnsi="Calibri" w:cs="Calibri"/>
                <w:color w:val="auto"/>
                <w:u w:val="single"/>
                <w:lang w:eastAsia="cs-CZ"/>
              </w:rPr>
            </w:pPr>
            <w:r w:rsidRPr="0043589D">
              <w:rPr>
                <w:color w:val="auto"/>
              </w:rPr>
              <w:t>OECD IEA</w:t>
            </w:r>
          </w:p>
        </w:tc>
      </w:tr>
      <w:tr w:rsidR="00CA37AD" w:rsidRPr="0043589D" w14:paraId="1B380596" w14:textId="77777777" w:rsidTr="003C5F13">
        <w:trPr>
          <w:trHeight w:val="300"/>
        </w:trPr>
        <w:tc>
          <w:tcPr>
            <w:tcW w:w="1408" w:type="dxa"/>
            <w:vMerge/>
            <w:tcBorders>
              <w:top w:val="nil"/>
              <w:left w:val="single" w:sz="8" w:space="0" w:color="auto"/>
              <w:bottom w:val="single" w:sz="8" w:space="0" w:color="000000"/>
              <w:right w:val="single" w:sz="8" w:space="0" w:color="auto"/>
            </w:tcBorders>
            <w:vAlign w:val="center"/>
            <w:hideMark/>
          </w:tcPr>
          <w:p w14:paraId="6D325E15" w14:textId="77777777" w:rsidR="00CA37AD" w:rsidRPr="0043589D" w:rsidRDefault="00CA37AD" w:rsidP="001E7124">
            <w:pPr>
              <w:spacing w:after="0"/>
              <w:jc w:val="left"/>
              <w:rPr>
                <w:rFonts w:ascii="Calibri" w:eastAsia="Times New Roman" w:hAnsi="Calibri" w:cs="Calibri"/>
                <w:color w:val="auto"/>
                <w:lang w:eastAsia="cs-CZ"/>
              </w:rPr>
            </w:pPr>
          </w:p>
        </w:tc>
        <w:tc>
          <w:tcPr>
            <w:tcW w:w="1134" w:type="dxa"/>
            <w:tcBorders>
              <w:top w:val="nil"/>
              <w:left w:val="single" w:sz="8" w:space="0" w:color="auto"/>
              <w:bottom w:val="single" w:sz="4" w:space="0" w:color="auto"/>
              <w:right w:val="single" w:sz="4" w:space="0" w:color="auto"/>
            </w:tcBorders>
            <w:shd w:val="clear" w:color="000000" w:fill="C6EFCE"/>
            <w:hideMark/>
          </w:tcPr>
          <w:p w14:paraId="40502F6F" w14:textId="77777777" w:rsidR="00CA37AD" w:rsidRPr="0043589D" w:rsidRDefault="00CA37AD" w:rsidP="001E7124">
            <w:pPr>
              <w:spacing w:after="0"/>
              <w:jc w:val="center"/>
              <w:rPr>
                <w:rFonts w:ascii="Calibri" w:eastAsia="Times New Roman" w:hAnsi="Calibri" w:cs="Calibri"/>
                <w:color w:val="006100"/>
                <w:lang w:eastAsia="cs-CZ"/>
              </w:rPr>
            </w:pPr>
            <w:r w:rsidRPr="0043589D">
              <w:rPr>
                <w:rFonts w:ascii="Calibri" w:eastAsia="Times New Roman" w:hAnsi="Calibri" w:cs="Calibri"/>
                <w:color w:val="006100"/>
                <w:lang w:eastAsia="cs-CZ"/>
              </w:rPr>
              <w:t>Doplňující</w:t>
            </w:r>
          </w:p>
        </w:tc>
        <w:tc>
          <w:tcPr>
            <w:tcW w:w="7087" w:type="dxa"/>
            <w:tcBorders>
              <w:top w:val="nil"/>
              <w:left w:val="nil"/>
              <w:bottom w:val="single" w:sz="4" w:space="0" w:color="auto"/>
              <w:right w:val="single" w:sz="4" w:space="0" w:color="auto"/>
            </w:tcBorders>
            <w:shd w:val="clear" w:color="auto" w:fill="auto"/>
            <w:vAlign w:val="center"/>
            <w:hideMark/>
          </w:tcPr>
          <w:p w14:paraId="5F388D10"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Konečné ceny plynu pro průmysl a domácnosti</w:t>
            </w:r>
          </w:p>
        </w:tc>
        <w:tc>
          <w:tcPr>
            <w:tcW w:w="1134" w:type="dxa"/>
            <w:tcBorders>
              <w:top w:val="nil"/>
              <w:left w:val="nil"/>
              <w:bottom w:val="single" w:sz="4" w:space="0" w:color="auto"/>
              <w:right w:val="single" w:sz="4" w:space="0" w:color="auto"/>
            </w:tcBorders>
            <w:shd w:val="clear" w:color="auto" w:fill="auto"/>
            <w:vAlign w:val="center"/>
            <w:hideMark/>
          </w:tcPr>
          <w:p w14:paraId="1788938E"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USD PPP/</w:t>
            </w:r>
            <w:proofErr w:type="spellStart"/>
            <w:r w:rsidRPr="0043589D">
              <w:rPr>
                <w:rFonts w:ascii="Calibri" w:eastAsia="Times New Roman" w:hAnsi="Calibri" w:cs="Calibri"/>
                <w:color w:val="auto"/>
                <w:lang w:eastAsia="cs-CZ"/>
              </w:rPr>
              <w:t>MWh</w:t>
            </w:r>
            <w:proofErr w:type="spellEnd"/>
          </w:p>
        </w:tc>
        <w:tc>
          <w:tcPr>
            <w:tcW w:w="1418" w:type="dxa"/>
            <w:tcBorders>
              <w:top w:val="nil"/>
              <w:left w:val="nil"/>
              <w:bottom w:val="single" w:sz="4" w:space="0" w:color="auto"/>
              <w:right w:val="single" w:sz="4" w:space="0" w:color="auto"/>
            </w:tcBorders>
            <w:shd w:val="clear" w:color="auto" w:fill="auto"/>
            <w:vAlign w:val="center"/>
            <w:hideMark/>
          </w:tcPr>
          <w:p w14:paraId="6D9161E9" w14:textId="77777777" w:rsidR="00CA37AD" w:rsidRPr="0043589D" w:rsidRDefault="00CA37AD"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137 a 181</w:t>
            </w:r>
          </w:p>
        </w:tc>
        <w:tc>
          <w:tcPr>
            <w:tcW w:w="850" w:type="dxa"/>
            <w:tcBorders>
              <w:top w:val="nil"/>
              <w:left w:val="nil"/>
              <w:bottom w:val="single" w:sz="4" w:space="0" w:color="auto"/>
              <w:right w:val="single" w:sz="4" w:space="0" w:color="auto"/>
            </w:tcBorders>
            <w:shd w:val="clear" w:color="auto" w:fill="auto"/>
            <w:vAlign w:val="center"/>
            <w:hideMark/>
          </w:tcPr>
          <w:p w14:paraId="7D6611BD"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2022</w:t>
            </w:r>
          </w:p>
        </w:tc>
        <w:tc>
          <w:tcPr>
            <w:tcW w:w="1519" w:type="dxa"/>
            <w:tcBorders>
              <w:top w:val="nil"/>
              <w:left w:val="nil"/>
              <w:bottom w:val="single" w:sz="4" w:space="0" w:color="auto"/>
              <w:right w:val="single" w:sz="8" w:space="0" w:color="auto"/>
            </w:tcBorders>
            <w:shd w:val="clear" w:color="auto" w:fill="auto"/>
            <w:hideMark/>
          </w:tcPr>
          <w:p w14:paraId="4FC387A8" w14:textId="77777777" w:rsidR="00CA37AD" w:rsidRPr="0043589D" w:rsidRDefault="00CA37AD" w:rsidP="001E7124">
            <w:pPr>
              <w:spacing w:after="0"/>
              <w:jc w:val="left"/>
              <w:rPr>
                <w:rFonts w:ascii="Calibri" w:eastAsia="Times New Roman" w:hAnsi="Calibri" w:cs="Calibri"/>
                <w:color w:val="auto"/>
                <w:u w:val="single"/>
                <w:lang w:eastAsia="cs-CZ"/>
              </w:rPr>
            </w:pPr>
            <w:r w:rsidRPr="0043589D">
              <w:rPr>
                <w:color w:val="auto"/>
              </w:rPr>
              <w:t>OECD IEA</w:t>
            </w:r>
          </w:p>
        </w:tc>
      </w:tr>
      <w:tr w:rsidR="00CA37AD" w:rsidRPr="0043589D" w14:paraId="7765F2D3" w14:textId="77777777" w:rsidTr="003C5F13">
        <w:trPr>
          <w:trHeight w:val="300"/>
        </w:trPr>
        <w:tc>
          <w:tcPr>
            <w:tcW w:w="1408" w:type="dxa"/>
            <w:vMerge/>
            <w:tcBorders>
              <w:top w:val="nil"/>
              <w:left w:val="single" w:sz="8" w:space="0" w:color="auto"/>
              <w:bottom w:val="single" w:sz="8" w:space="0" w:color="000000"/>
              <w:right w:val="single" w:sz="8" w:space="0" w:color="auto"/>
            </w:tcBorders>
            <w:vAlign w:val="center"/>
            <w:hideMark/>
          </w:tcPr>
          <w:p w14:paraId="4F3AFEE4" w14:textId="77777777" w:rsidR="00CA37AD" w:rsidRPr="0043589D" w:rsidRDefault="00CA37AD" w:rsidP="001E7124">
            <w:pPr>
              <w:spacing w:after="0"/>
              <w:jc w:val="left"/>
              <w:rPr>
                <w:rFonts w:ascii="Calibri" w:eastAsia="Times New Roman" w:hAnsi="Calibri" w:cs="Calibri"/>
                <w:color w:val="auto"/>
                <w:lang w:eastAsia="cs-CZ"/>
              </w:rPr>
            </w:pPr>
          </w:p>
        </w:tc>
        <w:tc>
          <w:tcPr>
            <w:tcW w:w="1134" w:type="dxa"/>
            <w:tcBorders>
              <w:top w:val="single" w:sz="4" w:space="0" w:color="auto"/>
              <w:left w:val="single" w:sz="8" w:space="0" w:color="auto"/>
              <w:bottom w:val="single" w:sz="4" w:space="0" w:color="auto"/>
              <w:right w:val="single" w:sz="4" w:space="0" w:color="auto"/>
            </w:tcBorders>
            <w:shd w:val="clear" w:color="000000" w:fill="C6EFCE"/>
            <w:hideMark/>
          </w:tcPr>
          <w:p w14:paraId="255161E6" w14:textId="77777777" w:rsidR="00CA37AD" w:rsidRPr="0043589D" w:rsidRDefault="00CA37AD" w:rsidP="001E7124">
            <w:pPr>
              <w:spacing w:after="0"/>
              <w:jc w:val="center"/>
              <w:rPr>
                <w:rFonts w:ascii="Calibri" w:eastAsia="Times New Roman" w:hAnsi="Calibri" w:cs="Calibri"/>
                <w:color w:val="006100"/>
                <w:lang w:eastAsia="cs-CZ"/>
              </w:rPr>
            </w:pPr>
            <w:r w:rsidRPr="0043589D">
              <w:rPr>
                <w:rFonts w:ascii="Calibri" w:eastAsia="Times New Roman" w:hAnsi="Calibri" w:cs="Calibri"/>
                <w:color w:val="006100"/>
                <w:lang w:eastAsia="cs-CZ"/>
              </w:rPr>
              <w:t>Doplňující</w:t>
            </w:r>
          </w:p>
        </w:tc>
        <w:tc>
          <w:tcPr>
            <w:tcW w:w="7087" w:type="dxa"/>
            <w:tcBorders>
              <w:top w:val="nil"/>
              <w:left w:val="nil"/>
              <w:bottom w:val="single" w:sz="4" w:space="0" w:color="auto"/>
              <w:right w:val="single" w:sz="4" w:space="0" w:color="auto"/>
            </w:tcBorders>
            <w:shd w:val="clear" w:color="auto" w:fill="auto"/>
            <w:vAlign w:val="center"/>
            <w:hideMark/>
          </w:tcPr>
          <w:p w14:paraId="3E256BB4"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Podíl energetiky na veřejných výdajích na výzkum a vývoj</w:t>
            </w:r>
          </w:p>
        </w:tc>
        <w:tc>
          <w:tcPr>
            <w:tcW w:w="1134" w:type="dxa"/>
            <w:tcBorders>
              <w:top w:val="nil"/>
              <w:left w:val="nil"/>
              <w:bottom w:val="single" w:sz="4" w:space="0" w:color="auto"/>
              <w:right w:val="single" w:sz="4" w:space="0" w:color="auto"/>
            </w:tcBorders>
            <w:shd w:val="clear" w:color="auto" w:fill="auto"/>
            <w:vAlign w:val="center"/>
            <w:hideMark/>
          </w:tcPr>
          <w:p w14:paraId="3CA1A63E"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w:t>
            </w:r>
          </w:p>
        </w:tc>
        <w:tc>
          <w:tcPr>
            <w:tcW w:w="1418" w:type="dxa"/>
            <w:tcBorders>
              <w:top w:val="nil"/>
              <w:left w:val="nil"/>
              <w:bottom w:val="single" w:sz="4" w:space="0" w:color="auto"/>
              <w:right w:val="single" w:sz="4" w:space="0" w:color="auto"/>
            </w:tcBorders>
            <w:shd w:val="clear" w:color="auto" w:fill="auto"/>
            <w:vAlign w:val="center"/>
            <w:hideMark/>
          </w:tcPr>
          <w:p w14:paraId="207367CD" w14:textId="77777777" w:rsidR="00CA37AD" w:rsidRPr="0043589D" w:rsidRDefault="00CA37AD"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4,6</w:t>
            </w:r>
          </w:p>
        </w:tc>
        <w:tc>
          <w:tcPr>
            <w:tcW w:w="850" w:type="dxa"/>
            <w:tcBorders>
              <w:top w:val="nil"/>
              <w:left w:val="nil"/>
              <w:bottom w:val="single" w:sz="4" w:space="0" w:color="auto"/>
              <w:right w:val="single" w:sz="4" w:space="0" w:color="auto"/>
            </w:tcBorders>
            <w:shd w:val="clear" w:color="auto" w:fill="auto"/>
            <w:vAlign w:val="center"/>
            <w:hideMark/>
          </w:tcPr>
          <w:p w14:paraId="0661DDB2"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2022</w:t>
            </w:r>
          </w:p>
        </w:tc>
        <w:tc>
          <w:tcPr>
            <w:tcW w:w="1519" w:type="dxa"/>
            <w:tcBorders>
              <w:top w:val="nil"/>
              <w:left w:val="nil"/>
              <w:bottom w:val="single" w:sz="4" w:space="0" w:color="auto"/>
              <w:right w:val="single" w:sz="8" w:space="0" w:color="auto"/>
            </w:tcBorders>
            <w:shd w:val="clear" w:color="auto" w:fill="auto"/>
            <w:hideMark/>
          </w:tcPr>
          <w:p w14:paraId="7382AE4F" w14:textId="77777777" w:rsidR="00CA37AD" w:rsidRPr="0043589D" w:rsidRDefault="00CA37AD" w:rsidP="001E7124">
            <w:pPr>
              <w:spacing w:after="0"/>
              <w:jc w:val="left"/>
              <w:rPr>
                <w:rFonts w:ascii="Calibri" w:eastAsia="Times New Roman" w:hAnsi="Calibri" w:cs="Calibri"/>
                <w:color w:val="auto"/>
                <w:u w:val="single"/>
                <w:lang w:eastAsia="cs-CZ"/>
              </w:rPr>
            </w:pPr>
            <w:r w:rsidRPr="0043589D">
              <w:rPr>
                <w:color w:val="auto"/>
              </w:rPr>
              <w:t>MPO a ČSÚ</w:t>
            </w:r>
          </w:p>
        </w:tc>
      </w:tr>
      <w:tr w:rsidR="00CA37AD" w:rsidRPr="0043589D" w14:paraId="3D46D523" w14:textId="77777777" w:rsidTr="003C5F13">
        <w:trPr>
          <w:trHeight w:val="300"/>
        </w:trPr>
        <w:tc>
          <w:tcPr>
            <w:tcW w:w="1408" w:type="dxa"/>
            <w:vMerge/>
            <w:tcBorders>
              <w:top w:val="nil"/>
              <w:left w:val="single" w:sz="8" w:space="0" w:color="auto"/>
              <w:bottom w:val="single" w:sz="8" w:space="0" w:color="000000"/>
              <w:right w:val="single" w:sz="8" w:space="0" w:color="auto"/>
            </w:tcBorders>
            <w:vAlign w:val="center"/>
            <w:hideMark/>
          </w:tcPr>
          <w:p w14:paraId="1D2178AC" w14:textId="77777777" w:rsidR="00CA37AD" w:rsidRPr="0043589D" w:rsidRDefault="00CA37AD" w:rsidP="001E7124">
            <w:pPr>
              <w:spacing w:after="0"/>
              <w:jc w:val="left"/>
              <w:rPr>
                <w:rFonts w:ascii="Calibri" w:eastAsia="Times New Roman" w:hAnsi="Calibri" w:cs="Calibri"/>
                <w:color w:val="auto"/>
                <w:lang w:eastAsia="cs-CZ"/>
              </w:rPr>
            </w:pPr>
          </w:p>
        </w:tc>
        <w:tc>
          <w:tcPr>
            <w:tcW w:w="1134" w:type="dxa"/>
            <w:tcBorders>
              <w:top w:val="single" w:sz="4" w:space="0" w:color="auto"/>
              <w:left w:val="single" w:sz="8" w:space="0" w:color="auto"/>
              <w:bottom w:val="single" w:sz="8" w:space="0" w:color="auto"/>
              <w:right w:val="single" w:sz="4" w:space="0" w:color="auto"/>
            </w:tcBorders>
            <w:shd w:val="clear" w:color="000000" w:fill="C6EFCE"/>
            <w:hideMark/>
          </w:tcPr>
          <w:p w14:paraId="281F273E" w14:textId="77777777" w:rsidR="00CA37AD" w:rsidRPr="0043589D" w:rsidRDefault="00CA37AD" w:rsidP="001E7124">
            <w:pPr>
              <w:spacing w:after="0"/>
              <w:jc w:val="center"/>
              <w:rPr>
                <w:rFonts w:ascii="Calibri" w:eastAsia="Times New Roman" w:hAnsi="Calibri" w:cs="Calibri"/>
                <w:color w:val="006100"/>
                <w:lang w:eastAsia="cs-CZ"/>
              </w:rPr>
            </w:pPr>
            <w:r w:rsidRPr="0043589D">
              <w:rPr>
                <w:rFonts w:ascii="Calibri" w:eastAsia="Times New Roman" w:hAnsi="Calibri" w:cs="Calibri"/>
                <w:color w:val="006100"/>
                <w:lang w:eastAsia="cs-CZ"/>
              </w:rPr>
              <w:t>Doplňující</w:t>
            </w:r>
          </w:p>
        </w:tc>
        <w:tc>
          <w:tcPr>
            <w:tcW w:w="7087" w:type="dxa"/>
            <w:tcBorders>
              <w:top w:val="nil"/>
              <w:left w:val="nil"/>
              <w:bottom w:val="single" w:sz="8" w:space="0" w:color="auto"/>
              <w:right w:val="single" w:sz="4" w:space="0" w:color="auto"/>
            </w:tcBorders>
            <w:shd w:val="clear" w:color="auto" w:fill="auto"/>
            <w:vAlign w:val="center"/>
            <w:hideMark/>
          </w:tcPr>
          <w:p w14:paraId="4E31374F"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Podíl obnovitelných zdrojů energie na hrubé konečné spotřebě energie</w:t>
            </w:r>
          </w:p>
        </w:tc>
        <w:tc>
          <w:tcPr>
            <w:tcW w:w="1134" w:type="dxa"/>
            <w:tcBorders>
              <w:top w:val="nil"/>
              <w:left w:val="nil"/>
              <w:bottom w:val="single" w:sz="8" w:space="0" w:color="auto"/>
              <w:right w:val="single" w:sz="4" w:space="0" w:color="auto"/>
            </w:tcBorders>
            <w:shd w:val="clear" w:color="auto" w:fill="auto"/>
            <w:vAlign w:val="center"/>
            <w:hideMark/>
          </w:tcPr>
          <w:p w14:paraId="5123BDF8"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w:t>
            </w:r>
          </w:p>
        </w:tc>
        <w:tc>
          <w:tcPr>
            <w:tcW w:w="1418" w:type="dxa"/>
            <w:tcBorders>
              <w:top w:val="nil"/>
              <w:left w:val="nil"/>
              <w:bottom w:val="single" w:sz="8" w:space="0" w:color="auto"/>
              <w:right w:val="single" w:sz="4" w:space="0" w:color="auto"/>
            </w:tcBorders>
            <w:shd w:val="clear" w:color="auto" w:fill="auto"/>
            <w:vAlign w:val="center"/>
            <w:hideMark/>
          </w:tcPr>
          <w:p w14:paraId="633BBEFD" w14:textId="77777777" w:rsidR="00CA37AD" w:rsidRPr="0043589D" w:rsidRDefault="00CA37AD"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18,2</w:t>
            </w:r>
          </w:p>
        </w:tc>
        <w:tc>
          <w:tcPr>
            <w:tcW w:w="850" w:type="dxa"/>
            <w:tcBorders>
              <w:top w:val="nil"/>
              <w:left w:val="nil"/>
              <w:bottom w:val="single" w:sz="8" w:space="0" w:color="auto"/>
              <w:right w:val="single" w:sz="4" w:space="0" w:color="auto"/>
            </w:tcBorders>
            <w:shd w:val="clear" w:color="auto" w:fill="auto"/>
            <w:vAlign w:val="center"/>
            <w:hideMark/>
          </w:tcPr>
          <w:p w14:paraId="061ADF55"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2022</w:t>
            </w:r>
          </w:p>
        </w:tc>
        <w:tc>
          <w:tcPr>
            <w:tcW w:w="1519" w:type="dxa"/>
            <w:tcBorders>
              <w:top w:val="nil"/>
              <w:left w:val="nil"/>
              <w:bottom w:val="single" w:sz="8" w:space="0" w:color="auto"/>
              <w:right w:val="single" w:sz="8" w:space="0" w:color="auto"/>
            </w:tcBorders>
            <w:shd w:val="clear" w:color="auto" w:fill="auto"/>
            <w:hideMark/>
          </w:tcPr>
          <w:p w14:paraId="4FF6772D" w14:textId="77777777" w:rsidR="00CA37AD" w:rsidRPr="0043589D" w:rsidRDefault="00CA37AD" w:rsidP="001E7124">
            <w:pPr>
              <w:spacing w:after="0"/>
              <w:jc w:val="left"/>
              <w:rPr>
                <w:rFonts w:ascii="Calibri" w:eastAsia="Times New Roman" w:hAnsi="Calibri" w:cs="Calibri"/>
                <w:color w:val="auto"/>
                <w:u w:val="single"/>
                <w:lang w:eastAsia="cs-CZ"/>
              </w:rPr>
            </w:pPr>
            <w:r w:rsidRPr="0043589D">
              <w:rPr>
                <w:color w:val="auto"/>
              </w:rPr>
              <w:t>Eurostat</w:t>
            </w:r>
          </w:p>
        </w:tc>
      </w:tr>
      <w:tr w:rsidR="00CA37AD" w:rsidRPr="0043589D" w14:paraId="7C271B17" w14:textId="77777777" w:rsidTr="003C5F13">
        <w:trPr>
          <w:trHeight w:val="300"/>
        </w:trPr>
        <w:tc>
          <w:tcPr>
            <w:tcW w:w="1408" w:type="dxa"/>
            <w:vMerge w:val="restart"/>
            <w:tcBorders>
              <w:top w:val="nil"/>
              <w:left w:val="single" w:sz="8" w:space="0" w:color="auto"/>
              <w:bottom w:val="single" w:sz="8" w:space="0" w:color="000000"/>
              <w:right w:val="single" w:sz="8" w:space="0" w:color="auto"/>
            </w:tcBorders>
            <w:shd w:val="clear" w:color="auto" w:fill="auto"/>
            <w:vAlign w:val="center"/>
            <w:hideMark/>
          </w:tcPr>
          <w:p w14:paraId="616B66BF" w14:textId="77777777" w:rsidR="00CA37AD" w:rsidRPr="0043589D" w:rsidRDefault="00CA37AD" w:rsidP="001E7124">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lastRenderedPageBreak/>
              <w:t>2.2 Dopravní infrastruktura</w:t>
            </w:r>
          </w:p>
        </w:tc>
        <w:tc>
          <w:tcPr>
            <w:tcW w:w="1134" w:type="dxa"/>
            <w:tcBorders>
              <w:top w:val="nil"/>
              <w:left w:val="nil"/>
              <w:bottom w:val="single" w:sz="4" w:space="0" w:color="auto"/>
              <w:right w:val="single" w:sz="4" w:space="0" w:color="auto"/>
            </w:tcBorders>
            <w:shd w:val="clear" w:color="000000" w:fill="FFC7CE"/>
            <w:hideMark/>
          </w:tcPr>
          <w:p w14:paraId="70518EB7" w14:textId="77777777" w:rsidR="00CA37AD" w:rsidRPr="0043589D" w:rsidRDefault="00CA37AD" w:rsidP="001E7124">
            <w:pPr>
              <w:spacing w:after="0"/>
              <w:jc w:val="center"/>
              <w:rPr>
                <w:rFonts w:ascii="Calibri" w:eastAsia="Times New Roman" w:hAnsi="Calibri" w:cs="Calibri"/>
                <w:color w:val="9C0006"/>
                <w:lang w:eastAsia="cs-CZ"/>
              </w:rPr>
            </w:pPr>
            <w:r w:rsidRPr="0043589D">
              <w:rPr>
                <w:rFonts w:ascii="Calibri" w:eastAsia="Times New Roman" w:hAnsi="Calibri" w:cs="Calibri"/>
                <w:color w:val="9C0006"/>
                <w:lang w:eastAsia="cs-CZ"/>
              </w:rPr>
              <w:t>Strategický</w:t>
            </w:r>
          </w:p>
        </w:tc>
        <w:tc>
          <w:tcPr>
            <w:tcW w:w="7087" w:type="dxa"/>
            <w:tcBorders>
              <w:top w:val="nil"/>
              <w:left w:val="nil"/>
              <w:bottom w:val="single" w:sz="4" w:space="0" w:color="auto"/>
              <w:right w:val="single" w:sz="4" w:space="0" w:color="auto"/>
            </w:tcBorders>
            <w:shd w:val="clear" w:color="auto" w:fill="auto"/>
            <w:hideMark/>
          </w:tcPr>
          <w:p w14:paraId="03DD00D0"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Silniční doprava – kapacita (dálniční sítě)</w:t>
            </w:r>
          </w:p>
        </w:tc>
        <w:tc>
          <w:tcPr>
            <w:tcW w:w="1134" w:type="dxa"/>
            <w:tcBorders>
              <w:top w:val="nil"/>
              <w:left w:val="nil"/>
              <w:bottom w:val="single" w:sz="4" w:space="0" w:color="auto"/>
              <w:right w:val="single" w:sz="4" w:space="0" w:color="auto"/>
            </w:tcBorders>
            <w:shd w:val="clear" w:color="auto" w:fill="auto"/>
            <w:hideMark/>
          </w:tcPr>
          <w:p w14:paraId="5074E8A1"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km</w:t>
            </w:r>
          </w:p>
        </w:tc>
        <w:tc>
          <w:tcPr>
            <w:tcW w:w="1418" w:type="dxa"/>
            <w:tcBorders>
              <w:top w:val="nil"/>
              <w:left w:val="nil"/>
              <w:bottom w:val="single" w:sz="4" w:space="0" w:color="auto"/>
              <w:right w:val="single" w:sz="4" w:space="0" w:color="auto"/>
            </w:tcBorders>
            <w:shd w:val="clear" w:color="auto" w:fill="auto"/>
            <w:hideMark/>
          </w:tcPr>
          <w:p w14:paraId="300D43C1" w14:textId="77777777" w:rsidR="00CA37AD" w:rsidRPr="0043589D" w:rsidRDefault="00CA37AD"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1 363</w:t>
            </w:r>
          </w:p>
        </w:tc>
        <w:tc>
          <w:tcPr>
            <w:tcW w:w="850" w:type="dxa"/>
            <w:tcBorders>
              <w:top w:val="nil"/>
              <w:left w:val="nil"/>
              <w:bottom w:val="single" w:sz="4" w:space="0" w:color="auto"/>
              <w:right w:val="single" w:sz="4" w:space="0" w:color="auto"/>
            </w:tcBorders>
            <w:shd w:val="clear" w:color="auto" w:fill="auto"/>
            <w:hideMark/>
          </w:tcPr>
          <w:p w14:paraId="07ECFFBC"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2022</w:t>
            </w:r>
          </w:p>
        </w:tc>
        <w:tc>
          <w:tcPr>
            <w:tcW w:w="1519" w:type="dxa"/>
            <w:tcBorders>
              <w:top w:val="nil"/>
              <w:left w:val="nil"/>
              <w:bottom w:val="single" w:sz="4" w:space="0" w:color="auto"/>
              <w:right w:val="single" w:sz="8" w:space="0" w:color="auto"/>
            </w:tcBorders>
            <w:shd w:val="clear" w:color="auto" w:fill="auto"/>
            <w:hideMark/>
          </w:tcPr>
          <w:p w14:paraId="2A1B80C0" w14:textId="77777777" w:rsidR="00CA37AD" w:rsidRPr="0043589D" w:rsidRDefault="00CA37AD" w:rsidP="001E7124">
            <w:pPr>
              <w:spacing w:after="0"/>
              <w:jc w:val="left"/>
              <w:rPr>
                <w:rFonts w:ascii="Calibri" w:eastAsia="Times New Roman" w:hAnsi="Calibri" w:cs="Calibri"/>
                <w:color w:val="auto"/>
                <w:u w:val="single"/>
                <w:lang w:eastAsia="cs-CZ"/>
              </w:rPr>
            </w:pPr>
            <w:r w:rsidRPr="0043589D">
              <w:rPr>
                <w:color w:val="auto"/>
              </w:rPr>
              <w:t>Eurostat</w:t>
            </w:r>
          </w:p>
        </w:tc>
      </w:tr>
      <w:tr w:rsidR="00CA37AD" w:rsidRPr="0043589D" w14:paraId="6B585F00" w14:textId="77777777" w:rsidTr="003C5F13">
        <w:trPr>
          <w:trHeight w:val="300"/>
        </w:trPr>
        <w:tc>
          <w:tcPr>
            <w:tcW w:w="1408" w:type="dxa"/>
            <w:vMerge/>
            <w:tcBorders>
              <w:top w:val="nil"/>
              <w:left w:val="single" w:sz="8" w:space="0" w:color="auto"/>
              <w:bottom w:val="single" w:sz="8" w:space="0" w:color="000000"/>
              <w:right w:val="single" w:sz="8" w:space="0" w:color="auto"/>
            </w:tcBorders>
            <w:vAlign w:val="center"/>
            <w:hideMark/>
          </w:tcPr>
          <w:p w14:paraId="03473D4A" w14:textId="77777777" w:rsidR="00CA37AD" w:rsidRPr="0043589D" w:rsidRDefault="00CA37AD" w:rsidP="001E7124">
            <w:pPr>
              <w:spacing w:after="0"/>
              <w:jc w:val="left"/>
              <w:rPr>
                <w:rFonts w:ascii="Calibri" w:eastAsia="Times New Roman" w:hAnsi="Calibri" w:cs="Calibri"/>
                <w:color w:val="auto"/>
                <w:lang w:eastAsia="cs-CZ"/>
              </w:rPr>
            </w:pPr>
          </w:p>
        </w:tc>
        <w:tc>
          <w:tcPr>
            <w:tcW w:w="1134" w:type="dxa"/>
            <w:tcBorders>
              <w:top w:val="nil"/>
              <w:left w:val="nil"/>
              <w:bottom w:val="single" w:sz="4" w:space="0" w:color="auto"/>
              <w:right w:val="single" w:sz="4" w:space="0" w:color="auto"/>
            </w:tcBorders>
            <w:shd w:val="clear" w:color="000000" w:fill="FFC7CE"/>
            <w:hideMark/>
          </w:tcPr>
          <w:p w14:paraId="5F070424" w14:textId="77777777" w:rsidR="00CA37AD" w:rsidRPr="0043589D" w:rsidRDefault="00CA37AD" w:rsidP="001E7124">
            <w:pPr>
              <w:spacing w:after="0"/>
              <w:jc w:val="center"/>
              <w:rPr>
                <w:rFonts w:ascii="Calibri" w:eastAsia="Times New Roman" w:hAnsi="Calibri" w:cs="Calibri"/>
                <w:color w:val="9C0006"/>
                <w:lang w:eastAsia="cs-CZ"/>
              </w:rPr>
            </w:pPr>
            <w:r w:rsidRPr="0043589D">
              <w:rPr>
                <w:rFonts w:ascii="Calibri" w:eastAsia="Times New Roman" w:hAnsi="Calibri" w:cs="Calibri"/>
                <w:color w:val="9C0006"/>
                <w:lang w:eastAsia="cs-CZ"/>
              </w:rPr>
              <w:t>Strategický</w:t>
            </w:r>
          </w:p>
        </w:tc>
        <w:tc>
          <w:tcPr>
            <w:tcW w:w="7087" w:type="dxa"/>
            <w:tcBorders>
              <w:top w:val="nil"/>
              <w:left w:val="nil"/>
              <w:bottom w:val="single" w:sz="4" w:space="0" w:color="auto"/>
              <w:right w:val="single" w:sz="4" w:space="0" w:color="auto"/>
            </w:tcBorders>
            <w:shd w:val="clear" w:color="auto" w:fill="auto"/>
            <w:hideMark/>
          </w:tcPr>
          <w:p w14:paraId="2B36C521"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Železniční doprava – kapacita VRT</w:t>
            </w:r>
          </w:p>
        </w:tc>
        <w:tc>
          <w:tcPr>
            <w:tcW w:w="1134" w:type="dxa"/>
            <w:tcBorders>
              <w:top w:val="nil"/>
              <w:left w:val="nil"/>
              <w:bottom w:val="single" w:sz="4" w:space="0" w:color="auto"/>
              <w:right w:val="single" w:sz="4" w:space="0" w:color="auto"/>
            </w:tcBorders>
            <w:shd w:val="clear" w:color="auto" w:fill="auto"/>
            <w:hideMark/>
          </w:tcPr>
          <w:p w14:paraId="6F354A9E"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km</w:t>
            </w:r>
          </w:p>
        </w:tc>
        <w:tc>
          <w:tcPr>
            <w:tcW w:w="1418" w:type="dxa"/>
            <w:tcBorders>
              <w:top w:val="nil"/>
              <w:left w:val="nil"/>
              <w:bottom w:val="single" w:sz="4" w:space="0" w:color="auto"/>
              <w:right w:val="single" w:sz="4" w:space="0" w:color="auto"/>
            </w:tcBorders>
            <w:shd w:val="clear" w:color="auto" w:fill="auto"/>
            <w:hideMark/>
          </w:tcPr>
          <w:p w14:paraId="6A7C821D" w14:textId="77777777" w:rsidR="00CA37AD" w:rsidRPr="0043589D" w:rsidRDefault="00CA37AD"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0</w:t>
            </w:r>
          </w:p>
        </w:tc>
        <w:tc>
          <w:tcPr>
            <w:tcW w:w="850" w:type="dxa"/>
            <w:tcBorders>
              <w:top w:val="nil"/>
              <w:left w:val="nil"/>
              <w:bottom w:val="single" w:sz="4" w:space="0" w:color="auto"/>
              <w:right w:val="single" w:sz="4" w:space="0" w:color="auto"/>
            </w:tcBorders>
            <w:shd w:val="clear" w:color="auto" w:fill="auto"/>
            <w:hideMark/>
          </w:tcPr>
          <w:p w14:paraId="45986FF9"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2022</w:t>
            </w:r>
          </w:p>
        </w:tc>
        <w:tc>
          <w:tcPr>
            <w:tcW w:w="1519" w:type="dxa"/>
            <w:tcBorders>
              <w:top w:val="nil"/>
              <w:left w:val="nil"/>
              <w:bottom w:val="single" w:sz="4" w:space="0" w:color="auto"/>
              <w:right w:val="single" w:sz="8" w:space="0" w:color="auto"/>
            </w:tcBorders>
            <w:shd w:val="clear" w:color="auto" w:fill="auto"/>
            <w:hideMark/>
          </w:tcPr>
          <w:p w14:paraId="040C6A58" w14:textId="77777777" w:rsidR="00CA37AD" w:rsidRPr="0043589D" w:rsidRDefault="00CA37AD" w:rsidP="001E7124">
            <w:pPr>
              <w:spacing w:after="0"/>
              <w:jc w:val="left"/>
              <w:rPr>
                <w:rFonts w:ascii="Calibri" w:eastAsia="Times New Roman" w:hAnsi="Calibri" w:cs="Calibri"/>
                <w:color w:val="auto"/>
                <w:u w:val="single"/>
                <w:lang w:eastAsia="cs-CZ"/>
              </w:rPr>
            </w:pPr>
            <w:r w:rsidRPr="0043589D">
              <w:rPr>
                <w:color w:val="auto"/>
              </w:rPr>
              <w:t>Eurostat</w:t>
            </w:r>
          </w:p>
        </w:tc>
      </w:tr>
      <w:tr w:rsidR="00CA37AD" w:rsidRPr="0043589D" w14:paraId="69A78E81" w14:textId="77777777" w:rsidTr="003C5F13">
        <w:trPr>
          <w:trHeight w:val="300"/>
        </w:trPr>
        <w:tc>
          <w:tcPr>
            <w:tcW w:w="1408" w:type="dxa"/>
            <w:vMerge/>
            <w:tcBorders>
              <w:top w:val="nil"/>
              <w:left w:val="single" w:sz="8" w:space="0" w:color="auto"/>
              <w:bottom w:val="single" w:sz="8" w:space="0" w:color="000000"/>
              <w:right w:val="single" w:sz="8" w:space="0" w:color="auto"/>
            </w:tcBorders>
            <w:vAlign w:val="center"/>
            <w:hideMark/>
          </w:tcPr>
          <w:p w14:paraId="38416335" w14:textId="77777777" w:rsidR="00CA37AD" w:rsidRPr="0043589D" w:rsidRDefault="00CA37AD" w:rsidP="001E7124">
            <w:pPr>
              <w:spacing w:after="0"/>
              <w:jc w:val="left"/>
              <w:rPr>
                <w:rFonts w:ascii="Calibri" w:eastAsia="Times New Roman" w:hAnsi="Calibri" w:cs="Calibri"/>
                <w:color w:val="auto"/>
                <w:lang w:eastAsia="cs-CZ"/>
              </w:rPr>
            </w:pPr>
          </w:p>
        </w:tc>
        <w:tc>
          <w:tcPr>
            <w:tcW w:w="1134" w:type="dxa"/>
            <w:tcBorders>
              <w:top w:val="nil"/>
              <w:left w:val="nil"/>
              <w:bottom w:val="nil"/>
              <w:right w:val="single" w:sz="4" w:space="0" w:color="auto"/>
            </w:tcBorders>
            <w:shd w:val="clear" w:color="000000" w:fill="FFC7CE"/>
            <w:hideMark/>
          </w:tcPr>
          <w:p w14:paraId="3F87CAC9" w14:textId="77777777" w:rsidR="00CA37AD" w:rsidRPr="0043589D" w:rsidRDefault="00CA37AD" w:rsidP="001E7124">
            <w:pPr>
              <w:spacing w:after="0"/>
              <w:jc w:val="center"/>
              <w:rPr>
                <w:rFonts w:ascii="Calibri" w:eastAsia="Times New Roman" w:hAnsi="Calibri" w:cs="Calibri"/>
                <w:color w:val="9C0006"/>
                <w:lang w:eastAsia="cs-CZ"/>
              </w:rPr>
            </w:pPr>
            <w:r w:rsidRPr="0043589D">
              <w:rPr>
                <w:rFonts w:ascii="Calibri" w:eastAsia="Times New Roman" w:hAnsi="Calibri" w:cs="Calibri"/>
                <w:color w:val="9C0006"/>
                <w:lang w:eastAsia="cs-CZ"/>
              </w:rPr>
              <w:t>Strategický</w:t>
            </w:r>
          </w:p>
        </w:tc>
        <w:tc>
          <w:tcPr>
            <w:tcW w:w="7087" w:type="dxa"/>
            <w:tcBorders>
              <w:top w:val="nil"/>
              <w:left w:val="nil"/>
              <w:bottom w:val="nil"/>
              <w:right w:val="single" w:sz="4" w:space="0" w:color="auto"/>
            </w:tcBorders>
            <w:shd w:val="clear" w:color="auto" w:fill="auto"/>
            <w:hideMark/>
          </w:tcPr>
          <w:p w14:paraId="577B5563"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Počty nabíjecích stanic</w:t>
            </w:r>
          </w:p>
        </w:tc>
        <w:tc>
          <w:tcPr>
            <w:tcW w:w="1134" w:type="dxa"/>
            <w:tcBorders>
              <w:top w:val="nil"/>
              <w:left w:val="nil"/>
              <w:bottom w:val="nil"/>
              <w:right w:val="single" w:sz="4" w:space="0" w:color="auto"/>
            </w:tcBorders>
            <w:shd w:val="clear" w:color="auto" w:fill="auto"/>
            <w:hideMark/>
          </w:tcPr>
          <w:p w14:paraId="3187A509"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počet</w:t>
            </w:r>
          </w:p>
        </w:tc>
        <w:tc>
          <w:tcPr>
            <w:tcW w:w="1418" w:type="dxa"/>
            <w:tcBorders>
              <w:top w:val="nil"/>
              <w:left w:val="nil"/>
              <w:bottom w:val="nil"/>
              <w:right w:val="single" w:sz="4" w:space="0" w:color="auto"/>
            </w:tcBorders>
            <w:shd w:val="clear" w:color="auto" w:fill="auto"/>
            <w:hideMark/>
          </w:tcPr>
          <w:p w14:paraId="3BD31D97" w14:textId="77777777" w:rsidR="00CA37AD" w:rsidRPr="0043589D" w:rsidRDefault="00CA37AD"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2 392</w:t>
            </w:r>
          </w:p>
        </w:tc>
        <w:tc>
          <w:tcPr>
            <w:tcW w:w="850" w:type="dxa"/>
            <w:tcBorders>
              <w:top w:val="nil"/>
              <w:left w:val="nil"/>
              <w:bottom w:val="nil"/>
              <w:right w:val="single" w:sz="4" w:space="0" w:color="auto"/>
            </w:tcBorders>
            <w:shd w:val="clear" w:color="auto" w:fill="auto"/>
            <w:hideMark/>
          </w:tcPr>
          <w:p w14:paraId="2D230319"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2024</w:t>
            </w:r>
          </w:p>
        </w:tc>
        <w:tc>
          <w:tcPr>
            <w:tcW w:w="1519" w:type="dxa"/>
            <w:tcBorders>
              <w:top w:val="nil"/>
              <w:left w:val="nil"/>
              <w:bottom w:val="nil"/>
              <w:right w:val="single" w:sz="8" w:space="0" w:color="auto"/>
            </w:tcBorders>
            <w:shd w:val="clear" w:color="auto" w:fill="auto"/>
            <w:hideMark/>
          </w:tcPr>
          <w:p w14:paraId="333A965F" w14:textId="77777777" w:rsidR="00CA37AD" w:rsidRPr="0043589D" w:rsidRDefault="00CA37AD" w:rsidP="001E7124">
            <w:pPr>
              <w:spacing w:after="0"/>
              <w:jc w:val="left"/>
              <w:rPr>
                <w:rFonts w:ascii="Calibri" w:eastAsia="Times New Roman" w:hAnsi="Calibri" w:cs="Calibri"/>
                <w:color w:val="auto"/>
                <w:u w:val="single"/>
                <w:lang w:eastAsia="cs-CZ"/>
              </w:rPr>
            </w:pPr>
            <w:r w:rsidRPr="0043589D">
              <w:rPr>
                <w:color w:val="auto"/>
              </w:rPr>
              <w:t>MPO</w:t>
            </w:r>
          </w:p>
        </w:tc>
      </w:tr>
      <w:tr w:rsidR="00CA37AD" w:rsidRPr="0043589D" w14:paraId="5296FCF2" w14:textId="77777777" w:rsidTr="003C5F13">
        <w:trPr>
          <w:trHeight w:val="300"/>
        </w:trPr>
        <w:tc>
          <w:tcPr>
            <w:tcW w:w="1408" w:type="dxa"/>
            <w:vMerge/>
            <w:tcBorders>
              <w:top w:val="nil"/>
              <w:left w:val="single" w:sz="8" w:space="0" w:color="auto"/>
              <w:bottom w:val="single" w:sz="8" w:space="0" w:color="000000"/>
              <w:right w:val="single" w:sz="8" w:space="0" w:color="auto"/>
            </w:tcBorders>
            <w:vAlign w:val="center"/>
            <w:hideMark/>
          </w:tcPr>
          <w:p w14:paraId="5C12DC74" w14:textId="77777777" w:rsidR="00CA37AD" w:rsidRPr="0043589D" w:rsidRDefault="00CA37AD" w:rsidP="001E7124">
            <w:pPr>
              <w:spacing w:after="0"/>
              <w:jc w:val="left"/>
              <w:rPr>
                <w:rFonts w:ascii="Calibri" w:eastAsia="Times New Roman" w:hAnsi="Calibri" w:cs="Calibri"/>
                <w:color w:val="auto"/>
                <w:lang w:eastAsia="cs-CZ"/>
              </w:rPr>
            </w:pPr>
          </w:p>
        </w:tc>
        <w:tc>
          <w:tcPr>
            <w:tcW w:w="1134" w:type="dxa"/>
            <w:tcBorders>
              <w:top w:val="single" w:sz="4" w:space="0" w:color="auto"/>
              <w:left w:val="single" w:sz="8" w:space="0" w:color="auto"/>
              <w:bottom w:val="single" w:sz="4" w:space="0" w:color="auto"/>
              <w:right w:val="single" w:sz="4" w:space="0" w:color="auto"/>
            </w:tcBorders>
            <w:shd w:val="clear" w:color="000000" w:fill="C6EFCE"/>
            <w:hideMark/>
          </w:tcPr>
          <w:p w14:paraId="5AA03611" w14:textId="77777777" w:rsidR="00CA37AD" w:rsidRPr="0043589D" w:rsidRDefault="00CA37AD" w:rsidP="001E7124">
            <w:pPr>
              <w:spacing w:after="0"/>
              <w:jc w:val="center"/>
              <w:rPr>
                <w:rFonts w:ascii="Calibri" w:eastAsia="Times New Roman" w:hAnsi="Calibri" w:cs="Calibri"/>
                <w:color w:val="006100"/>
                <w:lang w:eastAsia="cs-CZ"/>
              </w:rPr>
            </w:pPr>
            <w:r w:rsidRPr="0043589D">
              <w:rPr>
                <w:rFonts w:ascii="Calibri" w:eastAsia="Times New Roman" w:hAnsi="Calibri" w:cs="Calibri"/>
                <w:color w:val="006100"/>
                <w:lang w:eastAsia="cs-CZ"/>
              </w:rPr>
              <w:t>Doplňující</w:t>
            </w:r>
          </w:p>
        </w:tc>
        <w:tc>
          <w:tcPr>
            <w:tcW w:w="7087" w:type="dxa"/>
            <w:tcBorders>
              <w:top w:val="single" w:sz="4" w:space="0" w:color="auto"/>
              <w:left w:val="nil"/>
              <w:bottom w:val="single" w:sz="4" w:space="0" w:color="auto"/>
              <w:right w:val="single" w:sz="4" w:space="0" w:color="auto"/>
            </w:tcBorders>
            <w:shd w:val="clear" w:color="auto" w:fill="auto"/>
            <w:hideMark/>
          </w:tcPr>
          <w:p w14:paraId="4F47018B"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Silniční doprava – počet smrtelných nehod na počet obyvatel (bezpečnost)</w:t>
            </w:r>
          </w:p>
        </w:tc>
        <w:tc>
          <w:tcPr>
            <w:tcW w:w="1134" w:type="dxa"/>
            <w:tcBorders>
              <w:top w:val="single" w:sz="4" w:space="0" w:color="auto"/>
              <w:left w:val="nil"/>
              <w:bottom w:val="single" w:sz="4" w:space="0" w:color="auto"/>
              <w:right w:val="single" w:sz="4" w:space="0" w:color="auto"/>
            </w:tcBorders>
            <w:shd w:val="clear" w:color="auto" w:fill="auto"/>
            <w:hideMark/>
          </w:tcPr>
          <w:p w14:paraId="72130364"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w:t>
            </w:r>
          </w:p>
        </w:tc>
        <w:tc>
          <w:tcPr>
            <w:tcW w:w="1418" w:type="dxa"/>
            <w:tcBorders>
              <w:top w:val="single" w:sz="4" w:space="0" w:color="auto"/>
              <w:left w:val="nil"/>
              <w:bottom w:val="single" w:sz="4" w:space="0" w:color="auto"/>
              <w:right w:val="single" w:sz="4" w:space="0" w:color="auto"/>
            </w:tcBorders>
            <w:shd w:val="clear" w:color="auto" w:fill="auto"/>
            <w:hideMark/>
          </w:tcPr>
          <w:p w14:paraId="5E76019F" w14:textId="77777777" w:rsidR="00CA37AD" w:rsidRPr="0043589D" w:rsidRDefault="00CA37AD"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0,005</w:t>
            </w:r>
          </w:p>
        </w:tc>
        <w:tc>
          <w:tcPr>
            <w:tcW w:w="850" w:type="dxa"/>
            <w:tcBorders>
              <w:top w:val="single" w:sz="4" w:space="0" w:color="auto"/>
              <w:left w:val="nil"/>
              <w:bottom w:val="single" w:sz="4" w:space="0" w:color="auto"/>
              <w:right w:val="single" w:sz="4" w:space="0" w:color="auto"/>
            </w:tcBorders>
            <w:shd w:val="clear" w:color="auto" w:fill="auto"/>
            <w:hideMark/>
          </w:tcPr>
          <w:p w14:paraId="702918FC"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2022</w:t>
            </w:r>
          </w:p>
        </w:tc>
        <w:tc>
          <w:tcPr>
            <w:tcW w:w="1519" w:type="dxa"/>
            <w:tcBorders>
              <w:top w:val="single" w:sz="4" w:space="0" w:color="auto"/>
              <w:left w:val="nil"/>
              <w:bottom w:val="single" w:sz="4" w:space="0" w:color="auto"/>
              <w:right w:val="single" w:sz="8" w:space="0" w:color="auto"/>
            </w:tcBorders>
            <w:shd w:val="clear" w:color="auto" w:fill="auto"/>
            <w:hideMark/>
          </w:tcPr>
          <w:p w14:paraId="73B06EC9" w14:textId="77777777" w:rsidR="00CA37AD" w:rsidRPr="0043589D" w:rsidRDefault="00CA37AD" w:rsidP="001E7124">
            <w:pPr>
              <w:spacing w:after="0"/>
              <w:jc w:val="left"/>
              <w:rPr>
                <w:rFonts w:ascii="Calibri" w:eastAsia="Times New Roman" w:hAnsi="Calibri" w:cs="Calibri"/>
                <w:color w:val="auto"/>
                <w:u w:val="single"/>
                <w:lang w:eastAsia="cs-CZ"/>
              </w:rPr>
            </w:pPr>
            <w:r w:rsidRPr="0043589D">
              <w:rPr>
                <w:color w:val="auto"/>
              </w:rPr>
              <w:t>Eurostat</w:t>
            </w:r>
          </w:p>
        </w:tc>
      </w:tr>
      <w:tr w:rsidR="00CA37AD" w:rsidRPr="0043589D" w14:paraId="16450BC7" w14:textId="77777777" w:rsidTr="003C5F13">
        <w:trPr>
          <w:trHeight w:val="300"/>
        </w:trPr>
        <w:tc>
          <w:tcPr>
            <w:tcW w:w="1408" w:type="dxa"/>
            <w:vMerge/>
            <w:tcBorders>
              <w:top w:val="nil"/>
              <w:left w:val="single" w:sz="8" w:space="0" w:color="auto"/>
              <w:bottom w:val="single" w:sz="8" w:space="0" w:color="000000"/>
              <w:right w:val="single" w:sz="8" w:space="0" w:color="auto"/>
            </w:tcBorders>
            <w:vAlign w:val="center"/>
            <w:hideMark/>
          </w:tcPr>
          <w:p w14:paraId="0572A75C" w14:textId="77777777" w:rsidR="00CA37AD" w:rsidRPr="0043589D" w:rsidRDefault="00CA37AD" w:rsidP="001E7124">
            <w:pPr>
              <w:spacing w:after="0"/>
              <w:jc w:val="left"/>
              <w:rPr>
                <w:rFonts w:ascii="Calibri" w:eastAsia="Times New Roman" w:hAnsi="Calibri" w:cs="Calibri"/>
                <w:color w:val="auto"/>
                <w:lang w:eastAsia="cs-CZ"/>
              </w:rPr>
            </w:pPr>
          </w:p>
        </w:tc>
        <w:tc>
          <w:tcPr>
            <w:tcW w:w="1134" w:type="dxa"/>
            <w:tcBorders>
              <w:top w:val="single" w:sz="4" w:space="0" w:color="auto"/>
              <w:left w:val="single" w:sz="8" w:space="0" w:color="auto"/>
              <w:bottom w:val="single" w:sz="4" w:space="0" w:color="auto"/>
              <w:right w:val="single" w:sz="4" w:space="0" w:color="auto"/>
            </w:tcBorders>
            <w:shd w:val="clear" w:color="000000" w:fill="C6EFCE"/>
            <w:hideMark/>
          </w:tcPr>
          <w:p w14:paraId="1A8B26ED" w14:textId="77777777" w:rsidR="00CA37AD" w:rsidRPr="0043589D" w:rsidRDefault="00CA37AD" w:rsidP="001E7124">
            <w:pPr>
              <w:spacing w:after="0"/>
              <w:jc w:val="center"/>
              <w:rPr>
                <w:rFonts w:ascii="Calibri" w:eastAsia="Times New Roman" w:hAnsi="Calibri" w:cs="Calibri"/>
                <w:color w:val="006100"/>
                <w:lang w:eastAsia="cs-CZ"/>
              </w:rPr>
            </w:pPr>
            <w:r w:rsidRPr="0043589D">
              <w:rPr>
                <w:rFonts w:ascii="Calibri" w:eastAsia="Times New Roman" w:hAnsi="Calibri" w:cs="Calibri"/>
                <w:color w:val="006100"/>
                <w:lang w:eastAsia="cs-CZ"/>
              </w:rPr>
              <w:t>Doplňující</w:t>
            </w:r>
          </w:p>
        </w:tc>
        <w:tc>
          <w:tcPr>
            <w:tcW w:w="7087" w:type="dxa"/>
            <w:tcBorders>
              <w:top w:val="nil"/>
              <w:left w:val="nil"/>
              <w:bottom w:val="single" w:sz="4" w:space="0" w:color="auto"/>
              <w:right w:val="single" w:sz="4" w:space="0" w:color="auto"/>
            </w:tcBorders>
            <w:shd w:val="clear" w:color="auto" w:fill="auto"/>
            <w:hideMark/>
          </w:tcPr>
          <w:p w14:paraId="676115E8"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Železniční doprava – elektrifikace železnic mimo VRT</w:t>
            </w:r>
          </w:p>
        </w:tc>
        <w:tc>
          <w:tcPr>
            <w:tcW w:w="1134" w:type="dxa"/>
            <w:tcBorders>
              <w:top w:val="nil"/>
              <w:left w:val="nil"/>
              <w:bottom w:val="single" w:sz="4" w:space="0" w:color="auto"/>
              <w:right w:val="single" w:sz="4" w:space="0" w:color="auto"/>
            </w:tcBorders>
            <w:shd w:val="clear" w:color="auto" w:fill="auto"/>
            <w:hideMark/>
          </w:tcPr>
          <w:p w14:paraId="12924DE2"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km</w:t>
            </w:r>
          </w:p>
        </w:tc>
        <w:tc>
          <w:tcPr>
            <w:tcW w:w="1418" w:type="dxa"/>
            <w:tcBorders>
              <w:top w:val="nil"/>
              <w:left w:val="nil"/>
              <w:bottom w:val="single" w:sz="4" w:space="0" w:color="auto"/>
              <w:right w:val="single" w:sz="4" w:space="0" w:color="auto"/>
            </w:tcBorders>
            <w:shd w:val="clear" w:color="auto" w:fill="auto"/>
            <w:hideMark/>
          </w:tcPr>
          <w:p w14:paraId="11C2A076" w14:textId="77777777" w:rsidR="00CA37AD" w:rsidRPr="0043589D" w:rsidRDefault="00CA37AD"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3 234</w:t>
            </w:r>
          </w:p>
        </w:tc>
        <w:tc>
          <w:tcPr>
            <w:tcW w:w="850" w:type="dxa"/>
            <w:tcBorders>
              <w:top w:val="nil"/>
              <w:left w:val="nil"/>
              <w:bottom w:val="single" w:sz="4" w:space="0" w:color="auto"/>
              <w:right w:val="single" w:sz="4" w:space="0" w:color="auto"/>
            </w:tcBorders>
            <w:shd w:val="clear" w:color="auto" w:fill="auto"/>
            <w:hideMark/>
          </w:tcPr>
          <w:p w14:paraId="72927BAC"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2022</w:t>
            </w:r>
          </w:p>
        </w:tc>
        <w:tc>
          <w:tcPr>
            <w:tcW w:w="1519" w:type="dxa"/>
            <w:tcBorders>
              <w:top w:val="nil"/>
              <w:left w:val="nil"/>
              <w:bottom w:val="single" w:sz="4" w:space="0" w:color="auto"/>
              <w:right w:val="single" w:sz="8" w:space="0" w:color="auto"/>
            </w:tcBorders>
            <w:shd w:val="clear" w:color="auto" w:fill="auto"/>
            <w:hideMark/>
          </w:tcPr>
          <w:p w14:paraId="789F6726" w14:textId="77777777" w:rsidR="00CA37AD" w:rsidRPr="0043589D" w:rsidRDefault="00CA37AD" w:rsidP="001E7124">
            <w:pPr>
              <w:spacing w:after="0"/>
              <w:jc w:val="left"/>
              <w:rPr>
                <w:rFonts w:ascii="Calibri" w:eastAsia="Times New Roman" w:hAnsi="Calibri" w:cs="Calibri"/>
                <w:color w:val="auto"/>
                <w:u w:val="single"/>
                <w:lang w:eastAsia="cs-CZ"/>
              </w:rPr>
            </w:pPr>
            <w:r w:rsidRPr="0043589D">
              <w:rPr>
                <w:color w:val="auto"/>
              </w:rPr>
              <w:t>MD</w:t>
            </w:r>
          </w:p>
        </w:tc>
      </w:tr>
      <w:tr w:rsidR="00CA37AD" w:rsidRPr="0043589D" w14:paraId="5E777520" w14:textId="77777777" w:rsidTr="003C5F13">
        <w:trPr>
          <w:trHeight w:val="300"/>
        </w:trPr>
        <w:tc>
          <w:tcPr>
            <w:tcW w:w="1408" w:type="dxa"/>
            <w:vMerge/>
            <w:tcBorders>
              <w:top w:val="nil"/>
              <w:left w:val="single" w:sz="8" w:space="0" w:color="auto"/>
              <w:bottom w:val="single" w:sz="8" w:space="0" w:color="000000"/>
              <w:right w:val="single" w:sz="8" w:space="0" w:color="auto"/>
            </w:tcBorders>
            <w:vAlign w:val="center"/>
            <w:hideMark/>
          </w:tcPr>
          <w:p w14:paraId="71E18537" w14:textId="77777777" w:rsidR="00CA37AD" w:rsidRPr="0043589D" w:rsidRDefault="00CA37AD" w:rsidP="001E7124">
            <w:pPr>
              <w:spacing w:after="0"/>
              <w:jc w:val="left"/>
              <w:rPr>
                <w:rFonts w:ascii="Calibri" w:eastAsia="Times New Roman" w:hAnsi="Calibri" w:cs="Calibri"/>
                <w:color w:val="auto"/>
                <w:lang w:eastAsia="cs-CZ"/>
              </w:rPr>
            </w:pPr>
          </w:p>
        </w:tc>
        <w:tc>
          <w:tcPr>
            <w:tcW w:w="1134" w:type="dxa"/>
            <w:tcBorders>
              <w:top w:val="single" w:sz="4" w:space="0" w:color="auto"/>
              <w:left w:val="single" w:sz="8" w:space="0" w:color="auto"/>
              <w:bottom w:val="single" w:sz="4" w:space="0" w:color="auto"/>
              <w:right w:val="single" w:sz="4" w:space="0" w:color="auto"/>
            </w:tcBorders>
            <w:shd w:val="clear" w:color="000000" w:fill="C6EFCE"/>
            <w:hideMark/>
          </w:tcPr>
          <w:p w14:paraId="73C08A76" w14:textId="77777777" w:rsidR="00CA37AD" w:rsidRPr="0043589D" w:rsidRDefault="00CA37AD" w:rsidP="001E7124">
            <w:pPr>
              <w:spacing w:after="0"/>
              <w:jc w:val="center"/>
              <w:rPr>
                <w:rFonts w:ascii="Calibri" w:eastAsia="Times New Roman" w:hAnsi="Calibri" w:cs="Calibri"/>
                <w:color w:val="006100"/>
                <w:lang w:eastAsia="cs-CZ"/>
              </w:rPr>
            </w:pPr>
            <w:r w:rsidRPr="0043589D">
              <w:rPr>
                <w:rFonts w:ascii="Calibri" w:eastAsia="Times New Roman" w:hAnsi="Calibri" w:cs="Calibri"/>
                <w:color w:val="006100"/>
                <w:lang w:eastAsia="cs-CZ"/>
              </w:rPr>
              <w:t>Doplňující</w:t>
            </w:r>
          </w:p>
        </w:tc>
        <w:tc>
          <w:tcPr>
            <w:tcW w:w="7087" w:type="dxa"/>
            <w:tcBorders>
              <w:top w:val="nil"/>
              <w:left w:val="nil"/>
              <w:bottom w:val="single" w:sz="4" w:space="0" w:color="auto"/>
              <w:right w:val="single" w:sz="4" w:space="0" w:color="auto"/>
            </w:tcBorders>
            <w:shd w:val="clear" w:color="auto" w:fill="auto"/>
            <w:hideMark/>
          </w:tcPr>
          <w:p w14:paraId="3C8CB7E5"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Železniční doprava – incidence událostí na počet obyvatel (bezpečnost)</w:t>
            </w:r>
          </w:p>
        </w:tc>
        <w:tc>
          <w:tcPr>
            <w:tcW w:w="1134" w:type="dxa"/>
            <w:tcBorders>
              <w:top w:val="nil"/>
              <w:left w:val="nil"/>
              <w:bottom w:val="single" w:sz="4" w:space="0" w:color="auto"/>
              <w:right w:val="single" w:sz="4" w:space="0" w:color="auto"/>
            </w:tcBorders>
            <w:shd w:val="clear" w:color="auto" w:fill="auto"/>
            <w:hideMark/>
          </w:tcPr>
          <w:p w14:paraId="7D779CBC"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w:t>
            </w:r>
          </w:p>
        </w:tc>
        <w:tc>
          <w:tcPr>
            <w:tcW w:w="1418" w:type="dxa"/>
            <w:tcBorders>
              <w:top w:val="nil"/>
              <w:left w:val="nil"/>
              <w:bottom w:val="single" w:sz="8" w:space="0" w:color="auto"/>
              <w:right w:val="single" w:sz="4" w:space="0" w:color="auto"/>
            </w:tcBorders>
            <w:shd w:val="clear" w:color="auto" w:fill="auto"/>
            <w:hideMark/>
          </w:tcPr>
          <w:p w14:paraId="70C4E29D" w14:textId="77777777" w:rsidR="00CA37AD" w:rsidRPr="0043589D" w:rsidRDefault="00CA37AD"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0,001</w:t>
            </w:r>
          </w:p>
        </w:tc>
        <w:tc>
          <w:tcPr>
            <w:tcW w:w="850" w:type="dxa"/>
            <w:tcBorders>
              <w:top w:val="nil"/>
              <w:left w:val="nil"/>
              <w:bottom w:val="single" w:sz="4" w:space="0" w:color="auto"/>
              <w:right w:val="single" w:sz="4" w:space="0" w:color="auto"/>
            </w:tcBorders>
            <w:shd w:val="clear" w:color="auto" w:fill="auto"/>
            <w:hideMark/>
          </w:tcPr>
          <w:p w14:paraId="4C3686DD"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2022</w:t>
            </w:r>
          </w:p>
        </w:tc>
        <w:tc>
          <w:tcPr>
            <w:tcW w:w="1519" w:type="dxa"/>
            <w:tcBorders>
              <w:top w:val="nil"/>
              <w:left w:val="nil"/>
              <w:bottom w:val="single" w:sz="4" w:space="0" w:color="auto"/>
              <w:right w:val="single" w:sz="8" w:space="0" w:color="auto"/>
            </w:tcBorders>
            <w:shd w:val="clear" w:color="auto" w:fill="auto"/>
            <w:hideMark/>
          </w:tcPr>
          <w:p w14:paraId="62E0A06E" w14:textId="77777777" w:rsidR="00CA37AD" w:rsidRPr="0043589D" w:rsidRDefault="00CA37AD" w:rsidP="001E7124">
            <w:pPr>
              <w:spacing w:after="0"/>
              <w:jc w:val="left"/>
              <w:rPr>
                <w:rFonts w:ascii="Calibri" w:eastAsia="Times New Roman" w:hAnsi="Calibri" w:cs="Calibri"/>
                <w:color w:val="auto"/>
                <w:u w:val="single"/>
                <w:lang w:eastAsia="cs-CZ"/>
              </w:rPr>
            </w:pPr>
            <w:r w:rsidRPr="0043589D">
              <w:rPr>
                <w:color w:val="auto"/>
              </w:rPr>
              <w:t>Eurostat</w:t>
            </w:r>
          </w:p>
        </w:tc>
      </w:tr>
      <w:tr w:rsidR="00CA37AD" w:rsidRPr="0043589D" w14:paraId="7CD8280F" w14:textId="77777777" w:rsidTr="003C5F13">
        <w:trPr>
          <w:trHeight w:val="300"/>
        </w:trPr>
        <w:tc>
          <w:tcPr>
            <w:tcW w:w="1408" w:type="dxa"/>
            <w:vMerge w:val="restart"/>
            <w:tcBorders>
              <w:top w:val="nil"/>
              <w:left w:val="single" w:sz="8" w:space="0" w:color="auto"/>
              <w:bottom w:val="single" w:sz="8" w:space="0" w:color="000000"/>
              <w:right w:val="single" w:sz="8" w:space="0" w:color="auto"/>
            </w:tcBorders>
            <w:shd w:val="clear" w:color="auto" w:fill="auto"/>
            <w:vAlign w:val="center"/>
            <w:hideMark/>
          </w:tcPr>
          <w:p w14:paraId="27D52C4F" w14:textId="0162518F" w:rsidR="00CA37AD" w:rsidRPr="0043589D" w:rsidRDefault="00CA37AD" w:rsidP="001E7124">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2.3 Digitální infrastruktura,</w:t>
            </w:r>
            <w:r w:rsidR="00421331" w:rsidRPr="0043589D">
              <w:rPr>
                <w:rFonts w:ascii="Calibri" w:eastAsia="Times New Roman" w:hAnsi="Calibri" w:cs="Calibri"/>
                <w:color w:val="auto"/>
                <w:lang w:eastAsia="cs-CZ"/>
              </w:rPr>
              <w:t xml:space="preserve"> </w:t>
            </w:r>
            <w:proofErr w:type="spellStart"/>
            <w:r w:rsidRPr="0043589D">
              <w:rPr>
                <w:rFonts w:ascii="Calibri" w:eastAsia="Times New Roman" w:hAnsi="Calibri" w:cs="Calibri"/>
                <w:color w:val="auto"/>
                <w:lang w:eastAsia="cs-CZ"/>
              </w:rPr>
              <w:t>ek</w:t>
            </w:r>
            <w:proofErr w:type="spellEnd"/>
            <w:r w:rsidR="00FD26FE">
              <w:rPr>
                <w:rFonts w:ascii="Calibri" w:eastAsia="Times New Roman" w:hAnsi="Calibri" w:cs="Calibri"/>
                <w:color w:val="auto"/>
                <w:lang w:eastAsia="cs-CZ"/>
              </w:rPr>
              <w:t>.</w:t>
            </w:r>
            <w:r w:rsidRPr="0043589D">
              <w:rPr>
                <w:rFonts w:ascii="Calibri" w:eastAsia="Times New Roman" w:hAnsi="Calibri" w:cs="Calibri"/>
                <w:color w:val="auto"/>
                <w:lang w:eastAsia="cs-CZ"/>
              </w:rPr>
              <w:t xml:space="preserve"> a společnost</w:t>
            </w:r>
          </w:p>
        </w:tc>
        <w:tc>
          <w:tcPr>
            <w:tcW w:w="1134" w:type="dxa"/>
            <w:tcBorders>
              <w:top w:val="single" w:sz="8" w:space="0" w:color="auto"/>
              <w:left w:val="nil"/>
              <w:bottom w:val="single" w:sz="4" w:space="0" w:color="auto"/>
              <w:right w:val="single" w:sz="4" w:space="0" w:color="auto"/>
            </w:tcBorders>
            <w:shd w:val="clear" w:color="000000" w:fill="FFC7CE"/>
            <w:hideMark/>
          </w:tcPr>
          <w:p w14:paraId="3811AAD1" w14:textId="77777777" w:rsidR="00CA37AD" w:rsidRPr="0043589D" w:rsidRDefault="00CA37AD" w:rsidP="001E7124">
            <w:pPr>
              <w:spacing w:after="0"/>
              <w:jc w:val="center"/>
              <w:rPr>
                <w:rFonts w:ascii="Calibri" w:eastAsia="Times New Roman" w:hAnsi="Calibri" w:cs="Calibri"/>
                <w:color w:val="9C0006"/>
                <w:lang w:eastAsia="cs-CZ"/>
              </w:rPr>
            </w:pPr>
            <w:r w:rsidRPr="0043589D">
              <w:rPr>
                <w:rFonts w:ascii="Calibri" w:eastAsia="Times New Roman" w:hAnsi="Calibri" w:cs="Calibri"/>
                <w:color w:val="9C0006"/>
                <w:lang w:eastAsia="cs-CZ"/>
              </w:rPr>
              <w:t>Strategický</w:t>
            </w:r>
          </w:p>
        </w:tc>
        <w:tc>
          <w:tcPr>
            <w:tcW w:w="7087" w:type="dxa"/>
            <w:tcBorders>
              <w:top w:val="single" w:sz="8" w:space="0" w:color="auto"/>
              <w:left w:val="nil"/>
              <w:bottom w:val="single" w:sz="4" w:space="0" w:color="auto"/>
              <w:right w:val="single" w:sz="4" w:space="0" w:color="auto"/>
            </w:tcBorders>
            <w:shd w:val="clear" w:color="auto" w:fill="auto"/>
            <w:hideMark/>
          </w:tcPr>
          <w:p w14:paraId="18D2DEC8"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 xml:space="preserve">Digitální ekonomika, DESI </w:t>
            </w:r>
            <w:proofErr w:type="spellStart"/>
            <w:r w:rsidRPr="0043589D">
              <w:rPr>
                <w:rFonts w:ascii="Calibri" w:eastAsia="Times New Roman" w:hAnsi="Calibri" w:cs="Calibri"/>
                <w:color w:val="auto"/>
                <w:lang w:eastAsia="cs-CZ"/>
              </w:rPr>
              <w:t>composite</w:t>
            </w:r>
            <w:proofErr w:type="spellEnd"/>
            <w:r w:rsidRPr="0043589D">
              <w:rPr>
                <w:rFonts w:ascii="Calibri" w:eastAsia="Times New Roman" w:hAnsi="Calibri" w:cs="Calibri"/>
                <w:color w:val="auto"/>
                <w:lang w:eastAsia="cs-CZ"/>
              </w:rPr>
              <w:t xml:space="preserve"> index část Konektivita</w:t>
            </w:r>
          </w:p>
        </w:tc>
        <w:tc>
          <w:tcPr>
            <w:tcW w:w="1134" w:type="dxa"/>
            <w:tcBorders>
              <w:top w:val="single" w:sz="8" w:space="0" w:color="auto"/>
              <w:left w:val="nil"/>
              <w:bottom w:val="single" w:sz="4" w:space="0" w:color="auto"/>
              <w:right w:val="single" w:sz="4" w:space="0" w:color="auto"/>
            </w:tcBorders>
            <w:shd w:val="clear" w:color="auto" w:fill="auto"/>
            <w:hideMark/>
          </w:tcPr>
          <w:p w14:paraId="6CB963BD"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index</w:t>
            </w:r>
          </w:p>
        </w:tc>
        <w:tc>
          <w:tcPr>
            <w:tcW w:w="1418" w:type="dxa"/>
            <w:tcBorders>
              <w:top w:val="nil"/>
              <w:left w:val="nil"/>
              <w:bottom w:val="single" w:sz="4" w:space="0" w:color="auto"/>
              <w:right w:val="single" w:sz="4" w:space="0" w:color="auto"/>
            </w:tcBorders>
            <w:shd w:val="clear" w:color="auto" w:fill="auto"/>
            <w:hideMark/>
          </w:tcPr>
          <w:p w14:paraId="1F3435A2" w14:textId="77777777" w:rsidR="00CA37AD" w:rsidRPr="0043589D" w:rsidRDefault="00CA37AD"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52,69</w:t>
            </w:r>
          </w:p>
        </w:tc>
        <w:tc>
          <w:tcPr>
            <w:tcW w:w="850" w:type="dxa"/>
            <w:tcBorders>
              <w:top w:val="single" w:sz="8" w:space="0" w:color="auto"/>
              <w:left w:val="nil"/>
              <w:bottom w:val="single" w:sz="4" w:space="0" w:color="auto"/>
              <w:right w:val="single" w:sz="4" w:space="0" w:color="auto"/>
            </w:tcBorders>
            <w:shd w:val="clear" w:color="auto" w:fill="auto"/>
            <w:hideMark/>
          </w:tcPr>
          <w:p w14:paraId="30FA57F3"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2022</w:t>
            </w:r>
          </w:p>
        </w:tc>
        <w:tc>
          <w:tcPr>
            <w:tcW w:w="1519" w:type="dxa"/>
            <w:tcBorders>
              <w:top w:val="single" w:sz="8" w:space="0" w:color="auto"/>
              <w:left w:val="nil"/>
              <w:bottom w:val="single" w:sz="4" w:space="0" w:color="auto"/>
              <w:right w:val="single" w:sz="8" w:space="0" w:color="auto"/>
            </w:tcBorders>
            <w:shd w:val="clear" w:color="auto" w:fill="auto"/>
            <w:hideMark/>
          </w:tcPr>
          <w:p w14:paraId="0F0CE5CA" w14:textId="77777777" w:rsidR="00CA37AD" w:rsidRPr="0043589D" w:rsidRDefault="00CA37AD" w:rsidP="001E7124">
            <w:pPr>
              <w:spacing w:after="0"/>
              <w:jc w:val="left"/>
              <w:rPr>
                <w:rFonts w:ascii="Calibri" w:eastAsia="Times New Roman" w:hAnsi="Calibri" w:cs="Calibri"/>
                <w:color w:val="auto"/>
                <w:u w:val="single"/>
                <w:lang w:eastAsia="cs-CZ"/>
              </w:rPr>
            </w:pPr>
            <w:r w:rsidRPr="0043589D">
              <w:rPr>
                <w:rFonts w:ascii="Calibri" w:eastAsia="Times New Roman" w:hAnsi="Calibri" w:cs="Calibri"/>
                <w:color w:val="auto"/>
                <w:lang w:eastAsia="cs-CZ"/>
              </w:rPr>
              <w:t>EK</w:t>
            </w:r>
          </w:p>
        </w:tc>
      </w:tr>
      <w:tr w:rsidR="00CA37AD" w:rsidRPr="0043589D" w14:paraId="343EACF2" w14:textId="77777777" w:rsidTr="003C5F13">
        <w:trPr>
          <w:trHeight w:val="300"/>
        </w:trPr>
        <w:tc>
          <w:tcPr>
            <w:tcW w:w="1408" w:type="dxa"/>
            <w:vMerge/>
            <w:tcBorders>
              <w:top w:val="nil"/>
              <w:left w:val="single" w:sz="8" w:space="0" w:color="auto"/>
              <w:bottom w:val="single" w:sz="8" w:space="0" w:color="000000"/>
              <w:right w:val="single" w:sz="8" w:space="0" w:color="auto"/>
            </w:tcBorders>
            <w:vAlign w:val="center"/>
            <w:hideMark/>
          </w:tcPr>
          <w:p w14:paraId="0B85B1B3" w14:textId="77777777" w:rsidR="00CA37AD" w:rsidRPr="0043589D" w:rsidRDefault="00CA37AD" w:rsidP="001E7124">
            <w:pPr>
              <w:spacing w:after="0"/>
              <w:jc w:val="left"/>
              <w:rPr>
                <w:rFonts w:ascii="Calibri" w:eastAsia="Times New Roman" w:hAnsi="Calibri" w:cs="Calibri"/>
                <w:color w:val="auto"/>
                <w:lang w:eastAsia="cs-CZ"/>
              </w:rPr>
            </w:pPr>
          </w:p>
        </w:tc>
        <w:tc>
          <w:tcPr>
            <w:tcW w:w="1134" w:type="dxa"/>
            <w:tcBorders>
              <w:top w:val="single" w:sz="4" w:space="0" w:color="auto"/>
              <w:left w:val="single" w:sz="8" w:space="0" w:color="auto"/>
              <w:bottom w:val="single" w:sz="4" w:space="0" w:color="auto"/>
              <w:right w:val="single" w:sz="4" w:space="0" w:color="auto"/>
            </w:tcBorders>
            <w:shd w:val="clear" w:color="000000" w:fill="C6EFCE"/>
            <w:hideMark/>
          </w:tcPr>
          <w:p w14:paraId="22FEE962" w14:textId="77777777" w:rsidR="00CA37AD" w:rsidRPr="0043589D" w:rsidRDefault="00CA37AD" w:rsidP="001E7124">
            <w:pPr>
              <w:spacing w:after="0"/>
              <w:jc w:val="center"/>
              <w:rPr>
                <w:rFonts w:ascii="Calibri" w:eastAsia="Times New Roman" w:hAnsi="Calibri" w:cs="Calibri"/>
                <w:color w:val="006100"/>
                <w:lang w:eastAsia="cs-CZ"/>
              </w:rPr>
            </w:pPr>
            <w:r w:rsidRPr="0043589D">
              <w:rPr>
                <w:rFonts w:ascii="Calibri" w:eastAsia="Times New Roman" w:hAnsi="Calibri" w:cs="Calibri"/>
                <w:color w:val="006100"/>
                <w:lang w:eastAsia="cs-CZ"/>
              </w:rPr>
              <w:t>Doplňující</w:t>
            </w:r>
          </w:p>
        </w:tc>
        <w:tc>
          <w:tcPr>
            <w:tcW w:w="7087" w:type="dxa"/>
            <w:tcBorders>
              <w:top w:val="nil"/>
              <w:left w:val="nil"/>
              <w:bottom w:val="single" w:sz="4" w:space="0" w:color="auto"/>
              <w:right w:val="single" w:sz="4" w:space="0" w:color="auto"/>
            </w:tcBorders>
            <w:shd w:val="clear" w:color="auto" w:fill="auto"/>
            <w:hideMark/>
          </w:tcPr>
          <w:p w14:paraId="284C27C6"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Digitální ekonomika a společnost – přístup k internetu</w:t>
            </w:r>
          </w:p>
        </w:tc>
        <w:tc>
          <w:tcPr>
            <w:tcW w:w="1134" w:type="dxa"/>
            <w:tcBorders>
              <w:top w:val="nil"/>
              <w:left w:val="nil"/>
              <w:bottom w:val="single" w:sz="4" w:space="0" w:color="auto"/>
              <w:right w:val="single" w:sz="4" w:space="0" w:color="auto"/>
            </w:tcBorders>
            <w:shd w:val="clear" w:color="auto" w:fill="auto"/>
            <w:hideMark/>
          </w:tcPr>
          <w:p w14:paraId="0C9EA23C"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w:t>
            </w:r>
          </w:p>
        </w:tc>
        <w:tc>
          <w:tcPr>
            <w:tcW w:w="1418" w:type="dxa"/>
            <w:tcBorders>
              <w:top w:val="nil"/>
              <w:left w:val="nil"/>
              <w:bottom w:val="single" w:sz="4" w:space="0" w:color="auto"/>
              <w:right w:val="single" w:sz="4" w:space="0" w:color="auto"/>
            </w:tcBorders>
            <w:shd w:val="clear" w:color="auto" w:fill="auto"/>
            <w:hideMark/>
          </w:tcPr>
          <w:p w14:paraId="3CC2A054" w14:textId="77777777" w:rsidR="00CA37AD" w:rsidRPr="0043589D" w:rsidRDefault="00CA37AD"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92,8</w:t>
            </w:r>
          </w:p>
        </w:tc>
        <w:tc>
          <w:tcPr>
            <w:tcW w:w="850" w:type="dxa"/>
            <w:tcBorders>
              <w:top w:val="nil"/>
              <w:left w:val="nil"/>
              <w:bottom w:val="single" w:sz="4" w:space="0" w:color="auto"/>
              <w:right w:val="single" w:sz="4" w:space="0" w:color="auto"/>
            </w:tcBorders>
            <w:shd w:val="clear" w:color="auto" w:fill="auto"/>
            <w:hideMark/>
          </w:tcPr>
          <w:p w14:paraId="118D89C4"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2023</w:t>
            </w:r>
          </w:p>
        </w:tc>
        <w:tc>
          <w:tcPr>
            <w:tcW w:w="1519" w:type="dxa"/>
            <w:tcBorders>
              <w:top w:val="nil"/>
              <w:left w:val="nil"/>
              <w:bottom w:val="single" w:sz="4" w:space="0" w:color="auto"/>
              <w:right w:val="single" w:sz="8" w:space="0" w:color="auto"/>
            </w:tcBorders>
            <w:shd w:val="clear" w:color="auto" w:fill="auto"/>
            <w:hideMark/>
          </w:tcPr>
          <w:p w14:paraId="7DEAD01C" w14:textId="77777777" w:rsidR="00CA37AD" w:rsidRPr="0043589D" w:rsidRDefault="00CA37AD" w:rsidP="001E7124">
            <w:pPr>
              <w:spacing w:after="0"/>
              <w:jc w:val="left"/>
              <w:rPr>
                <w:rFonts w:ascii="Calibri" w:eastAsia="Times New Roman" w:hAnsi="Calibri" w:cs="Calibri"/>
                <w:color w:val="auto"/>
                <w:u w:val="single"/>
                <w:lang w:eastAsia="cs-CZ"/>
              </w:rPr>
            </w:pPr>
            <w:r w:rsidRPr="0043589D">
              <w:rPr>
                <w:color w:val="auto"/>
              </w:rPr>
              <w:t>Eurostat</w:t>
            </w:r>
          </w:p>
        </w:tc>
      </w:tr>
      <w:tr w:rsidR="00CA37AD" w:rsidRPr="0043589D" w14:paraId="042AF58C" w14:textId="77777777" w:rsidTr="003C5F13">
        <w:trPr>
          <w:trHeight w:val="300"/>
        </w:trPr>
        <w:tc>
          <w:tcPr>
            <w:tcW w:w="1408" w:type="dxa"/>
            <w:vMerge/>
            <w:tcBorders>
              <w:top w:val="nil"/>
              <w:left w:val="single" w:sz="8" w:space="0" w:color="auto"/>
              <w:bottom w:val="single" w:sz="8" w:space="0" w:color="000000"/>
              <w:right w:val="single" w:sz="8" w:space="0" w:color="auto"/>
            </w:tcBorders>
            <w:vAlign w:val="center"/>
            <w:hideMark/>
          </w:tcPr>
          <w:p w14:paraId="637D939B" w14:textId="77777777" w:rsidR="00CA37AD" w:rsidRPr="0043589D" w:rsidRDefault="00CA37AD" w:rsidP="001E7124">
            <w:pPr>
              <w:spacing w:after="0"/>
              <w:jc w:val="left"/>
              <w:rPr>
                <w:rFonts w:ascii="Calibri" w:eastAsia="Times New Roman" w:hAnsi="Calibri" w:cs="Calibri"/>
                <w:color w:val="auto"/>
                <w:lang w:eastAsia="cs-CZ"/>
              </w:rPr>
            </w:pPr>
          </w:p>
        </w:tc>
        <w:tc>
          <w:tcPr>
            <w:tcW w:w="1134" w:type="dxa"/>
            <w:tcBorders>
              <w:top w:val="single" w:sz="4" w:space="0" w:color="auto"/>
              <w:left w:val="single" w:sz="8" w:space="0" w:color="auto"/>
              <w:bottom w:val="single" w:sz="8" w:space="0" w:color="auto"/>
              <w:right w:val="single" w:sz="4" w:space="0" w:color="auto"/>
            </w:tcBorders>
            <w:shd w:val="clear" w:color="000000" w:fill="C6EFCE"/>
            <w:hideMark/>
          </w:tcPr>
          <w:p w14:paraId="63949D63" w14:textId="77777777" w:rsidR="00CA37AD" w:rsidRPr="0043589D" w:rsidRDefault="00CA37AD" w:rsidP="001E7124">
            <w:pPr>
              <w:spacing w:after="0"/>
              <w:jc w:val="center"/>
              <w:rPr>
                <w:rFonts w:ascii="Calibri" w:eastAsia="Times New Roman" w:hAnsi="Calibri" w:cs="Calibri"/>
                <w:color w:val="006100"/>
                <w:lang w:eastAsia="cs-CZ"/>
              </w:rPr>
            </w:pPr>
            <w:r w:rsidRPr="0043589D">
              <w:rPr>
                <w:rFonts w:ascii="Calibri" w:eastAsia="Times New Roman" w:hAnsi="Calibri" w:cs="Calibri"/>
                <w:color w:val="006100"/>
                <w:lang w:eastAsia="cs-CZ"/>
              </w:rPr>
              <w:t>Doplňující</w:t>
            </w:r>
          </w:p>
        </w:tc>
        <w:tc>
          <w:tcPr>
            <w:tcW w:w="7087" w:type="dxa"/>
            <w:tcBorders>
              <w:top w:val="nil"/>
              <w:left w:val="nil"/>
              <w:bottom w:val="single" w:sz="8" w:space="0" w:color="auto"/>
              <w:right w:val="single" w:sz="4" w:space="0" w:color="auto"/>
            </w:tcBorders>
            <w:shd w:val="clear" w:color="auto" w:fill="auto"/>
            <w:hideMark/>
          </w:tcPr>
          <w:p w14:paraId="5766D760"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Digitální ekonomika a společnost – pokrytí 5G</w:t>
            </w:r>
          </w:p>
        </w:tc>
        <w:tc>
          <w:tcPr>
            <w:tcW w:w="1134" w:type="dxa"/>
            <w:tcBorders>
              <w:top w:val="nil"/>
              <w:left w:val="nil"/>
              <w:bottom w:val="single" w:sz="8" w:space="0" w:color="auto"/>
              <w:right w:val="single" w:sz="4" w:space="0" w:color="auto"/>
            </w:tcBorders>
            <w:shd w:val="clear" w:color="auto" w:fill="auto"/>
            <w:hideMark/>
          </w:tcPr>
          <w:p w14:paraId="1F6153BF"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w:t>
            </w:r>
          </w:p>
        </w:tc>
        <w:tc>
          <w:tcPr>
            <w:tcW w:w="1418" w:type="dxa"/>
            <w:tcBorders>
              <w:top w:val="nil"/>
              <w:left w:val="nil"/>
              <w:bottom w:val="single" w:sz="4" w:space="0" w:color="auto"/>
              <w:right w:val="single" w:sz="4" w:space="0" w:color="auto"/>
            </w:tcBorders>
            <w:shd w:val="clear" w:color="auto" w:fill="auto"/>
            <w:hideMark/>
          </w:tcPr>
          <w:p w14:paraId="73D68001" w14:textId="77777777" w:rsidR="00CA37AD" w:rsidRPr="0043589D" w:rsidRDefault="00CA37AD"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70,0</w:t>
            </w:r>
          </w:p>
        </w:tc>
        <w:tc>
          <w:tcPr>
            <w:tcW w:w="850" w:type="dxa"/>
            <w:tcBorders>
              <w:top w:val="nil"/>
              <w:left w:val="nil"/>
              <w:bottom w:val="single" w:sz="8" w:space="0" w:color="auto"/>
              <w:right w:val="single" w:sz="4" w:space="0" w:color="auto"/>
            </w:tcBorders>
            <w:shd w:val="clear" w:color="auto" w:fill="auto"/>
            <w:hideMark/>
          </w:tcPr>
          <w:p w14:paraId="06F99A5B"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2024</w:t>
            </w:r>
          </w:p>
        </w:tc>
        <w:tc>
          <w:tcPr>
            <w:tcW w:w="1519" w:type="dxa"/>
            <w:tcBorders>
              <w:top w:val="nil"/>
              <w:left w:val="nil"/>
              <w:bottom w:val="single" w:sz="8" w:space="0" w:color="auto"/>
              <w:right w:val="single" w:sz="8" w:space="0" w:color="auto"/>
            </w:tcBorders>
            <w:shd w:val="clear" w:color="auto" w:fill="auto"/>
            <w:hideMark/>
          </w:tcPr>
          <w:p w14:paraId="30A34F6E" w14:textId="77777777" w:rsidR="00CA37AD" w:rsidRPr="0043589D" w:rsidRDefault="00CA37AD" w:rsidP="001E7124">
            <w:pPr>
              <w:spacing w:after="0"/>
              <w:jc w:val="left"/>
              <w:rPr>
                <w:rFonts w:ascii="Calibri" w:eastAsia="Times New Roman" w:hAnsi="Calibri" w:cs="Calibri"/>
                <w:color w:val="auto"/>
                <w:u w:val="single"/>
                <w:lang w:eastAsia="cs-CZ"/>
              </w:rPr>
            </w:pPr>
            <w:r w:rsidRPr="0043589D">
              <w:rPr>
                <w:rFonts w:ascii="Calibri" w:eastAsia="Times New Roman" w:hAnsi="Calibri" w:cs="Calibri"/>
                <w:color w:val="auto"/>
                <w:lang w:eastAsia="cs-CZ"/>
              </w:rPr>
              <w:t>EK</w:t>
            </w:r>
          </w:p>
        </w:tc>
      </w:tr>
      <w:tr w:rsidR="00CA37AD" w:rsidRPr="0043589D" w14:paraId="498A934F" w14:textId="77777777" w:rsidTr="003C5F13">
        <w:trPr>
          <w:trHeight w:val="300"/>
        </w:trPr>
        <w:tc>
          <w:tcPr>
            <w:tcW w:w="1408" w:type="dxa"/>
            <w:vMerge w:val="restart"/>
            <w:tcBorders>
              <w:top w:val="nil"/>
              <w:left w:val="single" w:sz="8" w:space="0" w:color="auto"/>
              <w:bottom w:val="single" w:sz="8" w:space="0" w:color="000000"/>
              <w:right w:val="single" w:sz="8" w:space="0" w:color="auto"/>
            </w:tcBorders>
            <w:shd w:val="clear" w:color="auto" w:fill="auto"/>
            <w:vAlign w:val="center"/>
            <w:hideMark/>
          </w:tcPr>
          <w:p w14:paraId="7F1AB361" w14:textId="77777777" w:rsidR="00CA37AD" w:rsidRPr="0043589D" w:rsidRDefault="00CA37AD" w:rsidP="001E7124">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2.4 Ekonomická bezpečnost a obchodní strategie</w:t>
            </w:r>
          </w:p>
        </w:tc>
        <w:tc>
          <w:tcPr>
            <w:tcW w:w="1134" w:type="dxa"/>
            <w:tcBorders>
              <w:top w:val="nil"/>
              <w:left w:val="nil"/>
              <w:bottom w:val="single" w:sz="4" w:space="0" w:color="auto"/>
              <w:right w:val="single" w:sz="4" w:space="0" w:color="auto"/>
            </w:tcBorders>
            <w:shd w:val="clear" w:color="000000" w:fill="FFC7CE"/>
            <w:hideMark/>
          </w:tcPr>
          <w:p w14:paraId="3E6080EE" w14:textId="77777777" w:rsidR="00CA37AD" w:rsidRPr="0043589D" w:rsidRDefault="00CA37AD" w:rsidP="001E7124">
            <w:pPr>
              <w:spacing w:after="0"/>
              <w:jc w:val="center"/>
              <w:rPr>
                <w:rFonts w:ascii="Calibri" w:eastAsia="Times New Roman" w:hAnsi="Calibri" w:cs="Calibri"/>
                <w:color w:val="9C0006"/>
                <w:lang w:eastAsia="cs-CZ"/>
              </w:rPr>
            </w:pPr>
            <w:r w:rsidRPr="0043589D">
              <w:rPr>
                <w:rFonts w:ascii="Calibri" w:eastAsia="Times New Roman" w:hAnsi="Calibri" w:cs="Calibri"/>
                <w:color w:val="9C0006"/>
                <w:lang w:eastAsia="cs-CZ"/>
              </w:rPr>
              <w:t>Strategický</w:t>
            </w:r>
          </w:p>
        </w:tc>
        <w:tc>
          <w:tcPr>
            <w:tcW w:w="7087" w:type="dxa"/>
            <w:tcBorders>
              <w:top w:val="nil"/>
              <w:left w:val="nil"/>
              <w:bottom w:val="single" w:sz="4" w:space="0" w:color="auto"/>
              <w:right w:val="single" w:sz="4" w:space="0" w:color="auto"/>
            </w:tcBorders>
            <w:shd w:val="clear" w:color="auto" w:fill="auto"/>
            <w:hideMark/>
          </w:tcPr>
          <w:p w14:paraId="173F0B7F"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Podíl vládních výdajů na obranu</w:t>
            </w:r>
          </w:p>
        </w:tc>
        <w:tc>
          <w:tcPr>
            <w:tcW w:w="1134" w:type="dxa"/>
            <w:tcBorders>
              <w:top w:val="nil"/>
              <w:left w:val="nil"/>
              <w:bottom w:val="single" w:sz="4" w:space="0" w:color="auto"/>
              <w:right w:val="single" w:sz="4" w:space="0" w:color="auto"/>
            </w:tcBorders>
            <w:shd w:val="clear" w:color="auto" w:fill="auto"/>
            <w:hideMark/>
          </w:tcPr>
          <w:p w14:paraId="68A8C33A"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w:t>
            </w:r>
          </w:p>
        </w:tc>
        <w:tc>
          <w:tcPr>
            <w:tcW w:w="1418" w:type="dxa"/>
            <w:tcBorders>
              <w:top w:val="single" w:sz="8" w:space="0" w:color="auto"/>
              <w:left w:val="nil"/>
              <w:bottom w:val="single" w:sz="4" w:space="0" w:color="auto"/>
              <w:right w:val="single" w:sz="4" w:space="0" w:color="auto"/>
            </w:tcBorders>
            <w:shd w:val="clear" w:color="auto" w:fill="auto"/>
            <w:hideMark/>
          </w:tcPr>
          <w:p w14:paraId="2D567BD6" w14:textId="77777777" w:rsidR="00CA37AD" w:rsidRPr="0043589D" w:rsidRDefault="00CA37AD"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2,0</w:t>
            </w:r>
          </w:p>
        </w:tc>
        <w:tc>
          <w:tcPr>
            <w:tcW w:w="850" w:type="dxa"/>
            <w:tcBorders>
              <w:top w:val="nil"/>
              <w:left w:val="nil"/>
              <w:bottom w:val="single" w:sz="4" w:space="0" w:color="auto"/>
              <w:right w:val="single" w:sz="4" w:space="0" w:color="auto"/>
            </w:tcBorders>
            <w:shd w:val="clear" w:color="auto" w:fill="auto"/>
            <w:hideMark/>
          </w:tcPr>
          <w:p w14:paraId="69D98C91"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2024</w:t>
            </w:r>
          </w:p>
        </w:tc>
        <w:tc>
          <w:tcPr>
            <w:tcW w:w="1519" w:type="dxa"/>
            <w:tcBorders>
              <w:top w:val="nil"/>
              <w:left w:val="nil"/>
              <w:bottom w:val="single" w:sz="4" w:space="0" w:color="auto"/>
              <w:right w:val="single" w:sz="8" w:space="0" w:color="auto"/>
            </w:tcBorders>
            <w:shd w:val="clear" w:color="auto" w:fill="auto"/>
            <w:hideMark/>
          </w:tcPr>
          <w:p w14:paraId="59F28FFC" w14:textId="77777777" w:rsidR="00CA37AD" w:rsidRPr="0043589D" w:rsidRDefault="00CA37AD" w:rsidP="001E7124">
            <w:pPr>
              <w:spacing w:after="0"/>
              <w:jc w:val="left"/>
              <w:rPr>
                <w:rFonts w:ascii="Calibri" w:eastAsia="Times New Roman" w:hAnsi="Calibri" w:cs="Calibri"/>
                <w:color w:val="auto"/>
                <w:u w:val="single"/>
                <w:lang w:eastAsia="cs-CZ"/>
              </w:rPr>
            </w:pPr>
            <w:r w:rsidRPr="0043589D">
              <w:rPr>
                <w:color w:val="auto"/>
              </w:rPr>
              <w:t>NATO</w:t>
            </w:r>
          </w:p>
        </w:tc>
      </w:tr>
      <w:tr w:rsidR="00CA37AD" w:rsidRPr="0043589D" w14:paraId="6BDB9DB1" w14:textId="77777777" w:rsidTr="003C5F13">
        <w:trPr>
          <w:trHeight w:val="300"/>
        </w:trPr>
        <w:tc>
          <w:tcPr>
            <w:tcW w:w="1408" w:type="dxa"/>
            <w:vMerge/>
            <w:tcBorders>
              <w:top w:val="nil"/>
              <w:left w:val="single" w:sz="8" w:space="0" w:color="auto"/>
              <w:bottom w:val="single" w:sz="8" w:space="0" w:color="000000"/>
              <w:right w:val="single" w:sz="8" w:space="0" w:color="auto"/>
            </w:tcBorders>
            <w:vAlign w:val="center"/>
            <w:hideMark/>
          </w:tcPr>
          <w:p w14:paraId="64421297" w14:textId="77777777" w:rsidR="00CA37AD" w:rsidRPr="0043589D" w:rsidRDefault="00CA37AD" w:rsidP="001E7124">
            <w:pPr>
              <w:spacing w:after="0"/>
              <w:jc w:val="left"/>
              <w:rPr>
                <w:rFonts w:ascii="Calibri" w:eastAsia="Times New Roman" w:hAnsi="Calibri" w:cs="Calibri"/>
                <w:color w:val="auto"/>
                <w:lang w:eastAsia="cs-CZ"/>
              </w:rPr>
            </w:pPr>
          </w:p>
        </w:tc>
        <w:tc>
          <w:tcPr>
            <w:tcW w:w="1134" w:type="dxa"/>
            <w:tcBorders>
              <w:top w:val="nil"/>
              <w:left w:val="nil"/>
              <w:bottom w:val="single" w:sz="4" w:space="0" w:color="auto"/>
              <w:right w:val="single" w:sz="4" w:space="0" w:color="auto"/>
            </w:tcBorders>
            <w:shd w:val="clear" w:color="000000" w:fill="FFC7CE"/>
            <w:hideMark/>
          </w:tcPr>
          <w:p w14:paraId="55D02357" w14:textId="77777777" w:rsidR="00CA37AD" w:rsidRPr="0043589D" w:rsidRDefault="00CA37AD" w:rsidP="001E7124">
            <w:pPr>
              <w:spacing w:after="0"/>
              <w:jc w:val="center"/>
              <w:rPr>
                <w:rFonts w:ascii="Calibri" w:eastAsia="Times New Roman" w:hAnsi="Calibri" w:cs="Calibri"/>
                <w:color w:val="9C0006"/>
                <w:lang w:eastAsia="cs-CZ"/>
              </w:rPr>
            </w:pPr>
            <w:r w:rsidRPr="0043589D">
              <w:rPr>
                <w:rFonts w:ascii="Calibri" w:eastAsia="Times New Roman" w:hAnsi="Calibri" w:cs="Calibri"/>
                <w:color w:val="9C0006"/>
                <w:lang w:eastAsia="cs-CZ"/>
              </w:rPr>
              <w:t>Strategický</w:t>
            </w:r>
          </w:p>
        </w:tc>
        <w:tc>
          <w:tcPr>
            <w:tcW w:w="7087" w:type="dxa"/>
            <w:tcBorders>
              <w:top w:val="nil"/>
              <w:left w:val="nil"/>
              <w:bottom w:val="single" w:sz="4" w:space="0" w:color="auto"/>
              <w:right w:val="single" w:sz="4" w:space="0" w:color="auto"/>
            </w:tcBorders>
            <w:shd w:val="clear" w:color="auto" w:fill="auto"/>
            <w:hideMark/>
          </w:tcPr>
          <w:p w14:paraId="2CE89D71"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Podíl domácí přidané hodnoty v exportu</w:t>
            </w:r>
          </w:p>
        </w:tc>
        <w:tc>
          <w:tcPr>
            <w:tcW w:w="1134" w:type="dxa"/>
            <w:tcBorders>
              <w:top w:val="nil"/>
              <w:left w:val="nil"/>
              <w:bottom w:val="single" w:sz="4" w:space="0" w:color="auto"/>
              <w:right w:val="single" w:sz="4" w:space="0" w:color="auto"/>
            </w:tcBorders>
            <w:shd w:val="clear" w:color="auto" w:fill="auto"/>
            <w:hideMark/>
          </w:tcPr>
          <w:p w14:paraId="72ECD3E9"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w:t>
            </w:r>
          </w:p>
        </w:tc>
        <w:tc>
          <w:tcPr>
            <w:tcW w:w="1418" w:type="dxa"/>
            <w:tcBorders>
              <w:top w:val="nil"/>
              <w:left w:val="nil"/>
              <w:bottom w:val="single" w:sz="4" w:space="0" w:color="auto"/>
              <w:right w:val="single" w:sz="4" w:space="0" w:color="auto"/>
            </w:tcBorders>
            <w:shd w:val="clear" w:color="auto" w:fill="auto"/>
            <w:hideMark/>
          </w:tcPr>
          <w:p w14:paraId="028A8603" w14:textId="77777777" w:rsidR="00CA37AD" w:rsidRPr="0043589D" w:rsidRDefault="00CA37AD"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61,6</w:t>
            </w:r>
          </w:p>
        </w:tc>
        <w:tc>
          <w:tcPr>
            <w:tcW w:w="850" w:type="dxa"/>
            <w:tcBorders>
              <w:top w:val="nil"/>
              <w:left w:val="nil"/>
              <w:bottom w:val="single" w:sz="4" w:space="0" w:color="auto"/>
              <w:right w:val="single" w:sz="4" w:space="0" w:color="auto"/>
            </w:tcBorders>
            <w:shd w:val="clear" w:color="auto" w:fill="auto"/>
            <w:hideMark/>
          </w:tcPr>
          <w:p w14:paraId="1743D804"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2020</w:t>
            </w:r>
          </w:p>
        </w:tc>
        <w:tc>
          <w:tcPr>
            <w:tcW w:w="1519" w:type="dxa"/>
            <w:tcBorders>
              <w:top w:val="nil"/>
              <w:left w:val="nil"/>
              <w:bottom w:val="single" w:sz="4" w:space="0" w:color="auto"/>
              <w:right w:val="single" w:sz="8" w:space="0" w:color="auto"/>
            </w:tcBorders>
            <w:shd w:val="clear" w:color="auto" w:fill="auto"/>
            <w:hideMark/>
          </w:tcPr>
          <w:p w14:paraId="20C2CA67" w14:textId="77777777" w:rsidR="00CA37AD" w:rsidRPr="0043589D" w:rsidRDefault="00CA37AD" w:rsidP="001E7124">
            <w:pPr>
              <w:spacing w:after="0"/>
              <w:jc w:val="left"/>
              <w:rPr>
                <w:rFonts w:ascii="Calibri" w:eastAsia="Times New Roman" w:hAnsi="Calibri" w:cs="Calibri"/>
                <w:color w:val="auto"/>
                <w:u w:val="single"/>
                <w:lang w:eastAsia="cs-CZ"/>
              </w:rPr>
            </w:pPr>
            <w:r w:rsidRPr="0043589D">
              <w:rPr>
                <w:color w:val="auto"/>
              </w:rPr>
              <w:t>OECD</w:t>
            </w:r>
          </w:p>
        </w:tc>
      </w:tr>
      <w:tr w:rsidR="007C679A" w:rsidRPr="0043589D" w14:paraId="6855BFE1" w14:textId="77777777" w:rsidTr="003C5F13">
        <w:trPr>
          <w:trHeight w:val="300"/>
        </w:trPr>
        <w:tc>
          <w:tcPr>
            <w:tcW w:w="1408" w:type="dxa"/>
            <w:vMerge/>
            <w:tcBorders>
              <w:top w:val="nil"/>
              <w:left w:val="single" w:sz="8" w:space="0" w:color="auto"/>
              <w:bottom w:val="single" w:sz="8" w:space="0" w:color="000000"/>
              <w:right w:val="single" w:sz="8" w:space="0" w:color="auto"/>
            </w:tcBorders>
            <w:vAlign w:val="center"/>
            <w:hideMark/>
          </w:tcPr>
          <w:p w14:paraId="633D8C0E" w14:textId="77777777" w:rsidR="007C679A" w:rsidRPr="0043589D" w:rsidRDefault="007C679A" w:rsidP="007C679A">
            <w:pPr>
              <w:spacing w:after="0"/>
              <w:jc w:val="left"/>
              <w:rPr>
                <w:rFonts w:ascii="Calibri" w:eastAsia="Times New Roman" w:hAnsi="Calibri" w:cs="Calibri"/>
                <w:color w:val="auto"/>
                <w:lang w:eastAsia="cs-CZ"/>
              </w:rPr>
            </w:pPr>
          </w:p>
        </w:tc>
        <w:tc>
          <w:tcPr>
            <w:tcW w:w="1134" w:type="dxa"/>
            <w:tcBorders>
              <w:top w:val="nil"/>
              <w:left w:val="single" w:sz="8" w:space="0" w:color="auto"/>
              <w:bottom w:val="single" w:sz="4" w:space="0" w:color="auto"/>
              <w:right w:val="single" w:sz="4" w:space="0" w:color="auto"/>
            </w:tcBorders>
            <w:shd w:val="clear" w:color="000000" w:fill="C6EFCE"/>
            <w:hideMark/>
          </w:tcPr>
          <w:p w14:paraId="4B32DF8F" w14:textId="77777777" w:rsidR="007C679A" w:rsidRPr="0043589D" w:rsidRDefault="007C679A" w:rsidP="007C679A">
            <w:pPr>
              <w:spacing w:after="0"/>
              <w:jc w:val="center"/>
              <w:rPr>
                <w:rFonts w:ascii="Calibri" w:eastAsia="Times New Roman" w:hAnsi="Calibri" w:cs="Calibri"/>
                <w:color w:val="006100"/>
                <w:lang w:eastAsia="cs-CZ"/>
              </w:rPr>
            </w:pPr>
            <w:r w:rsidRPr="0043589D">
              <w:rPr>
                <w:rFonts w:ascii="Calibri" w:eastAsia="Times New Roman" w:hAnsi="Calibri" w:cs="Calibri"/>
                <w:color w:val="006100"/>
                <w:lang w:eastAsia="cs-CZ"/>
              </w:rPr>
              <w:t>Doplňující</w:t>
            </w:r>
          </w:p>
        </w:tc>
        <w:tc>
          <w:tcPr>
            <w:tcW w:w="7087" w:type="dxa"/>
            <w:tcBorders>
              <w:top w:val="nil"/>
              <w:left w:val="nil"/>
              <w:bottom w:val="single" w:sz="4" w:space="0" w:color="auto"/>
              <w:right w:val="single" w:sz="4" w:space="0" w:color="auto"/>
            </w:tcBorders>
            <w:shd w:val="clear" w:color="auto" w:fill="auto"/>
            <w:hideMark/>
          </w:tcPr>
          <w:p w14:paraId="79B74F0E" w14:textId="64910942" w:rsidR="007C679A" w:rsidRPr="0043589D" w:rsidRDefault="00792771" w:rsidP="007C679A">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M</w:t>
            </w:r>
            <w:r w:rsidR="007C679A" w:rsidRPr="0043589D">
              <w:rPr>
                <w:rFonts w:ascii="Calibri" w:eastAsia="Times New Roman" w:hAnsi="Calibri" w:cs="Calibri"/>
                <w:color w:val="auto"/>
                <w:lang w:eastAsia="cs-CZ"/>
              </w:rPr>
              <w:t>etodik</w:t>
            </w:r>
            <w:r w:rsidRPr="0043589D">
              <w:rPr>
                <w:rFonts w:ascii="Calibri" w:eastAsia="Times New Roman" w:hAnsi="Calibri" w:cs="Calibri"/>
                <w:color w:val="auto"/>
                <w:lang w:eastAsia="cs-CZ"/>
              </w:rPr>
              <w:t>a</w:t>
            </w:r>
            <w:r w:rsidR="007C679A" w:rsidRPr="0043589D">
              <w:rPr>
                <w:rFonts w:ascii="Calibri" w:eastAsia="Times New Roman" w:hAnsi="Calibri" w:cs="Calibri"/>
                <w:color w:val="auto"/>
                <w:lang w:eastAsia="cs-CZ"/>
              </w:rPr>
              <w:t xml:space="preserve"> problematických závislostí v mezinárodním obchodě</w:t>
            </w:r>
          </w:p>
        </w:tc>
        <w:tc>
          <w:tcPr>
            <w:tcW w:w="1134" w:type="dxa"/>
            <w:tcBorders>
              <w:top w:val="nil"/>
              <w:left w:val="nil"/>
              <w:bottom w:val="single" w:sz="4" w:space="0" w:color="auto"/>
              <w:right w:val="single" w:sz="4" w:space="0" w:color="auto"/>
            </w:tcBorders>
            <w:shd w:val="clear" w:color="auto" w:fill="auto"/>
            <w:hideMark/>
          </w:tcPr>
          <w:p w14:paraId="0860D1B0" w14:textId="77777777" w:rsidR="007C679A" w:rsidRPr="0043589D" w:rsidRDefault="007C679A"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ano/ne</w:t>
            </w:r>
          </w:p>
        </w:tc>
        <w:tc>
          <w:tcPr>
            <w:tcW w:w="1418" w:type="dxa"/>
            <w:tcBorders>
              <w:top w:val="nil"/>
              <w:left w:val="nil"/>
              <w:bottom w:val="single" w:sz="4" w:space="0" w:color="auto"/>
              <w:right w:val="single" w:sz="4" w:space="0" w:color="auto"/>
            </w:tcBorders>
            <w:shd w:val="clear" w:color="auto" w:fill="auto"/>
            <w:hideMark/>
          </w:tcPr>
          <w:p w14:paraId="0558FB52" w14:textId="77777777" w:rsidR="007C679A" w:rsidRPr="0043589D" w:rsidRDefault="007C679A"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ne</w:t>
            </w:r>
          </w:p>
        </w:tc>
        <w:tc>
          <w:tcPr>
            <w:tcW w:w="850" w:type="dxa"/>
            <w:tcBorders>
              <w:top w:val="nil"/>
              <w:left w:val="nil"/>
              <w:bottom w:val="single" w:sz="4" w:space="0" w:color="auto"/>
              <w:right w:val="single" w:sz="4" w:space="0" w:color="auto"/>
            </w:tcBorders>
            <w:shd w:val="clear" w:color="auto" w:fill="auto"/>
            <w:hideMark/>
          </w:tcPr>
          <w:p w14:paraId="41AE3CF9" w14:textId="77777777" w:rsidR="007C679A" w:rsidRPr="0043589D" w:rsidRDefault="007C679A"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2024</w:t>
            </w:r>
          </w:p>
        </w:tc>
        <w:tc>
          <w:tcPr>
            <w:tcW w:w="1519" w:type="dxa"/>
            <w:tcBorders>
              <w:top w:val="nil"/>
              <w:left w:val="nil"/>
              <w:bottom w:val="single" w:sz="4" w:space="0" w:color="auto"/>
              <w:right w:val="single" w:sz="8" w:space="0" w:color="auto"/>
            </w:tcBorders>
            <w:shd w:val="clear" w:color="auto" w:fill="auto"/>
            <w:hideMark/>
          </w:tcPr>
          <w:p w14:paraId="54660189" w14:textId="5A12BD55" w:rsidR="007C679A" w:rsidRPr="0043589D" w:rsidRDefault="007C679A" w:rsidP="007C679A">
            <w:pPr>
              <w:spacing w:after="0"/>
              <w:jc w:val="left"/>
              <w:rPr>
                <w:rFonts w:ascii="Calibri" w:eastAsia="Times New Roman" w:hAnsi="Calibri" w:cs="Calibri"/>
                <w:color w:val="auto"/>
                <w:u w:val="single"/>
                <w:lang w:eastAsia="cs-CZ"/>
              </w:rPr>
            </w:pPr>
            <w:r w:rsidRPr="0043589D">
              <w:rPr>
                <w:color w:val="auto"/>
              </w:rPr>
              <w:t>MPO</w:t>
            </w:r>
          </w:p>
        </w:tc>
      </w:tr>
      <w:tr w:rsidR="007C679A" w:rsidRPr="0043589D" w14:paraId="2D5A6E45" w14:textId="77777777" w:rsidTr="003C5F13">
        <w:trPr>
          <w:trHeight w:val="300"/>
        </w:trPr>
        <w:tc>
          <w:tcPr>
            <w:tcW w:w="1408" w:type="dxa"/>
            <w:vMerge/>
            <w:tcBorders>
              <w:top w:val="nil"/>
              <w:left w:val="single" w:sz="8" w:space="0" w:color="auto"/>
              <w:bottom w:val="single" w:sz="8" w:space="0" w:color="000000"/>
              <w:right w:val="single" w:sz="8" w:space="0" w:color="auto"/>
            </w:tcBorders>
            <w:vAlign w:val="center"/>
            <w:hideMark/>
          </w:tcPr>
          <w:p w14:paraId="3CAF1625" w14:textId="77777777" w:rsidR="007C679A" w:rsidRPr="0043589D" w:rsidRDefault="007C679A" w:rsidP="007C679A">
            <w:pPr>
              <w:spacing w:after="0"/>
              <w:jc w:val="left"/>
              <w:rPr>
                <w:rFonts w:ascii="Calibri" w:eastAsia="Times New Roman" w:hAnsi="Calibri" w:cs="Calibri"/>
                <w:color w:val="auto"/>
                <w:lang w:eastAsia="cs-CZ"/>
              </w:rPr>
            </w:pPr>
          </w:p>
        </w:tc>
        <w:tc>
          <w:tcPr>
            <w:tcW w:w="1134" w:type="dxa"/>
            <w:tcBorders>
              <w:top w:val="single" w:sz="4" w:space="0" w:color="auto"/>
              <w:left w:val="single" w:sz="8" w:space="0" w:color="auto"/>
              <w:bottom w:val="single" w:sz="4" w:space="0" w:color="auto"/>
              <w:right w:val="single" w:sz="4" w:space="0" w:color="auto"/>
            </w:tcBorders>
            <w:shd w:val="clear" w:color="000000" w:fill="C6EFCE"/>
            <w:hideMark/>
          </w:tcPr>
          <w:p w14:paraId="23F16980" w14:textId="77777777" w:rsidR="007C679A" w:rsidRPr="0043589D" w:rsidRDefault="007C679A" w:rsidP="007C679A">
            <w:pPr>
              <w:spacing w:after="0"/>
              <w:jc w:val="center"/>
              <w:rPr>
                <w:rFonts w:ascii="Calibri" w:eastAsia="Times New Roman" w:hAnsi="Calibri" w:cs="Calibri"/>
                <w:color w:val="006100"/>
                <w:lang w:eastAsia="cs-CZ"/>
              </w:rPr>
            </w:pPr>
            <w:r w:rsidRPr="0043589D">
              <w:rPr>
                <w:rFonts w:ascii="Calibri" w:eastAsia="Times New Roman" w:hAnsi="Calibri" w:cs="Calibri"/>
                <w:color w:val="006100"/>
                <w:lang w:eastAsia="cs-CZ"/>
              </w:rPr>
              <w:t>Doplňující</w:t>
            </w:r>
          </w:p>
        </w:tc>
        <w:tc>
          <w:tcPr>
            <w:tcW w:w="7087" w:type="dxa"/>
            <w:tcBorders>
              <w:top w:val="nil"/>
              <w:left w:val="nil"/>
              <w:bottom w:val="single" w:sz="4" w:space="0" w:color="auto"/>
              <w:right w:val="single" w:sz="4" w:space="0" w:color="auto"/>
            </w:tcBorders>
            <w:shd w:val="clear" w:color="auto" w:fill="auto"/>
            <w:hideMark/>
          </w:tcPr>
          <w:p w14:paraId="7F692817" w14:textId="69A9ACC5" w:rsidR="007C679A" w:rsidRPr="0043589D" w:rsidRDefault="00792771" w:rsidP="007C679A">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M</w:t>
            </w:r>
            <w:r w:rsidR="007C679A" w:rsidRPr="0043589D">
              <w:rPr>
                <w:rFonts w:ascii="Calibri" w:eastAsia="Times New Roman" w:hAnsi="Calibri" w:cs="Calibri"/>
                <w:color w:val="auto"/>
                <w:lang w:eastAsia="cs-CZ"/>
              </w:rPr>
              <w:t>etodik</w:t>
            </w:r>
            <w:r w:rsidRPr="0043589D">
              <w:rPr>
                <w:rFonts w:ascii="Calibri" w:eastAsia="Times New Roman" w:hAnsi="Calibri" w:cs="Calibri"/>
                <w:color w:val="auto"/>
                <w:lang w:eastAsia="cs-CZ"/>
              </w:rPr>
              <w:t>a</w:t>
            </w:r>
            <w:r w:rsidR="007C679A" w:rsidRPr="0043589D">
              <w:rPr>
                <w:rFonts w:ascii="Calibri" w:eastAsia="Times New Roman" w:hAnsi="Calibri" w:cs="Calibri"/>
                <w:color w:val="auto"/>
                <w:lang w:eastAsia="cs-CZ"/>
              </w:rPr>
              <w:t xml:space="preserve"> přehledu kritických vstupů pro vybraná průmyslová odvětví </w:t>
            </w:r>
          </w:p>
        </w:tc>
        <w:tc>
          <w:tcPr>
            <w:tcW w:w="1134" w:type="dxa"/>
            <w:tcBorders>
              <w:top w:val="nil"/>
              <w:left w:val="nil"/>
              <w:bottom w:val="single" w:sz="4" w:space="0" w:color="auto"/>
              <w:right w:val="single" w:sz="4" w:space="0" w:color="auto"/>
            </w:tcBorders>
            <w:shd w:val="clear" w:color="auto" w:fill="auto"/>
            <w:hideMark/>
          </w:tcPr>
          <w:p w14:paraId="0033FD56" w14:textId="77777777" w:rsidR="007C679A" w:rsidRPr="0043589D" w:rsidRDefault="007C679A"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ano/ne</w:t>
            </w:r>
          </w:p>
        </w:tc>
        <w:tc>
          <w:tcPr>
            <w:tcW w:w="1418" w:type="dxa"/>
            <w:tcBorders>
              <w:top w:val="nil"/>
              <w:left w:val="nil"/>
              <w:bottom w:val="single" w:sz="4" w:space="0" w:color="auto"/>
              <w:right w:val="single" w:sz="4" w:space="0" w:color="auto"/>
            </w:tcBorders>
            <w:shd w:val="clear" w:color="auto" w:fill="auto"/>
            <w:hideMark/>
          </w:tcPr>
          <w:p w14:paraId="658A6CD6" w14:textId="77777777" w:rsidR="007C679A" w:rsidRPr="0043589D" w:rsidRDefault="007C679A"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ne</w:t>
            </w:r>
          </w:p>
        </w:tc>
        <w:tc>
          <w:tcPr>
            <w:tcW w:w="850" w:type="dxa"/>
            <w:tcBorders>
              <w:top w:val="nil"/>
              <w:left w:val="nil"/>
              <w:bottom w:val="single" w:sz="4" w:space="0" w:color="auto"/>
              <w:right w:val="single" w:sz="4" w:space="0" w:color="auto"/>
            </w:tcBorders>
            <w:shd w:val="clear" w:color="auto" w:fill="auto"/>
            <w:hideMark/>
          </w:tcPr>
          <w:p w14:paraId="0A7E281C" w14:textId="77777777" w:rsidR="007C679A" w:rsidRPr="0043589D" w:rsidRDefault="007C679A"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2024</w:t>
            </w:r>
          </w:p>
        </w:tc>
        <w:tc>
          <w:tcPr>
            <w:tcW w:w="1519" w:type="dxa"/>
            <w:tcBorders>
              <w:top w:val="nil"/>
              <w:left w:val="nil"/>
              <w:bottom w:val="single" w:sz="4" w:space="0" w:color="auto"/>
              <w:right w:val="single" w:sz="8" w:space="0" w:color="auto"/>
            </w:tcBorders>
            <w:shd w:val="clear" w:color="auto" w:fill="auto"/>
            <w:hideMark/>
          </w:tcPr>
          <w:p w14:paraId="24D57E49" w14:textId="51C63E34" w:rsidR="007C679A" w:rsidRPr="0043589D" w:rsidRDefault="007C679A" w:rsidP="007C679A">
            <w:pPr>
              <w:spacing w:after="0"/>
              <w:jc w:val="left"/>
              <w:rPr>
                <w:rFonts w:ascii="Calibri" w:eastAsia="Times New Roman" w:hAnsi="Calibri" w:cs="Calibri"/>
                <w:color w:val="auto"/>
                <w:u w:val="single"/>
                <w:lang w:eastAsia="cs-CZ"/>
              </w:rPr>
            </w:pPr>
            <w:r w:rsidRPr="0043589D">
              <w:rPr>
                <w:color w:val="auto"/>
              </w:rPr>
              <w:t>MPO</w:t>
            </w:r>
          </w:p>
        </w:tc>
      </w:tr>
      <w:tr w:rsidR="007C679A" w:rsidRPr="0043589D" w14:paraId="5ACD77BA" w14:textId="77777777" w:rsidTr="003C5F13">
        <w:trPr>
          <w:trHeight w:val="300"/>
        </w:trPr>
        <w:tc>
          <w:tcPr>
            <w:tcW w:w="1408" w:type="dxa"/>
            <w:vMerge/>
            <w:tcBorders>
              <w:top w:val="nil"/>
              <w:left w:val="single" w:sz="8" w:space="0" w:color="auto"/>
              <w:bottom w:val="single" w:sz="8" w:space="0" w:color="000000"/>
              <w:right w:val="single" w:sz="8" w:space="0" w:color="auto"/>
            </w:tcBorders>
            <w:vAlign w:val="center"/>
            <w:hideMark/>
          </w:tcPr>
          <w:p w14:paraId="014505F1" w14:textId="77777777" w:rsidR="007C679A" w:rsidRPr="0043589D" w:rsidRDefault="007C679A" w:rsidP="007C679A">
            <w:pPr>
              <w:spacing w:after="0"/>
              <w:jc w:val="left"/>
              <w:rPr>
                <w:rFonts w:ascii="Calibri" w:eastAsia="Times New Roman" w:hAnsi="Calibri" w:cs="Calibri"/>
                <w:color w:val="auto"/>
                <w:lang w:eastAsia="cs-CZ"/>
              </w:rPr>
            </w:pPr>
          </w:p>
        </w:tc>
        <w:tc>
          <w:tcPr>
            <w:tcW w:w="1134" w:type="dxa"/>
            <w:tcBorders>
              <w:top w:val="single" w:sz="4" w:space="0" w:color="auto"/>
              <w:left w:val="single" w:sz="8" w:space="0" w:color="auto"/>
              <w:bottom w:val="single" w:sz="4" w:space="0" w:color="auto"/>
              <w:right w:val="single" w:sz="4" w:space="0" w:color="auto"/>
            </w:tcBorders>
            <w:shd w:val="clear" w:color="000000" w:fill="C6EFCE"/>
            <w:hideMark/>
          </w:tcPr>
          <w:p w14:paraId="50019CDB" w14:textId="77777777" w:rsidR="007C679A" w:rsidRPr="0043589D" w:rsidRDefault="007C679A" w:rsidP="007C679A">
            <w:pPr>
              <w:spacing w:after="0"/>
              <w:jc w:val="center"/>
              <w:rPr>
                <w:rFonts w:ascii="Calibri" w:eastAsia="Times New Roman" w:hAnsi="Calibri" w:cs="Calibri"/>
                <w:color w:val="006100"/>
                <w:lang w:eastAsia="cs-CZ"/>
              </w:rPr>
            </w:pPr>
            <w:r w:rsidRPr="0043589D">
              <w:rPr>
                <w:rFonts w:ascii="Calibri" w:eastAsia="Times New Roman" w:hAnsi="Calibri" w:cs="Calibri"/>
                <w:color w:val="006100"/>
                <w:lang w:eastAsia="cs-CZ"/>
              </w:rPr>
              <w:t>Doplňující</w:t>
            </w:r>
          </w:p>
        </w:tc>
        <w:tc>
          <w:tcPr>
            <w:tcW w:w="7087" w:type="dxa"/>
            <w:tcBorders>
              <w:top w:val="nil"/>
              <w:left w:val="nil"/>
              <w:bottom w:val="single" w:sz="4" w:space="0" w:color="auto"/>
              <w:right w:val="single" w:sz="4" w:space="0" w:color="auto"/>
            </w:tcBorders>
            <w:shd w:val="clear" w:color="auto" w:fill="auto"/>
            <w:hideMark/>
          </w:tcPr>
          <w:p w14:paraId="68EB6123" w14:textId="77777777" w:rsidR="007C679A" w:rsidRPr="0043589D" w:rsidRDefault="007C679A" w:rsidP="007C679A">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Stanovení kritérií pro určování kritických technologií</w:t>
            </w:r>
          </w:p>
        </w:tc>
        <w:tc>
          <w:tcPr>
            <w:tcW w:w="1134" w:type="dxa"/>
            <w:tcBorders>
              <w:top w:val="nil"/>
              <w:left w:val="nil"/>
              <w:bottom w:val="single" w:sz="4" w:space="0" w:color="auto"/>
              <w:right w:val="single" w:sz="4" w:space="0" w:color="auto"/>
            </w:tcBorders>
            <w:shd w:val="clear" w:color="auto" w:fill="auto"/>
            <w:hideMark/>
          </w:tcPr>
          <w:p w14:paraId="28FA7061" w14:textId="77777777" w:rsidR="007C679A" w:rsidRPr="0043589D" w:rsidRDefault="007C679A"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ano/ne</w:t>
            </w:r>
          </w:p>
        </w:tc>
        <w:tc>
          <w:tcPr>
            <w:tcW w:w="1418" w:type="dxa"/>
            <w:tcBorders>
              <w:top w:val="nil"/>
              <w:left w:val="nil"/>
              <w:bottom w:val="single" w:sz="4" w:space="0" w:color="auto"/>
              <w:right w:val="single" w:sz="4" w:space="0" w:color="auto"/>
            </w:tcBorders>
            <w:shd w:val="clear" w:color="auto" w:fill="auto"/>
            <w:hideMark/>
          </w:tcPr>
          <w:p w14:paraId="2AB60BF6" w14:textId="77777777" w:rsidR="007C679A" w:rsidRPr="0043589D" w:rsidRDefault="007C679A"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ne</w:t>
            </w:r>
          </w:p>
        </w:tc>
        <w:tc>
          <w:tcPr>
            <w:tcW w:w="850" w:type="dxa"/>
            <w:tcBorders>
              <w:top w:val="nil"/>
              <w:left w:val="nil"/>
              <w:bottom w:val="single" w:sz="4" w:space="0" w:color="auto"/>
              <w:right w:val="single" w:sz="4" w:space="0" w:color="auto"/>
            </w:tcBorders>
            <w:shd w:val="clear" w:color="auto" w:fill="auto"/>
            <w:hideMark/>
          </w:tcPr>
          <w:p w14:paraId="24F5A43A" w14:textId="77777777" w:rsidR="007C679A" w:rsidRPr="0043589D" w:rsidRDefault="007C679A"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2024</w:t>
            </w:r>
          </w:p>
        </w:tc>
        <w:tc>
          <w:tcPr>
            <w:tcW w:w="1519" w:type="dxa"/>
            <w:tcBorders>
              <w:top w:val="nil"/>
              <w:left w:val="nil"/>
              <w:bottom w:val="single" w:sz="4" w:space="0" w:color="auto"/>
              <w:right w:val="single" w:sz="8" w:space="0" w:color="auto"/>
            </w:tcBorders>
            <w:shd w:val="clear" w:color="auto" w:fill="auto"/>
            <w:hideMark/>
          </w:tcPr>
          <w:p w14:paraId="7EA9FFF6" w14:textId="55E2C8CB" w:rsidR="007C679A" w:rsidRPr="0043589D" w:rsidRDefault="007C679A" w:rsidP="007C679A">
            <w:pPr>
              <w:spacing w:after="0"/>
              <w:jc w:val="left"/>
              <w:rPr>
                <w:rFonts w:ascii="Calibri" w:eastAsia="Times New Roman" w:hAnsi="Calibri" w:cs="Calibri"/>
                <w:color w:val="auto"/>
                <w:u w:val="single"/>
                <w:lang w:eastAsia="cs-CZ"/>
              </w:rPr>
            </w:pPr>
            <w:r w:rsidRPr="0043589D">
              <w:rPr>
                <w:color w:val="auto"/>
              </w:rPr>
              <w:t>MPO</w:t>
            </w:r>
          </w:p>
        </w:tc>
      </w:tr>
      <w:tr w:rsidR="007C679A" w:rsidRPr="0043589D" w14:paraId="4D0CDAC9" w14:textId="77777777" w:rsidTr="003C5F13">
        <w:trPr>
          <w:trHeight w:val="300"/>
        </w:trPr>
        <w:tc>
          <w:tcPr>
            <w:tcW w:w="1408" w:type="dxa"/>
            <w:vMerge/>
            <w:tcBorders>
              <w:top w:val="nil"/>
              <w:left w:val="single" w:sz="8" w:space="0" w:color="auto"/>
              <w:bottom w:val="single" w:sz="8" w:space="0" w:color="000000"/>
              <w:right w:val="single" w:sz="8" w:space="0" w:color="auto"/>
            </w:tcBorders>
            <w:vAlign w:val="center"/>
            <w:hideMark/>
          </w:tcPr>
          <w:p w14:paraId="1777020D" w14:textId="77777777" w:rsidR="007C679A" w:rsidRPr="0043589D" w:rsidRDefault="007C679A" w:rsidP="007C679A">
            <w:pPr>
              <w:spacing w:after="0"/>
              <w:jc w:val="left"/>
              <w:rPr>
                <w:rFonts w:ascii="Calibri" w:eastAsia="Times New Roman" w:hAnsi="Calibri" w:cs="Calibri"/>
                <w:color w:val="auto"/>
                <w:lang w:eastAsia="cs-CZ"/>
              </w:rPr>
            </w:pPr>
          </w:p>
        </w:tc>
        <w:tc>
          <w:tcPr>
            <w:tcW w:w="1134" w:type="dxa"/>
            <w:tcBorders>
              <w:top w:val="single" w:sz="4" w:space="0" w:color="auto"/>
              <w:left w:val="single" w:sz="8" w:space="0" w:color="auto"/>
              <w:bottom w:val="single" w:sz="8" w:space="0" w:color="auto"/>
              <w:right w:val="single" w:sz="4" w:space="0" w:color="auto"/>
            </w:tcBorders>
            <w:shd w:val="clear" w:color="000000" w:fill="C6EFCE"/>
            <w:hideMark/>
          </w:tcPr>
          <w:p w14:paraId="4B965A47" w14:textId="77777777" w:rsidR="007C679A" w:rsidRPr="0043589D" w:rsidRDefault="007C679A" w:rsidP="007C679A">
            <w:pPr>
              <w:spacing w:after="0"/>
              <w:jc w:val="center"/>
              <w:rPr>
                <w:rFonts w:ascii="Calibri" w:eastAsia="Times New Roman" w:hAnsi="Calibri" w:cs="Calibri"/>
                <w:color w:val="006100"/>
                <w:lang w:eastAsia="cs-CZ"/>
              </w:rPr>
            </w:pPr>
            <w:r w:rsidRPr="0043589D">
              <w:rPr>
                <w:rFonts w:ascii="Calibri" w:eastAsia="Times New Roman" w:hAnsi="Calibri" w:cs="Calibri"/>
                <w:color w:val="006100"/>
                <w:lang w:eastAsia="cs-CZ"/>
              </w:rPr>
              <w:t>Doplňující</w:t>
            </w:r>
          </w:p>
        </w:tc>
        <w:tc>
          <w:tcPr>
            <w:tcW w:w="7087" w:type="dxa"/>
            <w:tcBorders>
              <w:top w:val="nil"/>
              <w:left w:val="nil"/>
              <w:bottom w:val="single" w:sz="8" w:space="0" w:color="auto"/>
              <w:right w:val="single" w:sz="4" w:space="0" w:color="auto"/>
            </w:tcBorders>
            <w:shd w:val="clear" w:color="auto" w:fill="auto"/>
            <w:hideMark/>
          </w:tcPr>
          <w:p w14:paraId="6212406A" w14:textId="12AF27A8" w:rsidR="007C679A" w:rsidRPr="0043589D" w:rsidRDefault="007C679A" w:rsidP="007C679A">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Spolupráce se strat</w:t>
            </w:r>
            <w:r w:rsidR="0043589D">
              <w:rPr>
                <w:rFonts w:ascii="Calibri" w:eastAsia="Times New Roman" w:hAnsi="Calibri" w:cs="Calibri"/>
                <w:color w:val="auto"/>
                <w:lang w:eastAsia="cs-CZ"/>
              </w:rPr>
              <w:t>.</w:t>
            </w:r>
            <w:r w:rsidRPr="0043589D">
              <w:rPr>
                <w:rFonts w:ascii="Calibri" w:eastAsia="Times New Roman" w:hAnsi="Calibri" w:cs="Calibri"/>
                <w:color w:val="auto"/>
                <w:lang w:eastAsia="cs-CZ"/>
              </w:rPr>
              <w:t xml:space="preserve"> partnery, odstraňování překážek na vnitřním trhu</w:t>
            </w:r>
          </w:p>
        </w:tc>
        <w:tc>
          <w:tcPr>
            <w:tcW w:w="1134" w:type="dxa"/>
            <w:tcBorders>
              <w:top w:val="nil"/>
              <w:left w:val="nil"/>
              <w:bottom w:val="single" w:sz="8" w:space="0" w:color="auto"/>
              <w:right w:val="single" w:sz="4" w:space="0" w:color="auto"/>
            </w:tcBorders>
            <w:shd w:val="clear" w:color="auto" w:fill="auto"/>
            <w:hideMark/>
          </w:tcPr>
          <w:p w14:paraId="713E0E8D" w14:textId="77777777" w:rsidR="007C679A" w:rsidRPr="0043589D" w:rsidRDefault="007C679A"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ano/ne</w:t>
            </w:r>
          </w:p>
        </w:tc>
        <w:tc>
          <w:tcPr>
            <w:tcW w:w="1418" w:type="dxa"/>
            <w:tcBorders>
              <w:top w:val="nil"/>
              <w:left w:val="nil"/>
              <w:bottom w:val="single" w:sz="8" w:space="0" w:color="auto"/>
              <w:right w:val="single" w:sz="4" w:space="0" w:color="auto"/>
            </w:tcBorders>
            <w:shd w:val="clear" w:color="auto" w:fill="auto"/>
            <w:hideMark/>
          </w:tcPr>
          <w:p w14:paraId="74C13493" w14:textId="77777777" w:rsidR="007C679A" w:rsidRPr="0043589D" w:rsidRDefault="007C679A"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ano</w:t>
            </w:r>
          </w:p>
        </w:tc>
        <w:tc>
          <w:tcPr>
            <w:tcW w:w="850" w:type="dxa"/>
            <w:tcBorders>
              <w:top w:val="nil"/>
              <w:left w:val="nil"/>
              <w:bottom w:val="single" w:sz="8" w:space="0" w:color="auto"/>
              <w:right w:val="single" w:sz="4" w:space="0" w:color="auto"/>
            </w:tcBorders>
            <w:shd w:val="clear" w:color="auto" w:fill="auto"/>
            <w:hideMark/>
          </w:tcPr>
          <w:p w14:paraId="330AE743" w14:textId="77777777" w:rsidR="007C679A" w:rsidRPr="0043589D" w:rsidRDefault="007C679A"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2024</w:t>
            </w:r>
          </w:p>
        </w:tc>
        <w:tc>
          <w:tcPr>
            <w:tcW w:w="1519" w:type="dxa"/>
            <w:tcBorders>
              <w:top w:val="nil"/>
              <w:left w:val="nil"/>
              <w:bottom w:val="single" w:sz="8" w:space="0" w:color="auto"/>
              <w:right w:val="single" w:sz="8" w:space="0" w:color="auto"/>
            </w:tcBorders>
            <w:shd w:val="clear" w:color="auto" w:fill="auto"/>
            <w:hideMark/>
          </w:tcPr>
          <w:p w14:paraId="4456B28E" w14:textId="7AF2E39C" w:rsidR="007C679A" w:rsidRPr="0043589D" w:rsidRDefault="007C679A" w:rsidP="007C679A">
            <w:pPr>
              <w:spacing w:after="0"/>
              <w:jc w:val="left"/>
              <w:rPr>
                <w:rFonts w:ascii="Calibri" w:eastAsia="Times New Roman" w:hAnsi="Calibri" w:cs="Calibri"/>
                <w:color w:val="auto"/>
                <w:u w:val="single"/>
                <w:lang w:eastAsia="cs-CZ"/>
              </w:rPr>
            </w:pPr>
            <w:r w:rsidRPr="0043589D">
              <w:rPr>
                <w:color w:val="auto"/>
              </w:rPr>
              <w:t>MPO</w:t>
            </w:r>
          </w:p>
        </w:tc>
      </w:tr>
      <w:tr w:rsidR="00CA37AD" w:rsidRPr="0043589D" w14:paraId="206616BA" w14:textId="77777777" w:rsidTr="003C5F13">
        <w:trPr>
          <w:trHeight w:val="300"/>
        </w:trPr>
        <w:tc>
          <w:tcPr>
            <w:tcW w:w="1408" w:type="dxa"/>
            <w:vMerge w:val="restart"/>
            <w:tcBorders>
              <w:top w:val="nil"/>
              <w:left w:val="single" w:sz="8" w:space="0" w:color="auto"/>
              <w:bottom w:val="single" w:sz="8" w:space="0" w:color="000000"/>
              <w:right w:val="single" w:sz="8" w:space="0" w:color="auto"/>
            </w:tcBorders>
            <w:shd w:val="clear" w:color="auto" w:fill="auto"/>
            <w:vAlign w:val="center"/>
            <w:hideMark/>
          </w:tcPr>
          <w:p w14:paraId="01322BC3" w14:textId="77777777" w:rsidR="00CA37AD" w:rsidRPr="0043589D" w:rsidRDefault="00CA37AD" w:rsidP="001E7124">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2.5 Surovinová bezpečnost a oběhové hospodářství</w:t>
            </w:r>
          </w:p>
        </w:tc>
        <w:tc>
          <w:tcPr>
            <w:tcW w:w="1134" w:type="dxa"/>
            <w:tcBorders>
              <w:top w:val="single" w:sz="4" w:space="0" w:color="auto"/>
              <w:left w:val="nil"/>
              <w:bottom w:val="single" w:sz="4" w:space="0" w:color="auto"/>
              <w:right w:val="single" w:sz="4" w:space="0" w:color="auto"/>
            </w:tcBorders>
            <w:shd w:val="clear" w:color="000000" w:fill="FFC7CE"/>
            <w:hideMark/>
          </w:tcPr>
          <w:p w14:paraId="7CC58A0A" w14:textId="77777777" w:rsidR="00CA37AD" w:rsidRPr="0043589D" w:rsidRDefault="00CA37AD" w:rsidP="001E7124">
            <w:pPr>
              <w:spacing w:after="0"/>
              <w:jc w:val="center"/>
              <w:rPr>
                <w:rFonts w:ascii="Calibri" w:eastAsia="Times New Roman" w:hAnsi="Calibri" w:cs="Calibri"/>
                <w:color w:val="9C0006"/>
                <w:lang w:eastAsia="cs-CZ"/>
              </w:rPr>
            </w:pPr>
            <w:r w:rsidRPr="0043589D">
              <w:rPr>
                <w:rFonts w:ascii="Calibri" w:eastAsia="Times New Roman" w:hAnsi="Calibri" w:cs="Calibri"/>
                <w:color w:val="9C0006"/>
                <w:lang w:eastAsia="cs-CZ"/>
              </w:rPr>
              <w:t>Strategický</w:t>
            </w:r>
          </w:p>
        </w:tc>
        <w:tc>
          <w:tcPr>
            <w:tcW w:w="7087" w:type="dxa"/>
            <w:tcBorders>
              <w:top w:val="single" w:sz="4" w:space="0" w:color="auto"/>
              <w:left w:val="nil"/>
              <w:bottom w:val="single" w:sz="4" w:space="0" w:color="auto"/>
              <w:right w:val="single" w:sz="4" w:space="0" w:color="auto"/>
            </w:tcBorders>
            <w:shd w:val="clear" w:color="auto" w:fill="auto"/>
            <w:hideMark/>
          </w:tcPr>
          <w:p w14:paraId="414D964C"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Snížení spotřebovaného surového materiálu na obyvatele</w:t>
            </w:r>
          </w:p>
        </w:tc>
        <w:tc>
          <w:tcPr>
            <w:tcW w:w="1134" w:type="dxa"/>
            <w:tcBorders>
              <w:top w:val="single" w:sz="4" w:space="0" w:color="auto"/>
              <w:left w:val="nil"/>
              <w:bottom w:val="single" w:sz="4" w:space="0" w:color="auto"/>
              <w:right w:val="single" w:sz="4" w:space="0" w:color="auto"/>
            </w:tcBorders>
            <w:shd w:val="clear" w:color="auto" w:fill="auto"/>
            <w:hideMark/>
          </w:tcPr>
          <w:p w14:paraId="588BBFF1"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tun ročně</w:t>
            </w:r>
          </w:p>
        </w:tc>
        <w:tc>
          <w:tcPr>
            <w:tcW w:w="1418" w:type="dxa"/>
            <w:tcBorders>
              <w:top w:val="single" w:sz="4" w:space="0" w:color="auto"/>
              <w:left w:val="nil"/>
              <w:bottom w:val="single" w:sz="4" w:space="0" w:color="auto"/>
              <w:right w:val="single" w:sz="4" w:space="0" w:color="auto"/>
            </w:tcBorders>
            <w:shd w:val="clear" w:color="auto" w:fill="auto"/>
            <w:hideMark/>
          </w:tcPr>
          <w:p w14:paraId="044F74B2" w14:textId="77777777" w:rsidR="00CA37AD" w:rsidRPr="0043589D" w:rsidRDefault="00CA37AD"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18,7</w:t>
            </w:r>
          </w:p>
        </w:tc>
        <w:tc>
          <w:tcPr>
            <w:tcW w:w="850" w:type="dxa"/>
            <w:tcBorders>
              <w:top w:val="single" w:sz="4" w:space="0" w:color="auto"/>
              <w:left w:val="nil"/>
              <w:bottom w:val="single" w:sz="4" w:space="0" w:color="auto"/>
              <w:right w:val="single" w:sz="4" w:space="0" w:color="auto"/>
            </w:tcBorders>
            <w:shd w:val="clear" w:color="auto" w:fill="auto"/>
            <w:hideMark/>
          </w:tcPr>
          <w:p w14:paraId="773C729B"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2022</w:t>
            </w:r>
          </w:p>
        </w:tc>
        <w:tc>
          <w:tcPr>
            <w:tcW w:w="1519" w:type="dxa"/>
            <w:tcBorders>
              <w:top w:val="single" w:sz="4" w:space="0" w:color="auto"/>
              <w:left w:val="nil"/>
              <w:bottom w:val="single" w:sz="4" w:space="0" w:color="auto"/>
              <w:right w:val="single" w:sz="8" w:space="0" w:color="auto"/>
            </w:tcBorders>
            <w:shd w:val="clear" w:color="auto" w:fill="auto"/>
            <w:hideMark/>
          </w:tcPr>
          <w:p w14:paraId="65058903" w14:textId="77777777" w:rsidR="00CA37AD" w:rsidRPr="0043589D" w:rsidRDefault="00CA37AD" w:rsidP="001E7124">
            <w:pPr>
              <w:spacing w:after="0"/>
              <w:jc w:val="left"/>
              <w:rPr>
                <w:rFonts w:ascii="Calibri" w:eastAsia="Times New Roman" w:hAnsi="Calibri" w:cs="Calibri"/>
                <w:color w:val="auto"/>
                <w:u w:val="single"/>
                <w:lang w:eastAsia="cs-CZ"/>
              </w:rPr>
            </w:pPr>
            <w:r w:rsidRPr="0043589D">
              <w:rPr>
                <w:color w:val="auto"/>
              </w:rPr>
              <w:t>Eurostat</w:t>
            </w:r>
          </w:p>
        </w:tc>
      </w:tr>
      <w:tr w:rsidR="00CA37AD" w:rsidRPr="0043589D" w14:paraId="15A09E5F" w14:textId="77777777" w:rsidTr="003C5F13">
        <w:trPr>
          <w:trHeight w:val="300"/>
        </w:trPr>
        <w:tc>
          <w:tcPr>
            <w:tcW w:w="1408" w:type="dxa"/>
            <w:vMerge/>
            <w:tcBorders>
              <w:top w:val="nil"/>
              <w:left w:val="single" w:sz="8" w:space="0" w:color="auto"/>
              <w:bottom w:val="single" w:sz="8" w:space="0" w:color="000000"/>
              <w:right w:val="single" w:sz="8" w:space="0" w:color="auto"/>
            </w:tcBorders>
            <w:vAlign w:val="center"/>
            <w:hideMark/>
          </w:tcPr>
          <w:p w14:paraId="0782A0DC" w14:textId="77777777" w:rsidR="00CA37AD" w:rsidRPr="0043589D" w:rsidRDefault="00CA37AD" w:rsidP="001E7124">
            <w:pPr>
              <w:spacing w:after="0"/>
              <w:jc w:val="left"/>
              <w:rPr>
                <w:rFonts w:ascii="Calibri" w:eastAsia="Times New Roman" w:hAnsi="Calibri" w:cs="Calibri"/>
                <w:color w:val="auto"/>
                <w:lang w:eastAsia="cs-CZ"/>
              </w:rPr>
            </w:pPr>
          </w:p>
        </w:tc>
        <w:tc>
          <w:tcPr>
            <w:tcW w:w="1134" w:type="dxa"/>
            <w:tcBorders>
              <w:top w:val="single" w:sz="4" w:space="0" w:color="auto"/>
              <w:left w:val="single" w:sz="8" w:space="0" w:color="auto"/>
              <w:bottom w:val="single" w:sz="4" w:space="0" w:color="auto"/>
              <w:right w:val="single" w:sz="4" w:space="0" w:color="auto"/>
            </w:tcBorders>
            <w:shd w:val="clear" w:color="000000" w:fill="C6EFCE"/>
            <w:hideMark/>
          </w:tcPr>
          <w:p w14:paraId="3961CFBF" w14:textId="77777777" w:rsidR="00CA37AD" w:rsidRPr="0043589D" w:rsidRDefault="00CA37AD" w:rsidP="001E7124">
            <w:pPr>
              <w:spacing w:after="0"/>
              <w:jc w:val="center"/>
              <w:rPr>
                <w:rFonts w:ascii="Calibri" w:eastAsia="Times New Roman" w:hAnsi="Calibri" w:cs="Calibri"/>
                <w:color w:val="006100"/>
                <w:lang w:eastAsia="cs-CZ"/>
              </w:rPr>
            </w:pPr>
            <w:r w:rsidRPr="0043589D">
              <w:rPr>
                <w:rFonts w:ascii="Calibri" w:eastAsia="Times New Roman" w:hAnsi="Calibri" w:cs="Calibri"/>
                <w:color w:val="006100"/>
                <w:lang w:eastAsia="cs-CZ"/>
              </w:rPr>
              <w:t>Doplňující</w:t>
            </w:r>
          </w:p>
        </w:tc>
        <w:tc>
          <w:tcPr>
            <w:tcW w:w="7087" w:type="dxa"/>
            <w:tcBorders>
              <w:top w:val="nil"/>
              <w:left w:val="nil"/>
              <w:bottom w:val="single" w:sz="4" w:space="0" w:color="auto"/>
              <w:right w:val="single" w:sz="4" w:space="0" w:color="auto"/>
            </w:tcBorders>
            <w:shd w:val="clear" w:color="auto" w:fill="auto"/>
            <w:hideMark/>
          </w:tcPr>
          <w:p w14:paraId="786B9239" w14:textId="47692A15" w:rsidR="00CA37AD" w:rsidRPr="0043589D" w:rsidRDefault="0043589D" w:rsidP="001E7124">
            <w:pPr>
              <w:spacing w:after="0"/>
              <w:jc w:val="left"/>
              <w:rPr>
                <w:rFonts w:ascii="Calibri" w:eastAsia="Times New Roman" w:hAnsi="Calibri" w:cs="Calibri"/>
                <w:color w:val="auto"/>
                <w:lang w:eastAsia="cs-CZ"/>
              </w:rPr>
            </w:pPr>
            <w:r>
              <w:rPr>
                <w:rFonts w:ascii="Calibri" w:eastAsia="Times New Roman" w:hAnsi="Calibri" w:cs="Calibri"/>
                <w:color w:val="auto"/>
                <w:lang w:eastAsia="cs-CZ"/>
              </w:rPr>
              <w:t>Schválená</w:t>
            </w:r>
            <w:r w:rsidR="00CA37AD" w:rsidRPr="0043589D">
              <w:rPr>
                <w:rFonts w:ascii="Calibri" w:eastAsia="Times New Roman" w:hAnsi="Calibri" w:cs="Calibri"/>
                <w:color w:val="auto"/>
                <w:lang w:eastAsia="cs-CZ"/>
              </w:rPr>
              <w:t xml:space="preserve"> průzkumn</w:t>
            </w:r>
            <w:r>
              <w:rPr>
                <w:rFonts w:ascii="Calibri" w:eastAsia="Times New Roman" w:hAnsi="Calibri" w:cs="Calibri"/>
                <w:color w:val="auto"/>
                <w:lang w:eastAsia="cs-CZ"/>
              </w:rPr>
              <w:t>á</w:t>
            </w:r>
            <w:r w:rsidR="00CA37AD" w:rsidRPr="0043589D">
              <w:rPr>
                <w:rFonts w:ascii="Calibri" w:eastAsia="Times New Roman" w:hAnsi="Calibri" w:cs="Calibri"/>
                <w:color w:val="auto"/>
                <w:lang w:eastAsia="cs-CZ"/>
              </w:rPr>
              <w:t xml:space="preserve"> území k výskytu kritických a strategických surovin</w:t>
            </w:r>
          </w:p>
        </w:tc>
        <w:tc>
          <w:tcPr>
            <w:tcW w:w="1134" w:type="dxa"/>
            <w:tcBorders>
              <w:top w:val="nil"/>
              <w:left w:val="nil"/>
              <w:bottom w:val="single" w:sz="4" w:space="0" w:color="auto"/>
              <w:right w:val="single" w:sz="4" w:space="0" w:color="auto"/>
            </w:tcBorders>
            <w:shd w:val="clear" w:color="auto" w:fill="auto"/>
            <w:hideMark/>
          </w:tcPr>
          <w:p w14:paraId="51D58B9E"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počet</w:t>
            </w:r>
          </w:p>
        </w:tc>
        <w:tc>
          <w:tcPr>
            <w:tcW w:w="1418" w:type="dxa"/>
            <w:tcBorders>
              <w:top w:val="nil"/>
              <w:left w:val="nil"/>
              <w:bottom w:val="single" w:sz="4" w:space="0" w:color="auto"/>
              <w:right w:val="single" w:sz="4" w:space="0" w:color="auto"/>
            </w:tcBorders>
            <w:shd w:val="clear" w:color="000000" w:fill="FFFFFF"/>
            <w:hideMark/>
          </w:tcPr>
          <w:p w14:paraId="085A106E" w14:textId="6B0A893D" w:rsidR="00CA37AD" w:rsidRPr="0043589D" w:rsidRDefault="007C679A"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w:t>
            </w:r>
          </w:p>
        </w:tc>
        <w:tc>
          <w:tcPr>
            <w:tcW w:w="850" w:type="dxa"/>
            <w:tcBorders>
              <w:top w:val="nil"/>
              <w:left w:val="nil"/>
              <w:bottom w:val="single" w:sz="4" w:space="0" w:color="auto"/>
              <w:right w:val="single" w:sz="4" w:space="0" w:color="auto"/>
            </w:tcBorders>
            <w:shd w:val="clear" w:color="000000" w:fill="FFFFFF"/>
            <w:hideMark/>
          </w:tcPr>
          <w:p w14:paraId="0235123F" w14:textId="70DD641D" w:rsidR="00CA37AD" w:rsidRPr="0043589D" w:rsidRDefault="007C679A"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2024</w:t>
            </w:r>
          </w:p>
        </w:tc>
        <w:tc>
          <w:tcPr>
            <w:tcW w:w="1519" w:type="dxa"/>
            <w:tcBorders>
              <w:top w:val="nil"/>
              <w:left w:val="nil"/>
              <w:bottom w:val="single" w:sz="4" w:space="0" w:color="auto"/>
              <w:right w:val="single" w:sz="8" w:space="0" w:color="auto"/>
            </w:tcBorders>
            <w:shd w:val="clear" w:color="000000" w:fill="FFFFFF"/>
            <w:hideMark/>
          </w:tcPr>
          <w:p w14:paraId="4909BCE6" w14:textId="0922F6CC" w:rsidR="00CA37AD" w:rsidRPr="0043589D" w:rsidRDefault="007C679A" w:rsidP="001E7124">
            <w:pPr>
              <w:spacing w:after="0"/>
              <w:jc w:val="left"/>
              <w:rPr>
                <w:rFonts w:ascii="Calibri" w:eastAsia="Times New Roman" w:hAnsi="Calibri" w:cs="Calibri"/>
                <w:i/>
                <w:iCs/>
                <w:color w:val="auto"/>
                <w:lang w:eastAsia="cs-CZ"/>
              </w:rPr>
            </w:pPr>
            <w:r w:rsidRPr="0043589D">
              <w:rPr>
                <w:color w:val="auto"/>
              </w:rPr>
              <w:t>MPO</w:t>
            </w:r>
          </w:p>
        </w:tc>
      </w:tr>
      <w:tr w:rsidR="007C679A" w:rsidRPr="0043589D" w14:paraId="407C03B5" w14:textId="77777777" w:rsidTr="003C5F13">
        <w:trPr>
          <w:trHeight w:val="300"/>
        </w:trPr>
        <w:tc>
          <w:tcPr>
            <w:tcW w:w="1408" w:type="dxa"/>
            <w:vMerge/>
            <w:tcBorders>
              <w:top w:val="nil"/>
              <w:left w:val="single" w:sz="8" w:space="0" w:color="auto"/>
              <w:bottom w:val="single" w:sz="8" w:space="0" w:color="000000"/>
              <w:right w:val="single" w:sz="8" w:space="0" w:color="auto"/>
            </w:tcBorders>
            <w:vAlign w:val="center"/>
            <w:hideMark/>
          </w:tcPr>
          <w:p w14:paraId="4DE872AF" w14:textId="77777777" w:rsidR="007C679A" w:rsidRPr="0043589D" w:rsidRDefault="007C679A" w:rsidP="007C679A">
            <w:pPr>
              <w:spacing w:after="0"/>
              <w:jc w:val="left"/>
              <w:rPr>
                <w:rFonts w:ascii="Calibri" w:eastAsia="Times New Roman" w:hAnsi="Calibri" w:cs="Calibri"/>
                <w:color w:val="auto"/>
                <w:lang w:eastAsia="cs-CZ"/>
              </w:rPr>
            </w:pPr>
          </w:p>
        </w:tc>
        <w:tc>
          <w:tcPr>
            <w:tcW w:w="1134" w:type="dxa"/>
            <w:tcBorders>
              <w:top w:val="single" w:sz="4" w:space="0" w:color="auto"/>
              <w:left w:val="single" w:sz="8" w:space="0" w:color="auto"/>
              <w:bottom w:val="single" w:sz="4" w:space="0" w:color="auto"/>
              <w:right w:val="single" w:sz="4" w:space="0" w:color="auto"/>
            </w:tcBorders>
            <w:shd w:val="clear" w:color="000000" w:fill="C6EFCE"/>
            <w:hideMark/>
          </w:tcPr>
          <w:p w14:paraId="69848B0C" w14:textId="77777777" w:rsidR="007C679A" w:rsidRPr="0043589D" w:rsidRDefault="007C679A" w:rsidP="007C679A">
            <w:pPr>
              <w:spacing w:after="0"/>
              <w:jc w:val="center"/>
              <w:rPr>
                <w:rFonts w:ascii="Calibri" w:eastAsia="Times New Roman" w:hAnsi="Calibri" w:cs="Calibri"/>
                <w:color w:val="006100"/>
                <w:lang w:eastAsia="cs-CZ"/>
              </w:rPr>
            </w:pPr>
            <w:r w:rsidRPr="0043589D">
              <w:rPr>
                <w:rFonts w:ascii="Calibri" w:eastAsia="Times New Roman" w:hAnsi="Calibri" w:cs="Calibri"/>
                <w:color w:val="006100"/>
                <w:lang w:eastAsia="cs-CZ"/>
              </w:rPr>
              <w:t>Doplňující</w:t>
            </w:r>
          </w:p>
        </w:tc>
        <w:tc>
          <w:tcPr>
            <w:tcW w:w="7087" w:type="dxa"/>
            <w:tcBorders>
              <w:top w:val="nil"/>
              <w:left w:val="nil"/>
              <w:bottom w:val="single" w:sz="4" w:space="0" w:color="auto"/>
              <w:right w:val="single" w:sz="4" w:space="0" w:color="auto"/>
            </w:tcBorders>
            <w:shd w:val="clear" w:color="auto" w:fill="auto"/>
            <w:hideMark/>
          </w:tcPr>
          <w:p w14:paraId="1CD745A5" w14:textId="77777777" w:rsidR="007C679A" w:rsidRPr="0043589D" w:rsidRDefault="007C679A" w:rsidP="007C679A">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Přírůstek objemu potvrzených zásob kritických a strategických surovin</w:t>
            </w:r>
          </w:p>
        </w:tc>
        <w:tc>
          <w:tcPr>
            <w:tcW w:w="1134" w:type="dxa"/>
            <w:tcBorders>
              <w:top w:val="nil"/>
              <w:left w:val="nil"/>
              <w:bottom w:val="single" w:sz="4" w:space="0" w:color="auto"/>
              <w:right w:val="single" w:sz="4" w:space="0" w:color="auto"/>
            </w:tcBorders>
            <w:shd w:val="clear" w:color="auto" w:fill="auto"/>
            <w:hideMark/>
          </w:tcPr>
          <w:p w14:paraId="09978F34" w14:textId="77777777" w:rsidR="007C679A" w:rsidRPr="0043589D" w:rsidRDefault="007C679A" w:rsidP="007C679A">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objem</w:t>
            </w:r>
          </w:p>
        </w:tc>
        <w:tc>
          <w:tcPr>
            <w:tcW w:w="1418" w:type="dxa"/>
            <w:tcBorders>
              <w:top w:val="nil"/>
              <w:left w:val="nil"/>
              <w:bottom w:val="single" w:sz="4" w:space="0" w:color="auto"/>
              <w:right w:val="single" w:sz="4" w:space="0" w:color="auto"/>
            </w:tcBorders>
            <w:shd w:val="clear" w:color="000000" w:fill="FFFFFF"/>
            <w:hideMark/>
          </w:tcPr>
          <w:p w14:paraId="165D8394" w14:textId="6BFE3662" w:rsidR="007C679A" w:rsidRPr="0043589D" w:rsidRDefault="007C679A"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w:t>
            </w:r>
          </w:p>
        </w:tc>
        <w:tc>
          <w:tcPr>
            <w:tcW w:w="850" w:type="dxa"/>
            <w:tcBorders>
              <w:top w:val="nil"/>
              <w:left w:val="nil"/>
              <w:bottom w:val="single" w:sz="4" w:space="0" w:color="auto"/>
              <w:right w:val="single" w:sz="4" w:space="0" w:color="auto"/>
            </w:tcBorders>
            <w:shd w:val="clear" w:color="000000" w:fill="FFFFFF"/>
            <w:hideMark/>
          </w:tcPr>
          <w:p w14:paraId="1C8D7566" w14:textId="50C6968A" w:rsidR="007C679A" w:rsidRPr="0043589D" w:rsidRDefault="007C679A"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2024</w:t>
            </w:r>
          </w:p>
        </w:tc>
        <w:tc>
          <w:tcPr>
            <w:tcW w:w="1519" w:type="dxa"/>
            <w:tcBorders>
              <w:top w:val="nil"/>
              <w:left w:val="nil"/>
              <w:bottom w:val="single" w:sz="4" w:space="0" w:color="auto"/>
              <w:right w:val="single" w:sz="8" w:space="0" w:color="auto"/>
            </w:tcBorders>
            <w:shd w:val="clear" w:color="000000" w:fill="FFFFFF"/>
            <w:hideMark/>
          </w:tcPr>
          <w:p w14:paraId="79DD791B" w14:textId="0263A884" w:rsidR="007C679A" w:rsidRPr="0043589D" w:rsidRDefault="007C679A" w:rsidP="007C679A">
            <w:pPr>
              <w:spacing w:after="0"/>
              <w:jc w:val="left"/>
              <w:rPr>
                <w:rFonts w:ascii="Calibri" w:eastAsia="Times New Roman" w:hAnsi="Calibri" w:cs="Calibri"/>
                <w:i/>
                <w:iCs/>
                <w:color w:val="auto"/>
                <w:lang w:eastAsia="cs-CZ"/>
              </w:rPr>
            </w:pPr>
            <w:r w:rsidRPr="0043589D">
              <w:rPr>
                <w:color w:val="auto"/>
              </w:rPr>
              <w:t>MPO</w:t>
            </w:r>
          </w:p>
        </w:tc>
      </w:tr>
      <w:tr w:rsidR="00CA37AD" w:rsidRPr="0043589D" w14:paraId="1CD972C5" w14:textId="77777777" w:rsidTr="003C5F13">
        <w:trPr>
          <w:trHeight w:val="300"/>
        </w:trPr>
        <w:tc>
          <w:tcPr>
            <w:tcW w:w="1408" w:type="dxa"/>
            <w:vMerge/>
            <w:tcBorders>
              <w:top w:val="nil"/>
              <w:left w:val="single" w:sz="8" w:space="0" w:color="auto"/>
              <w:bottom w:val="single" w:sz="8" w:space="0" w:color="000000"/>
              <w:right w:val="single" w:sz="8" w:space="0" w:color="auto"/>
            </w:tcBorders>
            <w:vAlign w:val="center"/>
            <w:hideMark/>
          </w:tcPr>
          <w:p w14:paraId="70A71D2E" w14:textId="77777777" w:rsidR="00CA37AD" w:rsidRPr="0043589D" w:rsidRDefault="00CA37AD" w:rsidP="001E7124">
            <w:pPr>
              <w:spacing w:after="0"/>
              <w:jc w:val="left"/>
              <w:rPr>
                <w:rFonts w:ascii="Calibri" w:eastAsia="Times New Roman" w:hAnsi="Calibri" w:cs="Calibri"/>
                <w:color w:val="auto"/>
                <w:lang w:eastAsia="cs-CZ"/>
              </w:rPr>
            </w:pPr>
          </w:p>
        </w:tc>
        <w:tc>
          <w:tcPr>
            <w:tcW w:w="1134" w:type="dxa"/>
            <w:tcBorders>
              <w:top w:val="single" w:sz="4" w:space="0" w:color="auto"/>
              <w:left w:val="single" w:sz="8" w:space="0" w:color="auto"/>
              <w:bottom w:val="single" w:sz="4" w:space="0" w:color="auto"/>
              <w:right w:val="single" w:sz="4" w:space="0" w:color="auto"/>
            </w:tcBorders>
            <w:shd w:val="clear" w:color="000000" w:fill="C6EFCE"/>
            <w:hideMark/>
          </w:tcPr>
          <w:p w14:paraId="5617532A" w14:textId="77777777" w:rsidR="00CA37AD" w:rsidRPr="0043589D" w:rsidRDefault="00CA37AD" w:rsidP="001E7124">
            <w:pPr>
              <w:spacing w:after="0"/>
              <w:jc w:val="center"/>
              <w:rPr>
                <w:rFonts w:ascii="Calibri" w:eastAsia="Times New Roman" w:hAnsi="Calibri" w:cs="Calibri"/>
                <w:color w:val="006100"/>
                <w:lang w:eastAsia="cs-CZ"/>
              </w:rPr>
            </w:pPr>
            <w:r w:rsidRPr="0043589D">
              <w:rPr>
                <w:rFonts w:ascii="Calibri" w:eastAsia="Times New Roman" w:hAnsi="Calibri" w:cs="Calibri"/>
                <w:color w:val="006100"/>
                <w:lang w:eastAsia="cs-CZ"/>
              </w:rPr>
              <w:t>Doplňující</w:t>
            </w:r>
          </w:p>
        </w:tc>
        <w:tc>
          <w:tcPr>
            <w:tcW w:w="7087" w:type="dxa"/>
            <w:tcBorders>
              <w:top w:val="nil"/>
              <w:left w:val="nil"/>
              <w:bottom w:val="single" w:sz="4" w:space="0" w:color="auto"/>
              <w:right w:val="single" w:sz="4" w:space="0" w:color="auto"/>
            </w:tcBorders>
            <w:shd w:val="clear" w:color="auto" w:fill="auto"/>
            <w:hideMark/>
          </w:tcPr>
          <w:p w14:paraId="57DE49FF"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Míra oběhového využívání materiálů</w:t>
            </w:r>
          </w:p>
        </w:tc>
        <w:tc>
          <w:tcPr>
            <w:tcW w:w="1134" w:type="dxa"/>
            <w:tcBorders>
              <w:top w:val="nil"/>
              <w:left w:val="nil"/>
              <w:bottom w:val="single" w:sz="4" w:space="0" w:color="auto"/>
              <w:right w:val="single" w:sz="4" w:space="0" w:color="auto"/>
            </w:tcBorders>
            <w:shd w:val="clear" w:color="auto" w:fill="auto"/>
            <w:hideMark/>
          </w:tcPr>
          <w:p w14:paraId="05C9B061"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w:t>
            </w:r>
          </w:p>
        </w:tc>
        <w:tc>
          <w:tcPr>
            <w:tcW w:w="1418" w:type="dxa"/>
            <w:tcBorders>
              <w:top w:val="nil"/>
              <w:left w:val="nil"/>
              <w:bottom w:val="single" w:sz="4" w:space="0" w:color="auto"/>
              <w:right w:val="single" w:sz="4" w:space="0" w:color="auto"/>
            </w:tcBorders>
            <w:shd w:val="clear" w:color="000000" w:fill="FFFFFF"/>
            <w:hideMark/>
          </w:tcPr>
          <w:p w14:paraId="25802C91" w14:textId="77777777" w:rsidR="00CA37AD" w:rsidRPr="0043589D" w:rsidRDefault="00CA37AD"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12</w:t>
            </w:r>
          </w:p>
        </w:tc>
        <w:tc>
          <w:tcPr>
            <w:tcW w:w="850" w:type="dxa"/>
            <w:tcBorders>
              <w:top w:val="nil"/>
              <w:left w:val="nil"/>
              <w:bottom w:val="single" w:sz="4" w:space="0" w:color="auto"/>
              <w:right w:val="single" w:sz="4" w:space="0" w:color="auto"/>
            </w:tcBorders>
            <w:shd w:val="clear" w:color="000000" w:fill="FFFFFF"/>
            <w:hideMark/>
          </w:tcPr>
          <w:p w14:paraId="413A7A69"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2022</w:t>
            </w:r>
          </w:p>
        </w:tc>
        <w:tc>
          <w:tcPr>
            <w:tcW w:w="1519" w:type="dxa"/>
            <w:tcBorders>
              <w:top w:val="nil"/>
              <w:left w:val="nil"/>
              <w:bottom w:val="single" w:sz="4" w:space="0" w:color="auto"/>
              <w:right w:val="single" w:sz="8" w:space="0" w:color="auto"/>
            </w:tcBorders>
            <w:shd w:val="clear" w:color="auto" w:fill="auto"/>
            <w:hideMark/>
          </w:tcPr>
          <w:p w14:paraId="7B76EFC6" w14:textId="77777777" w:rsidR="00CA37AD" w:rsidRPr="0043589D" w:rsidRDefault="00CA37AD" w:rsidP="001E7124">
            <w:pPr>
              <w:spacing w:after="0"/>
              <w:jc w:val="left"/>
              <w:rPr>
                <w:rFonts w:ascii="Calibri" w:eastAsia="Times New Roman" w:hAnsi="Calibri" w:cs="Calibri"/>
                <w:color w:val="auto"/>
                <w:u w:val="single"/>
                <w:lang w:eastAsia="cs-CZ"/>
              </w:rPr>
            </w:pPr>
            <w:r w:rsidRPr="0043589D">
              <w:rPr>
                <w:color w:val="auto"/>
              </w:rPr>
              <w:t>Eurostat</w:t>
            </w:r>
          </w:p>
        </w:tc>
      </w:tr>
      <w:tr w:rsidR="00CA37AD" w:rsidRPr="0043589D" w14:paraId="4511E53D" w14:textId="77777777" w:rsidTr="003C5F13">
        <w:trPr>
          <w:trHeight w:val="300"/>
        </w:trPr>
        <w:tc>
          <w:tcPr>
            <w:tcW w:w="1408" w:type="dxa"/>
            <w:vMerge/>
            <w:tcBorders>
              <w:top w:val="nil"/>
              <w:left w:val="single" w:sz="8" w:space="0" w:color="auto"/>
              <w:bottom w:val="single" w:sz="8" w:space="0" w:color="000000"/>
              <w:right w:val="single" w:sz="8" w:space="0" w:color="auto"/>
            </w:tcBorders>
            <w:vAlign w:val="center"/>
            <w:hideMark/>
          </w:tcPr>
          <w:p w14:paraId="5D14C283" w14:textId="77777777" w:rsidR="00CA37AD" w:rsidRPr="0043589D" w:rsidRDefault="00CA37AD" w:rsidP="001E7124">
            <w:pPr>
              <w:spacing w:after="0"/>
              <w:jc w:val="left"/>
              <w:rPr>
                <w:rFonts w:ascii="Calibri" w:eastAsia="Times New Roman" w:hAnsi="Calibri" w:cs="Calibri"/>
                <w:color w:val="auto"/>
                <w:lang w:eastAsia="cs-CZ"/>
              </w:rPr>
            </w:pPr>
          </w:p>
        </w:tc>
        <w:tc>
          <w:tcPr>
            <w:tcW w:w="1134" w:type="dxa"/>
            <w:tcBorders>
              <w:top w:val="single" w:sz="4" w:space="0" w:color="auto"/>
              <w:left w:val="single" w:sz="8" w:space="0" w:color="auto"/>
              <w:bottom w:val="single" w:sz="4" w:space="0" w:color="auto"/>
              <w:right w:val="single" w:sz="4" w:space="0" w:color="auto"/>
            </w:tcBorders>
            <w:shd w:val="clear" w:color="000000" w:fill="C6EFCE"/>
            <w:hideMark/>
          </w:tcPr>
          <w:p w14:paraId="0076F85B" w14:textId="77777777" w:rsidR="00CA37AD" w:rsidRPr="0043589D" w:rsidRDefault="00CA37AD" w:rsidP="001E7124">
            <w:pPr>
              <w:spacing w:after="0"/>
              <w:jc w:val="center"/>
              <w:rPr>
                <w:rFonts w:ascii="Calibri" w:eastAsia="Times New Roman" w:hAnsi="Calibri" w:cs="Calibri"/>
                <w:color w:val="006100"/>
                <w:lang w:eastAsia="cs-CZ"/>
              </w:rPr>
            </w:pPr>
            <w:r w:rsidRPr="0043589D">
              <w:rPr>
                <w:rFonts w:ascii="Calibri" w:eastAsia="Times New Roman" w:hAnsi="Calibri" w:cs="Calibri"/>
                <w:color w:val="006100"/>
                <w:lang w:eastAsia="cs-CZ"/>
              </w:rPr>
              <w:t>Doplňující</w:t>
            </w:r>
          </w:p>
        </w:tc>
        <w:tc>
          <w:tcPr>
            <w:tcW w:w="7087" w:type="dxa"/>
            <w:tcBorders>
              <w:top w:val="nil"/>
              <w:left w:val="nil"/>
              <w:bottom w:val="single" w:sz="4" w:space="0" w:color="auto"/>
              <w:right w:val="single" w:sz="4" w:space="0" w:color="auto"/>
            </w:tcBorders>
            <w:shd w:val="clear" w:color="auto" w:fill="auto"/>
            <w:hideMark/>
          </w:tcPr>
          <w:p w14:paraId="6F226996"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Podíl obyvatel napojených na vodovod pro veřejnou potřebu</w:t>
            </w:r>
          </w:p>
        </w:tc>
        <w:tc>
          <w:tcPr>
            <w:tcW w:w="1134" w:type="dxa"/>
            <w:tcBorders>
              <w:top w:val="nil"/>
              <w:left w:val="nil"/>
              <w:bottom w:val="single" w:sz="4" w:space="0" w:color="auto"/>
              <w:right w:val="single" w:sz="4" w:space="0" w:color="auto"/>
            </w:tcBorders>
            <w:shd w:val="clear" w:color="auto" w:fill="auto"/>
            <w:hideMark/>
          </w:tcPr>
          <w:p w14:paraId="163997FB"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w:t>
            </w:r>
          </w:p>
        </w:tc>
        <w:tc>
          <w:tcPr>
            <w:tcW w:w="1418" w:type="dxa"/>
            <w:tcBorders>
              <w:top w:val="nil"/>
              <w:left w:val="nil"/>
              <w:bottom w:val="single" w:sz="4" w:space="0" w:color="auto"/>
              <w:right w:val="single" w:sz="4" w:space="0" w:color="auto"/>
            </w:tcBorders>
            <w:shd w:val="clear" w:color="000000" w:fill="FFFFFF"/>
            <w:hideMark/>
          </w:tcPr>
          <w:p w14:paraId="3A883A32" w14:textId="77777777" w:rsidR="00CA37AD" w:rsidRPr="0043589D" w:rsidRDefault="00CA37AD"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95,6</w:t>
            </w:r>
          </w:p>
        </w:tc>
        <w:tc>
          <w:tcPr>
            <w:tcW w:w="850" w:type="dxa"/>
            <w:tcBorders>
              <w:top w:val="nil"/>
              <w:left w:val="nil"/>
              <w:bottom w:val="single" w:sz="4" w:space="0" w:color="auto"/>
              <w:right w:val="single" w:sz="4" w:space="0" w:color="auto"/>
            </w:tcBorders>
            <w:shd w:val="clear" w:color="000000" w:fill="FFFFFF"/>
            <w:hideMark/>
          </w:tcPr>
          <w:p w14:paraId="172D6AFB"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2022</w:t>
            </w:r>
          </w:p>
        </w:tc>
        <w:tc>
          <w:tcPr>
            <w:tcW w:w="1519" w:type="dxa"/>
            <w:tcBorders>
              <w:top w:val="nil"/>
              <w:left w:val="nil"/>
              <w:bottom w:val="nil"/>
              <w:right w:val="single" w:sz="8" w:space="0" w:color="auto"/>
            </w:tcBorders>
            <w:shd w:val="clear" w:color="auto" w:fill="auto"/>
            <w:hideMark/>
          </w:tcPr>
          <w:p w14:paraId="446DD85B" w14:textId="77777777" w:rsidR="00CA37AD" w:rsidRPr="0043589D" w:rsidRDefault="00CA37AD" w:rsidP="001E7124">
            <w:pPr>
              <w:spacing w:after="0"/>
              <w:jc w:val="left"/>
              <w:rPr>
                <w:rFonts w:ascii="Calibri" w:eastAsia="Times New Roman" w:hAnsi="Calibri" w:cs="Calibri"/>
                <w:color w:val="auto"/>
                <w:u w:val="single"/>
                <w:lang w:eastAsia="cs-CZ"/>
              </w:rPr>
            </w:pPr>
            <w:r w:rsidRPr="0043589D">
              <w:rPr>
                <w:color w:val="auto"/>
              </w:rPr>
              <w:t>Eurostat</w:t>
            </w:r>
          </w:p>
        </w:tc>
      </w:tr>
      <w:tr w:rsidR="00CA37AD" w:rsidRPr="0043589D" w14:paraId="7EC1F349" w14:textId="77777777" w:rsidTr="003C5F13">
        <w:trPr>
          <w:trHeight w:val="300"/>
        </w:trPr>
        <w:tc>
          <w:tcPr>
            <w:tcW w:w="1408" w:type="dxa"/>
            <w:vMerge/>
            <w:tcBorders>
              <w:top w:val="nil"/>
              <w:left w:val="single" w:sz="8" w:space="0" w:color="auto"/>
              <w:bottom w:val="single" w:sz="8" w:space="0" w:color="000000"/>
              <w:right w:val="single" w:sz="8" w:space="0" w:color="auto"/>
            </w:tcBorders>
            <w:vAlign w:val="center"/>
            <w:hideMark/>
          </w:tcPr>
          <w:p w14:paraId="5A942841" w14:textId="77777777" w:rsidR="00CA37AD" w:rsidRPr="0043589D" w:rsidRDefault="00CA37AD" w:rsidP="001E7124">
            <w:pPr>
              <w:spacing w:after="0"/>
              <w:jc w:val="left"/>
              <w:rPr>
                <w:rFonts w:ascii="Calibri" w:eastAsia="Times New Roman" w:hAnsi="Calibri" w:cs="Calibri"/>
                <w:color w:val="auto"/>
                <w:lang w:eastAsia="cs-CZ"/>
              </w:rPr>
            </w:pPr>
          </w:p>
        </w:tc>
        <w:tc>
          <w:tcPr>
            <w:tcW w:w="1134" w:type="dxa"/>
            <w:tcBorders>
              <w:top w:val="single" w:sz="4" w:space="0" w:color="auto"/>
              <w:left w:val="single" w:sz="8" w:space="0" w:color="auto"/>
              <w:bottom w:val="single" w:sz="8" w:space="0" w:color="auto"/>
              <w:right w:val="single" w:sz="4" w:space="0" w:color="auto"/>
            </w:tcBorders>
            <w:shd w:val="clear" w:color="000000" w:fill="C6EFCE"/>
            <w:hideMark/>
          </w:tcPr>
          <w:p w14:paraId="00D93051" w14:textId="77777777" w:rsidR="00CA37AD" w:rsidRPr="0043589D" w:rsidRDefault="00CA37AD" w:rsidP="001E7124">
            <w:pPr>
              <w:spacing w:after="0"/>
              <w:jc w:val="center"/>
              <w:rPr>
                <w:rFonts w:ascii="Calibri" w:eastAsia="Times New Roman" w:hAnsi="Calibri" w:cs="Calibri"/>
                <w:color w:val="006100"/>
                <w:lang w:eastAsia="cs-CZ"/>
              </w:rPr>
            </w:pPr>
            <w:r w:rsidRPr="0043589D">
              <w:rPr>
                <w:rFonts w:ascii="Calibri" w:eastAsia="Times New Roman" w:hAnsi="Calibri" w:cs="Calibri"/>
                <w:color w:val="006100"/>
                <w:lang w:eastAsia="cs-CZ"/>
              </w:rPr>
              <w:t>Doplňující</w:t>
            </w:r>
          </w:p>
        </w:tc>
        <w:tc>
          <w:tcPr>
            <w:tcW w:w="7087" w:type="dxa"/>
            <w:tcBorders>
              <w:top w:val="nil"/>
              <w:left w:val="nil"/>
              <w:bottom w:val="single" w:sz="8" w:space="0" w:color="auto"/>
              <w:right w:val="single" w:sz="4" w:space="0" w:color="auto"/>
            </w:tcBorders>
            <w:shd w:val="clear" w:color="auto" w:fill="auto"/>
            <w:hideMark/>
          </w:tcPr>
          <w:p w14:paraId="271F39B7"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Stupeň integrované správy vodních zdrojů</w:t>
            </w:r>
          </w:p>
        </w:tc>
        <w:tc>
          <w:tcPr>
            <w:tcW w:w="1134" w:type="dxa"/>
            <w:tcBorders>
              <w:top w:val="nil"/>
              <w:left w:val="nil"/>
              <w:bottom w:val="single" w:sz="8" w:space="0" w:color="auto"/>
              <w:right w:val="single" w:sz="4" w:space="0" w:color="auto"/>
            </w:tcBorders>
            <w:shd w:val="clear" w:color="auto" w:fill="auto"/>
            <w:hideMark/>
          </w:tcPr>
          <w:p w14:paraId="73F5F459"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w:t>
            </w:r>
          </w:p>
        </w:tc>
        <w:tc>
          <w:tcPr>
            <w:tcW w:w="1418" w:type="dxa"/>
            <w:tcBorders>
              <w:top w:val="nil"/>
              <w:left w:val="nil"/>
              <w:bottom w:val="single" w:sz="8" w:space="0" w:color="auto"/>
              <w:right w:val="single" w:sz="4" w:space="0" w:color="auto"/>
            </w:tcBorders>
            <w:shd w:val="clear" w:color="auto" w:fill="auto"/>
            <w:hideMark/>
          </w:tcPr>
          <w:p w14:paraId="3DAC01FD" w14:textId="77777777" w:rsidR="00CA37AD" w:rsidRPr="0043589D" w:rsidRDefault="00CA37AD"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80</w:t>
            </w:r>
          </w:p>
        </w:tc>
        <w:tc>
          <w:tcPr>
            <w:tcW w:w="850" w:type="dxa"/>
            <w:tcBorders>
              <w:top w:val="nil"/>
              <w:left w:val="nil"/>
              <w:bottom w:val="single" w:sz="8" w:space="0" w:color="auto"/>
              <w:right w:val="single" w:sz="4" w:space="0" w:color="auto"/>
            </w:tcBorders>
            <w:shd w:val="clear" w:color="auto" w:fill="auto"/>
            <w:hideMark/>
          </w:tcPr>
          <w:p w14:paraId="0AD52EB0"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2021</w:t>
            </w:r>
          </w:p>
        </w:tc>
        <w:tc>
          <w:tcPr>
            <w:tcW w:w="1519" w:type="dxa"/>
            <w:tcBorders>
              <w:top w:val="single" w:sz="4" w:space="0" w:color="auto"/>
              <w:left w:val="nil"/>
              <w:bottom w:val="single" w:sz="8" w:space="0" w:color="auto"/>
              <w:right w:val="single" w:sz="8" w:space="0" w:color="auto"/>
            </w:tcBorders>
            <w:shd w:val="clear" w:color="auto" w:fill="auto"/>
            <w:hideMark/>
          </w:tcPr>
          <w:p w14:paraId="2F6CDF5E" w14:textId="77777777" w:rsidR="00CA37AD" w:rsidRPr="0043589D" w:rsidRDefault="00CA37AD" w:rsidP="001E7124">
            <w:pPr>
              <w:spacing w:after="0"/>
              <w:jc w:val="left"/>
              <w:rPr>
                <w:rFonts w:ascii="Calibri" w:eastAsia="Times New Roman" w:hAnsi="Calibri" w:cs="Calibri"/>
                <w:color w:val="auto"/>
                <w:u w:val="single"/>
                <w:lang w:eastAsia="cs-CZ"/>
              </w:rPr>
            </w:pPr>
            <w:r w:rsidRPr="0043589D">
              <w:rPr>
                <w:color w:val="auto"/>
              </w:rPr>
              <w:t>SDG data</w:t>
            </w:r>
          </w:p>
        </w:tc>
      </w:tr>
      <w:tr w:rsidR="007C679A" w:rsidRPr="0043589D" w14:paraId="45628650" w14:textId="77777777" w:rsidTr="003C5F13">
        <w:trPr>
          <w:trHeight w:val="300"/>
        </w:trPr>
        <w:tc>
          <w:tcPr>
            <w:tcW w:w="1408" w:type="dxa"/>
            <w:vMerge w:val="restart"/>
            <w:tcBorders>
              <w:top w:val="nil"/>
              <w:left w:val="single" w:sz="8" w:space="0" w:color="auto"/>
              <w:right w:val="single" w:sz="8" w:space="0" w:color="auto"/>
            </w:tcBorders>
            <w:shd w:val="clear" w:color="auto" w:fill="auto"/>
            <w:vAlign w:val="center"/>
            <w:hideMark/>
          </w:tcPr>
          <w:p w14:paraId="719F2510" w14:textId="77777777" w:rsidR="007C679A" w:rsidRPr="0043589D" w:rsidRDefault="007C679A" w:rsidP="001E7124">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3. Industrializace s přidanou hodnotou</w:t>
            </w:r>
          </w:p>
        </w:tc>
        <w:tc>
          <w:tcPr>
            <w:tcW w:w="1134" w:type="dxa"/>
            <w:tcBorders>
              <w:top w:val="nil"/>
              <w:left w:val="nil"/>
              <w:bottom w:val="single" w:sz="4" w:space="0" w:color="auto"/>
              <w:right w:val="single" w:sz="4" w:space="0" w:color="auto"/>
            </w:tcBorders>
            <w:shd w:val="clear" w:color="000000" w:fill="FFC7CE"/>
            <w:hideMark/>
          </w:tcPr>
          <w:p w14:paraId="015DC63C" w14:textId="77777777" w:rsidR="007C679A" w:rsidRPr="0043589D" w:rsidRDefault="007C679A" w:rsidP="001E7124">
            <w:pPr>
              <w:spacing w:after="0"/>
              <w:jc w:val="center"/>
              <w:rPr>
                <w:rFonts w:ascii="Calibri" w:eastAsia="Times New Roman" w:hAnsi="Calibri" w:cs="Calibri"/>
                <w:color w:val="9C0006"/>
                <w:lang w:eastAsia="cs-CZ"/>
              </w:rPr>
            </w:pPr>
            <w:r w:rsidRPr="0043589D">
              <w:rPr>
                <w:rFonts w:ascii="Calibri" w:eastAsia="Times New Roman" w:hAnsi="Calibri" w:cs="Calibri"/>
                <w:color w:val="9C0006"/>
                <w:lang w:eastAsia="cs-CZ"/>
              </w:rPr>
              <w:t>Strategický</w:t>
            </w:r>
          </w:p>
        </w:tc>
        <w:tc>
          <w:tcPr>
            <w:tcW w:w="7087" w:type="dxa"/>
            <w:tcBorders>
              <w:top w:val="nil"/>
              <w:left w:val="nil"/>
              <w:bottom w:val="single" w:sz="4" w:space="0" w:color="auto"/>
              <w:right w:val="single" w:sz="4" w:space="0" w:color="auto"/>
            </w:tcBorders>
            <w:shd w:val="clear" w:color="auto" w:fill="auto"/>
            <w:hideMark/>
          </w:tcPr>
          <w:p w14:paraId="058AA32C" w14:textId="77777777" w:rsidR="007C679A" w:rsidRPr="0043589D" w:rsidRDefault="007C679A"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Podíl OSVČ, kteří mají zaměstnance v rámci segmentu OSVČ</w:t>
            </w:r>
          </w:p>
        </w:tc>
        <w:tc>
          <w:tcPr>
            <w:tcW w:w="1134" w:type="dxa"/>
            <w:tcBorders>
              <w:top w:val="nil"/>
              <w:left w:val="nil"/>
              <w:bottom w:val="single" w:sz="4" w:space="0" w:color="auto"/>
              <w:right w:val="single" w:sz="4" w:space="0" w:color="auto"/>
            </w:tcBorders>
            <w:shd w:val="clear" w:color="auto" w:fill="auto"/>
            <w:hideMark/>
          </w:tcPr>
          <w:p w14:paraId="32A28B61" w14:textId="77777777" w:rsidR="007C679A" w:rsidRPr="0043589D" w:rsidRDefault="007C679A"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w:t>
            </w:r>
          </w:p>
        </w:tc>
        <w:tc>
          <w:tcPr>
            <w:tcW w:w="1418" w:type="dxa"/>
            <w:tcBorders>
              <w:top w:val="nil"/>
              <w:left w:val="nil"/>
              <w:bottom w:val="single" w:sz="4" w:space="0" w:color="auto"/>
              <w:right w:val="single" w:sz="4" w:space="0" w:color="auto"/>
            </w:tcBorders>
            <w:shd w:val="clear" w:color="auto" w:fill="auto"/>
            <w:hideMark/>
          </w:tcPr>
          <w:p w14:paraId="20C9D6A6" w14:textId="77777777" w:rsidR="007C679A" w:rsidRPr="0043589D" w:rsidRDefault="007C679A"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14,0</w:t>
            </w:r>
          </w:p>
        </w:tc>
        <w:tc>
          <w:tcPr>
            <w:tcW w:w="850" w:type="dxa"/>
            <w:tcBorders>
              <w:top w:val="nil"/>
              <w:left w:val="nil"/>
              <w:bottom w:val="single" w:sz="4" w:space="0" w:color="auto"/>
              <w:right w:val="single" w:sz="4" w:space="0" w:color="auto"/>
            </w:tcBorders>
            <w:shd w:val="clear" w:color="auto" w:fill="auto"/>
            <w:hideMark/>
          </w:tcPr>
          <w:p w14:paraId="7A3C60A7" w14:textId="77777777" w:rsidR="007C679A" w:rsidRPr="0043589D" w:rsidRDefault="007C679A"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2023</w:t>
            </w:r>
          </w:p>
        </w:tc>
        <w:tc>
          <w:tcPr>
            <w:tcW w:w="1519" w:type="dxa"/>
            <w:tcBorders>
              <w:top w:val="nil"/>
              <w:left w:val="nil"/>
              <w:bottom w:val="single" w:sz="4" w:space="0" w:color="auto"/>
              <w:right w:val="single" w:sz="8" w:space="0" w:color="auto"/>
            </w:tcBorders>
            <w:shd w:val="clear" w:color="auto" w:fill="auto"/>
            <w:hideMark/>
          </w:tcPr>
          <w:p w14:paraId="7954CDA7" w14:textId="77777777" w:rsidR="007C679A" w:rsidRPr="0043589D" w:rsidRDefault="007C679A" w:rsidP="001E7124">
            <w:pPr>
              <w:spacing w:after="0"/>
              <w:jc w:val="left"/>
              <w:rPr>
                <w:rFonts w:ascii="Calibri" w:eastAsia="Times New Roman" w:hAnsi="Calibri" w:cs="Calibri"/>
                <w:color w:val="auto"/>
                <w:u w:val="single"/>
                <w:lang w:eastAsia="cs-CZ"/>
              </w:rPr>
            </w:pPr>
            <w:r w:rsidRPr="0043589D">
              <w:rPr>
                <w:color w:val="auto"/>
              </w:rPr>
              <w:t>Eurostat</w:t>
            </w:r>
          </w:p>
        </w:tc>
      </w:tr>
      <w:tr w:rsidR="007C679A" w:rsidRPr="0043589D" w14:paraId="0AF3A11A" w14:textId="77777777" w:rsidTr="003C5F13">
        <w:trPr>
          <w:trHeight w:val="300"/>
        </w:trPr>
        <w:tc>
          <w:tcPr>
            <w:tcW w:w="1408" w:type="dxa"/>
            <w:vMerge/>
            <w:tcBorders>
              <w:left w:val="single" w:sz="8" w:space="0" w:color="auto"/>
              <w:right w:val="single" w:sz="8" w:space="0" w:color="auto"/>
            </w:tcBorders>
            <w:vAlign w:val="center"/>
            <w:hideMark/>
          </w:tcPr>
          <w:p w14:paraId="6FC794A2" w14:textId="77777777" w:rsidR="007C679A" w:rsidRPr="0043589D" w:rsidRDefault="007C679A" w:rsidP="001E7124">
            <w:pPr>
              <w:spacing w:after="0"/>
              <w:jc w:val="left"/>
              <w:rPr>
                <w:rFonts w:ascii="Calibri" w:eastAsia="Times New Roman" w:hAnsi="Calibri" w:cs="Calibri"/>
                <w:color w:val="auto"/>
                <w:lang w:eastAsia="cs-CZ"/>
              </w:rPr>
            </w:pPr>
          </w:p>
        </w:tc>
        <w:tc>
          <w:tcPr>
            <w:tcW w:w="1134" w:type="dxa"/>
            <w:tcBorders>
              <w:top w:val="nil"/>
              <w:left w:val="nil"/>
              <w:bottom w:val="single" w:sz="4" w:space="0" w:color="auto"/>
              <w:right w:val="single" w:sz="4" w:space="0" w:color="auto"/>
            </w:tcBorders>
            <w:shd w:val="clear" w:color="000000" w:fill="FFC7CE"/>
            <w:hideMark/>
          </w:tcPr>
          <w:p w14:paraId="569E086E" w14:textId="77777777" w:rsidR="007C679A" w:rsidRPr="0043589D" w:rsidRDefault="007C679A" w:rsidP="001E7124">
            <w:pPr>
              <w:spacing w:after="0"/>
              <w:jc w:val="center"/>
              <w:rPr>
                <w:rFonts w:ascii="Calibri" w:eastAsia="Times New Roman" w:hAnsi="Calibri" w:cs="Calibri"/>
                <w:color w:val="9C0006"/>
                <w:lang w:eastAsia="cs-CZ"/>
              </w:rPr>
            </w:pPr>
            <w:r w:rsidRPr="0043589D">
              <w:rPr>
                <w:rFonts w:ascii="Calibri" w:eastAsia="Times New Roman" w:hAnsi="Calibri" w:cs="Calibri"/>
                <w:color w:val="9C0006"/>
                <w:lang w:eastAsia="cs-CZ"/>
              </w:rPr>
              <w:t>Strategický</w:t>
            </w:r>
          </w:p>
        </w:tc>
        <w:tc>
          <w:tcPr>
            <w:tcW w:w="7087" w:type="dxa"/>
            <w:tcBorders>
              <w:top w:val="nil"/>
              <w:left w:val="nil"/>
              <w:bottom w:val="single" w:sz="4" w:space="0" w:color="auto"/>
              <w:right w:val="single" w:sz="4" w:space="0" w:color="auto"/>
            </w:tcBorders>
            <w:shd w:val="clear" w:color="auto" w:fill="auto"/>
            <w:hideMark/>
          </w:tcPr>
          <w:p w14:paraId="07B64E4A" w14:textId="1BE9D38A" w:rsidR="007C679A" w:rsidRPr="0043589D" w:rsidRDefault="007C679A"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 xml:space="preserve">Podíl HTEC high-tech </w:t>
            </w:r>
            <w:r w:rsidR="00DE7951" w:rsidRPr="0043589D">
              <w:rPr>
                <w:rFonts w:ascii="Calibri" w:eastAsia="Times New Roman" w:hAnsi="Calibri" w:cs="Calibri"/>
                <w:color w:val="auto"/>
                <w:lang w:eastAsia="cs-CZ"/>
              </w:rPr>
              <w:t>obchodu na celkovém zahraničním obchodu</w:t>
            </w:r>
          </w:p>
        </w:tc>
        <w:tc>
          <w:tcPr>
            <w:tcW w:w="1134" w:type="dxa"/>
            <w:tcBorders>
              <w:top w:val="nil"/>
              <w:left w:val="nil"/>
              <w:bottom w:val="single" w:sz="4" w:space="0" w:color="auto"/>
              <w:right w:val="single" w:sz="4" w:space="0" w:color="auto"/>
            </w:tcBorders>
            <w:shd w:val="clear" w:color="auto" w:fill="auto"/>
            <w:hideMark/>
          </w:tcPr>
          <w:p w14:paraId="77E616B1" w14:textId="77777777" w:rsidR="007C679A" w:rsidRPr="0043589D" w:rsidRDefault="007C679A"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w:t>
            </w:r>
          </w:p>
        </w:tc>
        <w:tc>
          <w:tcPr>
            <w:tcW w:w="1418" w:type="dxa"/>
            <w:tcBorders>
              <w:top w:val="nil"/>
              <w:left w:val="nil"/>
              <w:bottom w:val="single" w:sz="4" w:space="0" w:color="auto"/>
              <w:right w:val="single" w:sz="4" w:space="0" w:color="auto"/>
            </w:tcBorders>
            <w:shd w:val="clear" w:color="auto" w:fill="auto"/>
            <w:hideMark/>
          </w:tcPr>
          <w:p w14:paraId="51016BC7" w14:textId="77777777" w:rsidR="007C679A" w:rsidRPr="0043589D" w:rsidRDefault="007C679A"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18,4</w:t>
            </w:r>
          </w:p>
        </w:tc>
        <w:tc>
          <w:tcPr>
            <w:tcW w:w="850" w:type="dxa"/>
            <w:tcBorders>
              <w:top w:val="nil"/>
              <w:left w:val="nil"/>
              <w:bottom w:val="single" w:sz="4" w:space="0" w:color="auto"/>
              <w:right w:val="single" w:sz="4" w:space="0" w:color="auto"/>
            </w:tcBorders>
            <w:shd w:val="clear" w:color="auto" w:fill="auto"/>
            <w:hideMark/>
          </w:tcPr>
          <w:p w14:paraId="3E90854A" w14:textId="77777777" w:rsidR="007C679A" w:rsidRPr="0043589D" w:rsidRDefault="007C679A"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2023</w:t>
            </w:r>
          </w:p>
        </w:tc>
        <w:tc>
          <w:tcPr>
            <w:tcW w:w="1519" w:type="dxa"/>
            <w:tcBorders>
              <w:top w:val="nil"/>
              <w:left w:val="nil"/>
              <w:bottom w:val="single" w:sz="4" w:space="0" w:color="auto"/>
              <w:right w:val="single" w:sz="8" w:space="0" w:color="auto"/>
            </w:tcBorders>
            <w:shd w:val="clear" w:color="auto" w:fill="auto"/>
            <w:hideMark/>
          </w:tcPr>
          <w:p w14:paraId="4956331C" w14:textId="77777777" w:rsidR="007C679A" w:rsidRPr="0043589D" w:rsidRDefault="007C679A" w:rsidP="001E7124">
            <w:pPr>
              <w:spacing w:after="0"/>
              <w:jc w:val="left"/>
              <w:rPr>
                <w:rFonts w:ascii="Calibri" w:eastAsia="Times New Roman" w:hAnsi="Calibri" w:cs="Calibri"/>
                <w:color w:val="auto"/>
                <w:u w:val="single"/>
                <w:lang w:eastAsia="cs-CZ"/>
              </w:rPr>
            </w:pPr>
            <w:r w:rsidRPr="0043589D">
              <w:rPr>
                <w:color w:val="auto"/>
              </w:rPr>
              <w:t>Eurostat</w:t>
            </w:r>
          </w:p>
        </w:tc>
      </w:tr>
      <w:tr w:rsidR="007C679A" w:rsidRPr="0043589D" w14:paraId="3288834E" w14:textId="77777777" w:rsidTr="003C5F13">
        <w:trPr>
          <w:trHeight w:val="300"/>
        </w:trPr>
        <w:tc>
          <w:tcPr>
            <w:tcW w:w="1408" w:type="dxa"/>
            <w:vMerge/>
            <w:tcBorders>
              <w:left w:val="single" w:sz="8" w:space="0" w:color="auto"/>
              <w:right w:val="single" w:sz="8" w:space="0" w:color="auto"/>
            </w:tcBorders>
            <w:vAlign w:val="center"/>
            <w:hideMark/>
          </w:tcPr>
          <w:p w14:paraId="3F781373" w14:textId="77777777" w:rsidR="007C679A" w:rsidRPr="0043589D" w:rsidRDefault="007C679A" w:rsidP="001E7124">
            <w:pPr>
              <w:spacing w:after="0"/>
              <w:jc w:val="left"/>
              <w:rPr>
                <w:rFonts w:ascii="Calibri" w:eastAsia="Times New Roman" w:hAnsi="Calibri" w:cs="Calibri"/>
                <w:color w:val="auto"/>
                <w:lang w:eastAsia="cs-CZ"/>
              </w:rPr>
            </w:pPr>
          </w:p>
        </w:tc>
        <w:tc>
          <w:tcPr>
            <w:tcW w:w="1134" w:type="dxa"/>
            <w:tcBorders>
              <w:top w:val="nil"/>
              <w:left w:val="nil"/>
              <w:bottom w:val="single" w:sz="4" w:space="0" w:color="auto"/>
              <w:right w:val="single" w:sz="4" w:space="0" w:color="auto"/>
            </w:tcBorders>
            <w:shd w:val="clear" w:color="000000" w:fill="FFC7CE"/>
            <w:hideMark/>
          </w:tcPr>
          <w:p w14:paraId="7C8EF4AC" w14:textId="77777777" w:rsidR="007C679A" w:rsidRPr="0043589D" w:rsidRDefault="007C679A" w:rsidP="001E7124">
            <w:pPr>
              <w:spacing w:after="0"/>
              <w:jc w:val="center"/>
              <w:rPr>
                <w:rFonts w:ascii="Calibri" w:eastAsia="Times New Roman" w:hAnsi="Calibri" w:cs="Calibri"/>
                <w:color w:val="9C0006"/>
                <w:lang w:eastAsia="cs-CZ"/>
              </w:rPr>
            </w:pPr>
            <w:r w:rsidRPr="0043589D">
              <w:rPr>
                <w:rFonts w:ascii="Calibri" w:eastAsia="Times New Roman" w:hAnsi="Calibri" w:cs="Calibri"/>
                <w:color w:val="9C0006"/>
                <w:lang w:eastAsia="cs-CZ"/>
              </w:rPr>
              <w:t>Strategický</w:t>
            </w:r>
          </w:p>
        </w:tc>
        <w:tc>
          <w:tcPr>
            <w:tcW w:w="7087" w:type="dxa"/>
            <w:tcBorders>
              <w:top w:val="nil"/>
              <w:left w:val="nil"/>
              <w:bottom w:val="single" w:sz="4" w:space="0" w:color="auto"/>
              <w:right w:val="single" w:sz="4" w:space="0" w:color="auto"/>
            </w:tcBorders>
            <w:shd w:val="clear" w:color="auto" w:fill="auto"/>
            <w:hideMark/>
          </w:tcPr>
          <w:p w14:paraId="134D58C8" w14:textId="77777777" w:rsidR="007C679A" w:rsidRPr="0043589D" w:rsidRDefault="007C679A"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Celková připravená plocha pro strategické investice</w:t>
            </w:r>
          </w:p>
        </w:tc>
        <w:tc>
          <w:tcPr>
            <w:tcW w:w="1134" w:type="dxa"/>
            <w:tcBorders>
              <w:top w:val="nil"/>
              <w:left w:val="nil"/>
              <w:bottom w:val="single" w:sz="4" w:space="0" w:color="auto"/>
              <w:right w:val="single" w:sz="4" w:space="0" w:color="auto"/>
            </w:tcBorders>
            <w:shd w:val="clear" w:color="auto" w:fill="auto"/>
            <w:hideMark/>
          </w:tcPr>
          <w:p w14:paraId="1953B285" w14:textId="77777777" w:rsidR="007C679A" w:rsidRPr="0043589D" w:rsidRDefault="007C679A"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ha</w:t>
            </w:r>
          </w:p>
        </w:tc>
        <w:tc>
          <w:tcPr>
            <w:tcW w:w="1418" w:type="dxa"/>
            <w:tcBorders>
              <w:top w:val="nil"/>
              <w:left w:val="nil"/>
              <w:bottom w:val="single" w:sz="4" w:space="0" w:color="auto"/>
              <w:right w:val="single" w:sz="4" w:space="0" w:color="auto"/>
            </w:tcBorders>
            <w:shd w:val="clear" w:color="auto" w:fill="auto"/>
            <w:noWrap/>
            <w:hideMark/>
          </w:tcPr>
          <w:p w14:paraId="3AF46532" w14:textId="77777777" w:rsidR="007C679A" w:rsidRPr="0043589D" w:rsidRDefault="007C679A"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0</w:t>
            </w:r>
          </w:p>
        </w:tc>
        <w:tc>
          <w:tcPr>
            <w:tcW w:w="850" w:type="dxa"/>
            <w:tcBorders>
              <w:top w:val="nil"/>
              <w:left w:val="nil"/>
              <w:bottom w:val="single" w:sz="4" w:space="0" w:color="auto"/>
              <w:right w:val="single" w:sz="4" w:space="0" w:color="auto"/>
            </w:tcBorders>
            <w:shd w:val="clear" w:color="auto" w:fill="auto"/>
            <w:hideMark/>
          </w:tcPr>
          <w:p w14:paraId="4CDAF093" w14:textId="77777777" w:rsidR="007C679A" w:rsidRPr="0043589D" w:rsidRDefault="007C679A"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2023</w:t>
            </w:r>
          </w:p>
        </w:tc>
        <w:tc>
          <w:tcPr>
            <w:tcW w:w="1519" w:type="dxa"/>
            <w:tcBorders>
              <w:top w:val="nil"/>
              <w:left w:val="nil"/>
              <w:bottom w:val="single" w:sz="4" w:space="0" w:color="auto"/>
              <w:right w:val="single" w:sz="8" w:space="0" w:color="auto"/>
            </w:tcBorders>
            <w:shd w:val="clear" w:color="auto" w:fill="auto"/>
            <w:hideMark/>
          </w:tcPr>
          <w:p w14:paraId="064C2733" w14:textId="77777777" w:rsidR="007C679A" w:rsidRPr="0043589D" w:rsidRDefault="007C679A" w:rsidP="001E7124">
            <w:pPr>
              <w:spacing w:after="0"/>
              <w:jc w:val="left"/>
              <w:rPr>
                <w:rFonts w:ascii="Calibri" w:eastAsia="Times New Roman" w:hAnsi="Calibri" w:cs="Calibri"/>
                <w:color w:val="auto"/>
                <w:u w:val="single"/>
                <w:lang w:eastAsia="cs-CZ"/>
              </w:rPr>
            </w:pPr>
            <w:r w:rsidRPr="0043589D">
              <w:rPr>
                <w:color w:val="auto"/>
              </w:rPr>
              <w:t>MPO</w:t>
            </w:r>
          </w:p>
        </w:tc>
      </w:tr>
      <w:tr w:rsidR="007C679A" w:rsidRPr="0043589D" w14:paraId="703A973E" w14:textId="77777777" w:rsidTr="003C5F13">
        <w:trPr>
          <w:trHeight w:val="300"/>
        </w:trPr>
        <w:tc>
          <w:tcPr>
            <w:tcW w:w="1408" w:type="dxa"/>
            <w:vMerge/>
            <w:tcBorders>
              <w:left w:val="single" w:sz="8" w:space="0" w:color="auto"/>
              <w:right w:val="single" w:sz="8" w:space="0" w:color="auto"/>
            </w:tcBorders>
            <w:vAlign w:val="center"/>
            <w:hideMark/>
          </w:tcPr>
          <w:p w14:paraId="3A220E85" w14:textId="77777777" w:rsidR="007C679A" w:rsidRPr="0043589D" w:rsidRDefault="007C679A" w:rsidP="001E7124">
            <w:pPr>
              <w:spacing w:after="0"/>
              <w:jc w:val="left"/>
              <w:rPr>
                <w:rFonts w:ascii="Calibri" w:eastAsia="Times New Roman" w:hAnsi="Calibri" w:cs="Calibri"/>
                <w:color w:val="auto"/>
                <w:lang w:eastAsia="cs-CZ"/>
              </w:rPr>
            </w:pPr>
          </w:p>
        </w:tc>
        <w:tc>
          <w:tcPr>
            <w:tcW w:w="1134" w:type="dxa"/>
            <w:tcBorders>
              <w:top w:val="nil"/>
              <w:left w:val="single" w:sz="8" w:space="0" w:color="auto"/>
              <w:bottom w:val="single" w:sz="8" w:space="0" w:color="auto"/>
              <w:right w:val="single" w:sz="4" w:space="0" w:color="auto"/>
            </w:tcBorders>
            <w:shd w:val="clear" w:color="000000" w:fill="C6EFCE"/>
            <w:hideMark/>
          </w:tcPr>
          <w:p w14:paraId="4793CD39" w14:textId="77777777" w:rsidR="007C679A" w:rsidRPr="0043589D" w:rsidRDefault="007C679A" w:rsidP="001E7124">
            <w:pPr>
              <w:spacing w:after="0"/>
              <w:jc w:val="center"/>
              <w:rPr>
                <w:rFonts w:ascii="Calibri" w:eastAsia="Times New Roman" w:hAnsi="Calibri" w:cs="Calibri"/>
                <w:color w:val="006100"/>
                <w:lang w:eastAsia="cs-CZ"/>
              </w:rPr>
            </w:pPr>
            <w:r w:rsidRPr="0043589D">
              <w:rPr>
                <w:rFonts w:ascii="Calibri" w:eastAsia="Times New Roman" w:hAnsi="Calibri" w:cs="Calibri"/>
                <w:color w:val="006100"/>
                <w:lang w:eastAsia="cs-CZ"/>
              </w:rPr>
              <w:t>Doplňující</w:t>
            </w:r>
          </w:p>
        </w:tc>
        <w:tc>
          <w:tcPr>
            <w:tcW w:w="7087" w:type="dxa"/>
            <w:tcBorders>
              <w:top w:val="nil"/>
              <w:left w:val="nil"/>
              <w:bottom w:val="single" w:sz="8" w:space="0" w:color="auto"/>
              <w:right w:val="single" w:sz="4" w:space="0" w:color="auto"/>
            </w:tcBorders>
            <w:shd w:val="clear" w:color="auto" w:fill="auto"/>
            <w:hideMark/>
          </w:tcPr>
          <w:p w14:paraId="0C34D36F" w14:textId="7AAC7F11" w:rsidR="007C679A" w:rsidRPr="0043589D" w:rsidRDefault="00706101"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 xml:space="preserve">Podíl </w:t>
            </w:r>
            <w:r w:rsidR="007C679A" w:rsidRPr="0043589D">
              <w:rPr>
                <w:rFonts w:ascii="Calibri" w:eastAsia="Times New Roman" w:hAnsi="Calibri" w:cs="Calibri"/>
                <w:color w:val="auto"/>
                <w:lang w:eastAsia="cs-CZ"/>
              </w:rPr>
              <w:t xml:space="preserve">HTEC high-tech </w:t>
            </w:r>
            <w:r w:rsidR="00DE7951" w:rsidRPr="0043589D">
              <w:rPr>
                <w:rFonts w:ascii="Calibri" w:eastAsia="Times New Roman" w:hAnsi="Calibri" w:cs="Calibri"/>
                <w:color w:val="auto"/>
                <w:lang w:eastAsia="cs-CZ"/>
              </w:rPr>
              <w:t>průmyslu a znalostně náročných služeb</w:t>
            </w:r>
            <w:r w:rsidRPr="0043589D">
              <w:rPr>
                <w:rFonts w:ascii="Calibri" w:eastAsia="Times New Roman" w:hAnsi="Calibri" w:cs="Calibri"/>
                <w:color w:val="auto"/>
                <w:lang w:eastAsia="cs-CZ"/>
              </w:rPr>
              <w:t xml:space="preserve"> na HDP</w:t>
            </w:r>
          </w:p>
        </w:tc>
        <w:tc>
          <w:tcPr>
            <w:tcW w:w="1134" w:type="dxa"/>
            <w:tcBorders>
              <w:top w:val="nil"/>
              <w:left w:val="nil"/>
              <w:bottom w:val="single" w:sz="8" w:space="0" w:color="auto"/>
              <w:right w:val="single" w:sz="4" w:space="0" w:color="auto"/>
            </w:tcBorders>
            <w:shd w:val="clear" w:color="auto" w:fill="auto"/>
            <w:hideMark/>
          </w:tcPr>
          <w:p w14:paraId="61A006FD" w14:textId="77777777" w:rsidR="007C679A" w:rsidRPr="0043589D" w:rsidRDefault="007C679A"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w:t>
            </w:r>
          </w:p>
        </w:tc>
        <w:tc>
          <w:tcPr>
            <w:tcW w:w="1418" w:type="dxa"/>
            <w:tcBorders>
              <w:top w:val="nil"/>
              <w:left w:val="nil"/>
              <w:bottom w:val="single" w:sz="8" w:space="0" w:color="auto"/>
              <w:right w:val="single" w:sz="4" w:space="0" w:color="auto"/>
            </w:tcBorders>
            <w:shd w:val="clear" w:color="auto" w:fill="auto"/>
            <w:hideMark/>
          </w:tcPr>
          <w:p w14:paraId="5339048E" w14:textId="77777777" w:rsidR="007C679A" w:rsidRPr="0043589D" w:rsidRDefault="007C679A"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4,5</w:t>
            </w:r>
          </w:p>
        </w:tc>
        <w:tc>
          <w:tcPr>
            <w:tcW w:w="850" w:type="dxa"/>
            <w:tcBorders>
              <w:top w:val="nil"/>
              <w:left w:val="nil"/>
              <w:bottom w:val="single" w:sz="8" w:space="0" w:color="auto"/>
              <w:right w:val="single" w:sz="4" w:space="0" w:color="auto"/>
            </w:tcBorders>
            <w:shd w:val="clear" w:color="auto" w:fill="auto"/>
            <w:hideMark/>
          </w:tcPr>
          <w:p w14:paraId="4D70A3F6" w14:textId="77777777" w:rsidR="007C679A" w:rsidRPr="0043589D" w:rsidRDefault="007C679A"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2023</w:t>
            </w:r>
          </w:p>
        </w:tc>
        <w:tc>
          <w:tcPr>
            <w:tcW w:w="1519" w:type="dxa"/>
            <w:tcBorders>
              <w:top w:val="nil"/>
              <w:left w:val="nil"/>
              <w:bottom w:val="single" w:sz="8" w:space="0" w:color="auto"/>
              <w:right w:val="single" w:sz="8" w:space="0" w:color="auto"/>
            </w:tcBorders>
            <w:shd w:val="clear" w:color="auto" w:fill="auto"/>
            <w:hideMark/>
          </w:tcPr>
          <w:p w14:paraId="754EEF2D" w14:textId="77777777" w:rsidR="007C679A" w:rsidRPr="0043589D" w:rsidRDefault="007C679A" w:rsidP="001E7124">
            <w:pPr>
              <w:spacing w:after="0"/>
              <w:jc w:val="left"/>
              <w:rPr>
                <w:rFonts w:ascii="Calibri" w:eastAsia="Times New Roman" w:hAnsi="Calibri" w:cs="Calibri"/>
                <w:color w:val="auto"/>
                <w:u w:val="single"/>
                <w:lang w:eastAsia="cs-CZ"/>
              </w:rPr>
            </w:pPr>
            <w:r w:rsidRPr="0043589D">
              <w:rPr>
                <w:color w:val="auto"/>
              </w:rPr>
              <w:t>ČSÚ</w:t>
            </w:r>
          </w:p>
        </w:tc>
      </w:tr>
      <w:tr w:rsidR="007C679A" w:rsidRPr="0043589D" w14:paraId="26D6858E" w14:textId="77777777" w:rsidTr="003C5F13">
        <w:trPr>
          <w:trHeight w:val="300"/>
        </w:trPr>
        <w:tc>
          <w:tcPr>
            <w:tcW w:w="1408" w:type="dxa"/>
            <w:vMerge/>
            <w:tcBorders>
              <w:left w:val="single" w:sz="8" w:space="0" w:color="auto"/>
              <w:bottom w:val="single" w:sz="8" w:space="0" w:color="000000"/>
              <w:right w:val="single" w:sz="8" w:space="0" w:color="auto"/>
            </w:tcBorders>
            <w:vAlign w:val="center"/>
          </w:tcPr>
          <w:p w14:paraId="4E55E661" w14:textId="77777777" w:rsidR="007C679A" w:rsidRPr="0043589D" w:rsidRDefault="007C679A" w:rsidP="001E7124">
            <w:pPr>
              <w:spacing w:after="0"/>
              <w:jc w:val="left"/>
              <w:rPr>
                <w:rFonts w:ascii="Calibri" w:eastAsia="Times New Roman" w:hAnsi="Calibri" w:cs="Calibri"/>
                <w:color w:val="auto"/>
                <w:lang w:eastAsia="cs-CZ"/>
              </w:rPr>
            </w:pPr>
          </w:p>
        </w:tc>
        <w:tc>
          <w:tcPr>
            <w:tcW w:w="1134" w:type="dxa"/>
            <w:tcBorders>
              <w:top w:val="nil"/>
              <w:left w:val="single" w:sz="8" w:space="0" w:color="auto"/>
              <w:bottom w:val="single" w:sz="8" w:space="0" w:color="auto"/>
              <w:right w:val="single" w:sz="4" w:space="0" w:color="auto"/>
            </w:tcBorders>
            <w:shd w:val="clear" w:color="000000" w:fill="C6EFCE"/>
          </w:tcPr>
          <w:p w14:paraId="50740981" w14:textId="04720987" w:rsidR="007C679A" w:rsidRPr="0043589D" w:rsidRDefault="007C679A" w:rsidP="001E7124">
            <w:pPr>
              <w:spacing w:after="0"/>
              <w:jc w:val="center"/>
              <w:rPr>
                <w:rFonts w:ascii="Calibri" w:eastAsia="Times New Roman" w:hAnsi="Calibri" w:cs="Calibri"/>
                <w:color w:val="006100"/>
                <w:lang w:eastAsia="cs-CZ"/>
              </w:rPr>
            </w:pPr>
            <w:r w:rsidRPr="0043589D">
              <w:rPr>
                <w:rFonts w:ascii="Calibri" w:eastAsia="Times New Roman" w:hAnsi="Calibri" w:cs="Calibri"/>
                <w:color w:val="006100"/>
                <w:lang w:eastAsia="cs-CZ"/>
              </w:rPr>
              <w:t>Doplňující</w:t>
            </w:r>
          </w:p>
        </w:tc>
        <w:tc>
          <w:tcPr>
            <w:tcW w:w="7087" w:type="dxa"/>
            <w:tcBorders>
              <w:top w:val="nil"/>
              <w:left w:val="nil"/>
              <w:bottom w:val="single" w:sz="8" w:space="0" w:color="auto"/>
              <w:right w:val="single" w:sz="4" w:space="0" w:color="auto"/>
            </w:tcBorders>
            <w:shd w:val="clear" w:color="auto" w:fill="auto"/>
          </w:tcPr>
          <w:p w14:paraId="0E9D73C8" w14:textId="2E0D5760" w:rsidR="007C679A" w:rsidRPr="0043589D" w:rsidRDefault="007C679A"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Plocha pro strategické investice</w:t>
            </w:r>
          </w:p>
        </w:tc>
        <w:tc>
          <w:tcPr>
            <w:tcW w:w="1134" w:type="dxa"/>
            <w:tcBorders>
              <w:top w:val="nil"/>
              <w:left w:val="nil"/>
              <w:bottom w:val="single" w:sz="8" w:space="0" w:color="auto"/>
              <w:right w:val="single" w:sz="4" w:space="0" w:color="auto"/>
            </w:tcBorders>
            <w:shd w:val="clear" w:color="auto" w:fill="auto"/>
          </w:tcPr>
          <w:p w14:paraId="496F71EF" w14:textId="674AD470" w:rsidR="007C679A" w:rsidRPr="0043589D" w:rsidRDefault="007C679A"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ha</w:t>
            </w:r>
          </w:p>
        </w:tc>
        <w:tc>
          <w:tcPr>
            <w:tcW w:w="1418" w:type="dxa"/>
            <w:tcBorders>
              <w:top w:val="nil"/>
              <w:left w:val="nil"/>
              <w:bottom w:val="single" w:sz="8" w:space="0" w:color="auto"/>
              <w:right w:val="single" w:sz="4" w:space="0" w:color="auto"/>
            </w:tcBorders>
            <w:shd w:val="clear" w:color="auto" w:fill="auto"/>
          </w:tcPr>
          <w:p w14:paraId="5372B317" w14:textId="3CC4BFA1" w:rsidR="007C679A" w:rsidRPr="0043589D" w:rsidRDefault="007C679A"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w:t>
            </w:r>
          </w:p>
        </w:tc>
        <w:tc>
          <w:tcPr>
            <w:tcW w:w="850" w:type="dxa"/>
            <w:tcBorders>
              <w:top w:val="nil"/>
              <w:left w:val="nil"/>
              <w:bottom w:val="single" w:sz="8" w:space="0" w:color="auto"/>
              <w:right w:val="single" w:sz="4" w:space="0" w:color="auto"/>
            </w:tcBorders>
            <w:shd w:val="clear" w:color="auto" w:fill="auto"/>
          </w:tcPr>
          <w:p w14:paraId="724D6E51" w14:textId="5051CEAD" w:rsidR="007C679A" w:rsidRPr="0043589D" w:rsidRDefault="007C679A"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2024</w:t>
            </w:r>
          </w:p>
        </w:tc>
        <w:tc>
          <w:tcPr>
            <w:tcW w:w="1519" w:type="dxa"/>
            <w:tcBorders>
              <w:top w:val="nil"/>
              <w:left w:val="nil"/>
              <w:bottom w:val="single" w:sz="8" w:space="0" w:color="auto"/>
              <w:right w:val="single" w:sz="8" w:space="0" w:color="auto"/>
            </w:tcBorders>
            <w:shd w:val="clear" w:color="auto" w:fill="auto"/>
          </w:tcPr>
          <w:p w14:paraId="1F8E0806" w14:textId="557C2B87" w:rsidR="007C679A" w:rsidRPr="0043589D" w:rsidRDefault="007C679A" w:rsidP="001E7124">
            <w:pPr>
              <w:spacing w:after="0"/>
              <w:jc w:val="left"/>
              <w:rPr>
                <w:color w:val="auto"/>
              </w:rPr>
            </w:pPr>
            <w:r w:rsidRPr="0043589D">
              <w:rPr>
                <w:rFonts w:ascii="Calibri" w:eastAsia="Times New Roman" w:hAnsi="Calibri" w:cs="Calibri"/>
                <w:color w:val="auto"/>
                <w:lang w:eastAsia="cs-CZ"/>
              </w:rPr>
              <w:t>MPO</w:t>
            </w:r>
          </w:p>
        </w:tc>
      </w:tr>
      <w:tr w:rsidR="00CA37AD" w:rsidRPr="0043589D" w14:paraId="1C6CEBD1" w14:textId="77777777" w:rsidTr="003C5F13">
        <w:trPr>
          <w:trHeight w:val="300"/>
        </w:trPr>
        <w:tc>
          <w:tcPr>
            <w:tcW w:w="1408" w:type="dxa"/>
            <w:vMerge w:val="restart"/>
            <w:tcBorders>
              <w:top w:val="nil"/>
              <w:left w:val="single" w:sz="8" w:space="0" w:color="auto"/>
              <w:bottom w:val="single" w:sz="8" w:space="0" w:color="000000"/>
              <w:right w:val="single" w:sz="8" w:space="0" w:color="auto"/>
            </w:tcBorders>
            <w:shd w:val="clear" w:color="auto" w:fill="auto"/>
            <w:vAlign w:val="center"/>
            <w:hideMark/>
          </w:tcPr>
          <w:p w14:paraId="12C91625" w14:textId="77777777" w:rsidR="00CA37AD" w:rsidRPr="0043589D" w:rsidRDefault="00CA37AD" w:rsidP="001E7124">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4. Financování</w:t>
            </w:r>
          </w:p>
        </w:tc>
        <w:tc>
          <w:tcPr>
            <w:tcW w:w="1134" w:type="dxa"/>
            <w:tcBorders>
              <w:top w:val="nil"/>
              <w:left w:val="single" w:sz="8" w:space="0" w:color="auto"/>
              <w:bottom w:val="single" w:sz="4" w:space="0" w:color="auto"/>
              <w:right w:val="single" w:sz="4" w:space="0" w:color="auto"/>
            </w:tcBorders>
            <w:shd w:val="clear" w:color="000000" w:fill="C6EFCE"/>
            <w:hideMark/>
          </w:tcPr>
          <w:p w14:paraId="47633D37" w14:textId="77777777" w:rsidR="00CA37AD" w:rsidRPr="0043589D" w:rsidRDefault="00CA37AD" w:rsidP="001E7124">
            <w:pPr>
              <w:spacing w:after="0"/>
              <w:jc w:val="center"/>
              <w:rPr>
                <w:rFonts w:ascii="Calibri" w:eastAsia="Times New Roman" w:hAnsi="Calibri" w:cs="Calibri"/>
                <w:color w:val="006100"/>
                <w:lang w:eastAsia="cs-CZ"/>
              </w:rPr>
            </w:pPr>
            <w:r w:rsidRPr="0043589D">
              <w:rPr>
                <w:rFonts w:ascii="Calibri" w:eastAsia="Times New Roman" w:hAnsi="Calibri" w:cs="Calibri"/>
                <w:color w:val="006100"/>
                <w:lang w:eastAsia="cs-CZ"/>
              </w:rPr>
              <w:t>Doplňující</w:t>
            </w:r>
          </w:p>
        </w:tc>
        <w:tc>
          <w:tcPr>
            <w:tcW w:w="7087" w:type="dxa"/>
            <w:tcBorders>
              <w:top w:val="nil"/>
              <w:left w:val="nil"/>
              <w:bottom w:val="single" w:sz="4" w:space="0" w:color="auto"/>
              <w:right w:val="single" w:sz="4" w:space="0" w:color="auto"/>
            </w:tcBorders>
            <w:shd w:val="clear" w:color="auto" w:fill="auto"/>
            <w:hideMark/>
          </w:tcPr>
          <w:p w14:paraId="45305487" w14:textId="2B28B091"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 xml:space="preserve">Rating České republiky (S&amp;P, </w:t>
            </w:r>
            <w:proofErr w:type="spellStart"/>
            <w:r w:rsidRPr="0043589D">
              <w:rPr>
                <w:rFonts w:ascii="Calibri" w:eastAsia="Times New Roman" w:hAnsi="Calibri" w:cs="Calibri"/>
                <w:color w:val="auto"/>
                <w:lang w:eastAsia="cs-CZ"/>
              </w:rPr>
              <w:t>Moody's</w:t>
            </w:r>
            <w:proofErr w:type="spellEnd"/>
            <w:r w:rsidR="0005574D" w:rsidRPr="0043589D">
              <w:rPr>
                <w:rFonts w:ascii="Calibri" w:eastAsia="Times New Roman" w:hAnsi="Calibri" w:cs="Calibri"/>
                <w:color w:val="auto"/>
                <w:lang w:eastAsia="cs-CZ"/>
              </w:rPr>
              <w:t xml:space="preserve">, </w:t>
            </w:r>
            <w:proofErr w:type="spellStart"/>
            <w:r w:rsidR="0005574D" w:rsidRPr="0043589D">
              <w:rPr>
                <w:rFonts w:ascii="Calibri" w:eastAsia="Times New Roman" w:hAnsi="Calibri" w:cs="Calibri"/>
                <w:color w:val="auto"/>
                <w:lang w:eastAsia="cs-CZ"/>
              </w:rPr>
              <w:t>Fitch</w:t>
            </w:r>
            <w:proofErr w:type="spellEnd"/>
            <w:r w:rsidRPr="0043589D">
              <w:rPr>
                <w:rFonts w:ascii="Calibri" w:eastAsia="Times New Roman" w:hAnsi="Calibri" w:cs="Calibri"/>
                <w:color w:val="auto"/>
                <w:lang w:eastAsia="cs-CZ"/>
              </w:rPr>
              <w:t>)</w:t>
            </w:r>
          </w:p>
        </w:tc>
        <w:tc>
          <w:tcPr>
            <w:tcW w:w="1134" w:type="dxa"/>
            <w:tcBorders>
              <w:top w:val="nil"/>
              <w:left w:val="nil"/>
              <w:bottom w:val="single" w:sz="4" w:space="0" w:color="auto"/>
              <w:right w:val="single" w:sz="4" w:space="0" w:color="auto"/>
            </w:tcBorders>
            <w:shd w:val="clear" w:color="auto" w:fill="auto"/>
            <w:hideMark/>
          </w:tcPr>
          <w:p w14:paraId="6A2787F2"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známka</w:t>
            </w:r>
          </w:p>
        </w:tc>
        <w:tc>
          <w:tcPr>
            <w:tcW w:w="1418" w:type="dxa"/>
            <w:tcBorders>
              <w:top w:val="nil"/>
              <w:left w:val="nil"/>
              <w:bottom w:val="single" w:sz="4" w:space="0" w:color="auto"/>
              <w:right w:val="single" w:sz="4" w:space="0" w:color="auto"/>
            </w:tcBorders>
            <w:shd w:val="clear" w:color="auto" w:fill="auto"/>
            <w:hideMark/>
          </w:tcPr>
          <w:p w14:paraId="09974501" w14:textId="77777777" w:rsidR="00CA37AD" w:rsidRPr="0043589D" w:rsidRDefault="00CA37AD"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Aa3; AA; AA-</w:t>
            </w:r>
          </w:p>
        </w:tc>
        <w:tc>
          <w:tcPr>
            <w:tcW w:w="850" w:type="dxa"/>
            <w:tcBorders>
              <w:top w:val="nil"/>
              <w:left w:val="nil"/>
              <w:bottom w:val="single" w:sz="4" w:space="0" w:color="auto"/>
              <w:right w:val="single" w:sz="4" w:space="0" w:color="auto"/>
            </w:tcBorders>
            <w:shd w:val="clear" w:color="auto" w:fill="auto"/>
            <w:hideMark/>
          </w:tcPr>
          <w:p w14:paraId="0B3EF508"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2024</w:t>
            </w:r>
          </w:p>
        </w:tc>
        <w:tc>
          <w:tcPr>
            <w:tcW w:w="1519" w:type="dxa"/>
            <w:tcBorders>
              <w:top w:val="nil"/>
              <w:left w:val="nil"/>
              <w:bottom w:val="single" w:sz="4" w:space="0" w:color="auto"/>
              <w:right w:val="single" w:sz="8" w:space="0" w:color="auto"/>
            </w:tcBorders>
            <w:shd w:val="clear" w:color="auto" w:fill="auto"/>
            <w:hideMark/>
          </w:tcPr>
          <w:p w14:paraId="094AFA31" w14:textId="77777777" w:rsidR="00CA37AD" w:rsidRPr="0043589D" w:rsidRDefault="00CA37AD" w:rsidP="001E7124">
            <w:pPr>
              <w:spacing w:after="0"/>
              <w:jc w:val="left"/>
              <w:rPr>
                <w:rFonts w:ascii="Calibri" w:eastAsia="Times New Roman" w:hAnsi="Calibri" w:cs="Calibri"/>
                <w:color w:val="auto"/>
                <w:u w:val="single"/>
                <w:lang w:eastAsia="cs-CZ"/>
              </w:rPr>
            </w:pPr>
            <w:r w:rsidRPr="0043589D">
              <w:rPr>
                <w:color w:val="auto"/>
              </w:rPr>
              <w:t>MF</w:t>
            </w:r>
          </w:p>
        </w:tc>
      </w:tr>
      <w:tr w:rsidR="00CA37AD" w:rsidRPr="0043589D" w14:paraId="264DDABA" w14:textId="77777777" w:rsidTr="007C679A">
        <w:trPr>
          <w:trHeight w:val="300"/>
        </w:trPr>
        <w:tc>
          <w:tcPr>
            <w:tcW w:w="1408" w:type="dxa"/>
            <w:vMerge/>
            <w:tcBorders>
              <w:top w:val="nil"/>
              <w:left w:val="single" w:sz="8" w:space="0" w:color="auto"/>
              <w:bottom w:val="single" w:sz="8" w:space="0" w:color="000000"/>
              <w:right w:val="single" w:sz="8" w:space="0" w:color="auto"/>
            </w:tcBorders>
            <w:vAlign w:val="center"/>
            <w:hideMark/>
          </w:tcPr>
          <w:p w14:paraId="199F6561" w14:textId="77777777" w:rsidR="00CA37AD" w:rsidRPr="0043589D" w:rsidRDefault="00CA37AD" w:rsidP="001E7124">
            <w:pPr>
              <w:spacing w:after="0"/>
              <w:jc w:val="left"/>
              <w:rPr>
                <w:rFonts w:ascii="Calibri" w:eastAsia="Times New Roman" w:hAnsi="Calibri" w:cs="Calibri"/>
                <w:color w:val="auto"/>
                <w:lang w:eastAsia="cs-CZ"/>
              </w:rPr>
            </w:pPr>
          </w:p>
        </w:tc>
        <w:tc>
          <w:tcPr>
            <w:tcW w:w="1134" w:type="dxa"/>
            <w:tcBorders>
              <w:top w:val="single" w:sz="4" w:space="0" w:color="auto"/>
              <w:left w:val="single" w:sz="8" w:space="0" w:color="auto"/>
              <w:bottom w:val="single" w:sz="4" w:space="0" w:color="auto"/>
              <w:right w:val="single" w:sz="4" w:space="0" w:color="auto"/>
            </w:tcBorders>
            <w:shd w:val="clear" w:color="000000" w:fill="C6EFCE"/>
            <w:hideMark/>
          </w:tcPr>
          <w:p w14:paraId="1300F369" w14:textId="77777777" w:rsidR="00CA37AD" w:rsidRPr="0043589D" w:rsidRDefault="00CA37AD" w:rsidP="001E7124">
            <w:pPr>
              <w:spacing w:after="0"/>
              <w:jc w:val="center"/>
              <w:rPr>
                <w:rFonts w:ascii="Calibri" w:eastAsia="Times New Roman" w:hAnsi="Calibri" w:cs="Calibri"/>
                <w:color w:val="006100"/>
                <w:lang w:eastAsia="cs-CZ"/>
              </w:rPr>
            </w:pPr>
            <w:r w:rsidRPr="0043589D">
              <w:rPr>
                <w:rFonts w:ascii="Calibri" w:eastAsia="Times New Roman" w:hAnsi="Calibri" w:cs="Calibri"/>
                <w:color w:val="006100"/>
                <w:lang w:eastAsia="cs-CZ"/>
              </w:rPr>
              <w:t>Doplňující</w:t>
            </w:r>
          </w:p>
        </w:tc>
        <w:tc>
          <w:tcPr>
            <w:tcW w:w="7087" w:type="dxa"/>
            <w:tcBorders>
              <w:top w:val="nil"/>
              <w:left w:val="nil"/>
              <w:bottom w:val="single" w:sz="4" w:space="0" w:color="auto"/>
              <w:right w:val="single" w:sz="4" w:space="0" w:color="auto"/>
            </w:tcBorders>
            <w:shd w:val="clear" w:color="auto" w:fill="auto"/>
            <w:hideMark/>
          </w:tcPr>
          <w:p w14:paraId="2686CD53" w14:textId="1E5B0F1B"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Udržitelnost důchodového systému</w:t>
            </w:r>
            <w:r w:rsidR="0005574D" w:rsidRPr="0043589D">
              <w:rPr>
                <w:rFonts w:ascii="Calibri" w:eastAsia="Times New Roman" w:hAnsi="Calibri" w:cs="Calibri"/>
                <w:color w:val="auto"/>
                <w:lang w:eastAsia="cs-CZ"/>
              </w:rPr>
              <w:t xml:space="preserve"> (podíl příjmů a výdajů v prvním pilíři)</w:t>
            </w:r>
          </w:p>
        </w:tc>
        <w:tc>
          <w:tcPr>
            <w:tcW w:w="1134" w:type="dxa"/>
            <w:tcBorders>
              <w:top w:val="nil"/>
              <w:left w:val="nil"/>
              <w:bottom w:val="single" w:sz="4" w:space="0" w:color="auto"/>
              <w:right w:val="single" w:sz="4" w:space="0" w:color="auto"/>
            </w:tcBorders>
            <w:shd w:val="clear" w:color="auto" w:fill="auto"/>
            <w:hideMark/>
          </w:tcPr>
          <w:p w14:paraId="1C7FBC40"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w:t>
            </w:r>
          </w:p>
        </w:tc>
        <w:tc>
          <w:tcPr>
            <w:tcW w:w="1418" w:type="dxa"/>
            <w:tcBorders>
              <w:top w:val="nil"/>
              <w:left w:val="nil"/>
              <w:bottom w:val="single" w:sz="4" w:space="0" w:color="auto"/>
              <w:right w:val="single" w:sz="4" w:space="0" w:color="auto"/>
            </w:tcBorders>
            <w:shd w:val="clear" w:color="auto" w:fill="auto"/>
            <w:hideMark/>
          </w:tcPr>
          <w:p w14:paraId="6B65A795" w14:textId="77777777" w:rsidR="00CA37AD" w:rsidRPr="0043589D" w:rsidRDefault="00CA37AD"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90</w:t>
            </w:r>
          </w:p>
        </w:tc>
        <w:tc>
          <w:tcPr>
            <w:tcW w:w="850" w:type="dxa"/>
            <w:tcBorders>
              <w:top w:val="nil"/>
              <w:left w:val="nil"/>
              <w:bottom w:val="single" w:sz="4" w:space="0" w:color="auto"/>
              <w:right w:val="single" w:sz="4" w:space="0" w:color="auto"/>
            </w:tcBorders>
            <w:shd w:val="clear" w:color="auto" w:fill="auto"/>
            <w:hideMark/>
          </w:tcPr>
          <w:p w14:paraId="35DAF225"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2023</w:t>
            </w:r>
          </w:p>
        </w:tc>
        <w:tc>
          <w:tcPr>
            <w:tcW w:w="1519" w:type="dxa"/>
            <w:tcBorders>
              <w:top w:val="nil"/>
              <w:left w:val="nil"/>
              <w:bottom w:val="single" w:sz="4" w:space="0" w:color="auto"/>
              <w:right w:val="single" w:sz="8" w:space="0" w:color="auto"/>
            </w:tcBorders>
            <w:shd w:val="clear" w:color="auto" w:fill="auto"/>
            <w:hideMark/>
          </w:tcPr>
          <w:p w14:paraId="2B884863" w14:textId="77777777" w:rsidR="00CA37AD" w:rsidRPr="0043589D" w:rsidRDefault="00CA37AD" w:rsidP="001E7124">
            <w:pPr>
              <w:spacing w:after="0"/>
              <w:jc w:val="left"/>
              <w:rPr>
                <w:rFonts w:ascii="Calibri" w:eastAsia="Times New Roman" w:hAnsi="Calibri" w:cs="Calibri"/>
                <w:color w:val="auto"/>
                <w:u w:val="single"/>
                <w:lang w:eastAsia="cs-CZ"/>
              </w:rPr>
            </w:pPr>
            <w:r w:rsidRPr="0043589D">
              <w:rPr>
                <w:color w:val="auto"/>
              </w:rPr>
              <w:t>MPSV</w:t>
            </w:r>
          </w:p>
        </w:tc>
      </w:tr>
      <w:tr w:rsidR="00CA37AD" w:rsidRPr="0043589D" w14:paraId="56B964E4" w14:textId="77777777" w:rsidTr="007C679A">
        <w:trPr>
          <w:trHeight w:val="300"/>
        </w:trPr>
        <w:tc>
          <w:tcPr>
            <w:tcW w:w="1408" w:type="dxa"/>
            <w:vMerge/>
            <w:tcBorders>
              <w:top w:val="nil"/>
              <w:left w:val="single" w:sz="8" w:space="0" w:color="auto"/>
              <w:bottom w:val="single" w:sz="8" w:space="0" w:color="000000"/>
              <w:right w:val="single" w:sz="8" w:space="0" w:color="auto"/>
            </w:tcBorders>
            <w:vAlign w:val="center"/>
            <w:hideMark/>
          </w:tcPr>
          <w:p w14:paraId="13CCE678" w14:textId="77777777" w:rsidR="00CA37AD" w:rsidRPr="0043589D" w:rsidRDefault="00CA37AD" w:rsidP="001E7124">
            <w:pPr>
              <w:spacing w:after="0"/>
              <w:jc w:val="left"/>
              <w:rPr>
                <w:rFonts w:ascii="Calibri" w:eastAsia="Times New Roman" w:hAnsi="Calibri" w:cs="Calibri"/>
                <w:color w:val="auto"/>
                <w:lang w:eastAsia="cs-CZ"/>
              </w:rPr>
            </w:pPr>
          </w:p>
        </w:tc>
        <w:tc>
          <w:tcPr>
            <w:tcW w:w="1134" w:type="dxa"/>
            <w:tcBorders>
              <w:top w:val="nil"/>
              <w:left w:val="single" w:sz="8" w:space="0" w:color="auto"/>
              <w:bottom w:val="single" w:sz="8" w:space="0" w:color="auto"/>
              <w:right w:val="single" w:sz="4" w:space="0" w:color="auto"/>
            </w:tcBorders>
            <w:shd w:val="clear" w:color="000000" w:fill="C6EFCE"/>
            <w:hideMark/>
          </w:tcPr>
          <w:p w14:paraId="36B2355A" w14:textId="77777777" w:rsidR="00CA37AD" w:rsidRPr="0043589D" w:rsidRDefault="00CA37AD" w:rsidP="001E7124">
            <w:pPr>
              <w:spacing w:after="0"/>
              <w:jc w:val="center"/>
              <w:rPr>
                <w:rFonts w:ascii="Calibri" w:eastAsia="Times New Roman" w:hAnsi="Calibri" w:cs="Calibri"/>
                <w:color w:val="006100"/>
                <w:lang w:eastAsia="cs-CZ"/>
              </w:rPr>
            </w:pPr>
            <w:r w:rsidRPr="0043589D">
              <w:rPr>
                <w:rFonts w:ascii="Calibri" w:eastAsia="Times New Roman" w:hAnsi="Calibri" w:cs="Calibri"/>
                <w:color w:val="006100"/>
                <w:lang w:eastAsia="cs-CZ"/>
              </w:rPr>
              <w:t>Doplňující</w:t>
            </w:r>
          </w:p>
        </w:tc>
        <w:tc>
          <w:tcPr>
            <w:tcW w:w="7087" w:type="dxa"/>
            <w:tcBorders>
              <w:top w:val="nil"/>
              <w:left w:val="nil"/>
              <w:bottom w:val="single" w:sz="8" w:space="0" w:color="auto"/>
              <w:right w:val="single" w:sz="4" w:space="0" w:color="auto"/>
            </w:tcBorders>
            <w:shd w:val="clear" w:color="auto" w:fill="auto"/>
            <w:hideMark/>
          </w:tcPr>
          <w:p w14:paraId="6DB59A87"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 xml:space="preserve">Atraktivita pro investory Venture </w:t>
            </w:r>
            <w:proofErr w:type="spellStart"/>
            <w:r w:rsidRPr="0043589D">
              <w:rPr>
                <w:rFonts w:ascii="Calibri" w:eastAsia="Times New Roman" w:hAnsi="Calibri" w:cs="Calibri"/>
                <w:color w:val="auto"/>
                <w:lang w:eastAsia="cs-CZ"/>
              </w:rPr>
              <w:t>Capital</w:t>
            </w:r>
            <w:proofErr w:type="spellEnd"/>
            <w:r w:rsidRPr="0043589D">
              <w:rPr>
                <w:rFonts w:ascii="Calibri" w:eastAsia="Times New Roman" w:hAnsi="Calibri" w:cs="Calibri"/>
                <w:color w:val="auto"/>
                <w:lang w:eastAsia="cs-CZ"/>
              </w:rPr>
              <w:t xml:space="preserve"> &amp; </w:t>
            </w:r>
            <w:proofErr w:type="spellStart"/>
            <w:r w:rsidRPr="0043589D">
              <w:rPr>
                <w:rFonts w:ascii="Calibri" w:eastAsia="Times New Roman" w:hAnsi="Calibri" w:cs="Calibri"/>
                <w:color w:val="auto"/>
                <w:lang w:eastAsia="cs-CZ"/>
              </w:rPr>
              <w:t>Private</w:t>
            </w:r>
            <w:proofErr w:type="spellEnd"/>
            <w:r w:rsidRPr="0043589D">
              <w:rPr>
                <w:rFonts w:ascii="Calibri" w:eastAsia="Times New Roman" w:hAnsi="Calibri" w:cs="Calibri"/>
                <w:color w:val="auto"/>
                <w:lang w:eastAsia="cs-CZ"/>
              </w:rPr>
              <w:t xml:space="preserve"> </w:t>
            </w:r>
            <w:proofErr w:type="spellStart"/>
            <w:r w:rsidRPr="0043589D">
              <w:rPr>
                <w:rFonts w:ascii="Calibri" w:eastAsia="Times New Roman" w:hAnsi="Calibri" w:cs="Calibri"/>
                <w:color w:val="auto"/>
                <w:lang w:eastAsia="cs-CZ"/>
              </w:rPr>
              <w:t>Equity</w:t>
            </w:r>
            <w:proofErr w:type="spellEnd"/>
          </w:p>
        </w:tc>
        <w:tc>
          <w:tcPr>
            <w:tcW w:w="1134" w:type="dxa"/>
            <w:tcBorders>
              <w:top w:val="nil"/>
              <w:left w:val="nil"/>
              <w:bottom w:val="single" w:sz="8" w:space="0" w:color="auto"/>
              <w:right w:val="single" w:sz="4" w:space="0" w:color="auto"/>
            </w:tcBorders>
            <w:shd w:val="clear" w:color="auto" w:fill="auto"/>
            <w:hideMark/>
          </w:tcPr>
          <w:p w14:paraId="6AF62F44" w14:textId="77777777" w:rsidR="00CA37AD" w:rsidRPr="0043589D" w:rsidRDefault="00CA37AD" w:rsidP="001E7124">
            <w:pPr>
              <w:spacing w:after="0"/>
              <w:jc w:val="left"/>
              <w:rPr>
                <w:rFonts w:ascii="Calibri" w:eastAsia="Times New Roman" w:hAnsi="Calibri" w:cs="Calibri"/>
                <w:color w:val="auto"/>
                <w:lang w:eastAsia="cs-CZ"/>
              </w:rPr>
            </w:pPr>
            <w:r w:rsidRPr="0043589D">
              <w:rPr>
                <w:rFonts w:ascii="Calibri" w:eastAsia="Times New Roman" w:hAnsi="Calibri" w:cs="Calibri"/>
                <w:color w:val="auto"/>
                <w:lang w:eastAsia="cs-CZ"/>
              </w:rPr>
              <w:t>index</w:t>
            </w:r>
          </w:p>
        </w:tc>
        <w:tc>
          <w:tcPr>
            <w:tcW w:w="1418" w:type="dxa"/>
            <w:tcBorders>
              <w:top w:val="nil"/>
              <w:left w:val="nil"/>
              <w:bottom w:val="single" w:sz="8" w:space="0" w:color="auto"/>
              <w:right w:val="single" w:sz="4" w:space="0" w:color="auto"/>
            </w:tcBorders>
            <w:shd w:val="clear" w:color="auto" w:fill="auto"/>
            <w:hideMark/>
          </w:tcPr>
          <w:p w14:paraId="01803839" w14:textId="77777777" w:rsidR="00CA37AD" w:rsidRPr="0043589D" w:rsidRDefault="00CA37AD" w:rsidP="007C679A">
            <w:pPr>
              <w:spacing w:after="0"/>
              <w:jc w:val="right"/>
              <w:rPr>
                <w:rFonts w:ascii="Calibri" w:eastAsia="Times New Roman" w:hAnsi="Calibri" w:cs="Calibri"/>
                <w:color w:val="auto"/>
                <w:lang w:eastAsia="cs-CZ"/>
              </w:rPr>
            </w:pPr>
            <w:r w:rsidRPr="0043589D">
              <w:rPr>
                <w:rFonts w:ascii="Calibri" w:eastAsia="Times New Roman" w:hAnsi="Calibri" w:cs="Calibri"/>
                <w:color w:val="auto"/>
                <w:lang w:eastAsia="cs-CZ"/>
              </w:rPr>
              <w:t>64,10</w:t>
            </w:r>
          </w:p>
        </w:tc>
        <w:tc>
          <w:tcPr>
            <w:tcW w:w="850" w:type="dxa"/>
            <w:tcBorders>
              <w:top w:val="nil"/>
              <w:left w:val="nil"/>
              <w:bottom w:val="single" w:sz="8" w:space="0" w:color="auto"/>
              <w:right w:val="single" w:sz="4" w:space="0" w:color="auto"/>
            </w:tcBorders>
            <w:shd w:val="clear" w:color="auto" w:fill="auto"/>
            <w:hideMark/>
          </w:tcPr>
          <w:p w14:paraId="2EF98134" w14:textId="77777777" w:rsidR="00CA37AD" w:rsidRPr="0043589D" w:rsidRDefault="00CA37AD" w:rsidP="007C679A">
            <w:pPr>
              <w:spacing w:after="0"/>
              <w:jc w:val="center"/>
              <w:rPr>
                <w:rFonts w:ascii="Calibri" w:eastAsia="Times New Roman" w:hAnsi="Calibri" w:cs="Calibri"/>
                <w:color w:val="auto"/>
                <w:lang w:eastAsia="cs-CZ"/>
              </w:rPr>
            </w:pPr>
            <w:r w:rsidRPr="0043589D">
              <w:rPr>
                <w:rFonts w:ascii="Calibri" w:eastAsia="Times New Roman" w:hAnsi="Calibri" w:cs="Calibri"/>
                <w:color w:val="auto"/>
                <w:lang w:eastAsia="cs-CZ"/>
              </w:rPr>
              <w:t>2023</w:t>
            </w:r>
          </w:p>
        </w:tc>
        <w:tc>
          <w:tcPr>
            <w:tcW w:w="1519" w:type="dxa"/>
            <w:tcBorders>
              <w:top w:val="nil"/>
              <w:left w:val="nil"/>
              <w:bottom w:val="single" w:sz="8" w:space="0" w:color="auto"/>
              <w:right w:val="single" w:sz="8" w:space="0" w:color="auto"/>
            </w:tcBorders>
            <w:shd w:val="clear" w:color="auto" w:fill="auto"/>
            <w:hideMark/>
          </w:tcPr>
          <w:p w14:paraId="34DE7EF6" w14:textId="77777777" w:rsidR="00CA37AD" w:rsidRPr="0043589D" w:rsidRDefault="00CA37AD" w:rsidP="001E7124">
            <w:pPr>
              <w:spacing w:after="0"/>
              <w:jc w:val="left"/>
              <w:rPr>
                <w:rFonts w:ascii="Calibri" w:eastAsia="Times New Roman" w:hAnsi="Calibri" w:cs="Calibri"/>
                <w:color w:val="auto"/>
                <w:u w:val="single"/>
                <w:lang w:eastAsia="cs-CZ"/>
              </w:rPr>
            </w:pPr>
            <w:r w:rsidRPr="0043589D">
              <w:rPr>
                <w:rFonts w:ascii="Calibri" w:eastAsia="Times New Roman" w:hAnsi="Calibri" w:cs="Calibri"/>
                <w:color w:val="auto"/>
                <w:lang w:eastAsia="cs-CZ"/>
              </w:rPr>
              <w:t>EK</w:t>
            </w:r>
          </w:p>
        </w:tc>
      </w:tr>
    </w:tbl>
    <w:p w14:paraId="7DDED275" w14:textId="5B1DB586" w:rsidR="003E7896" w:rsidRDefault="003E7896" w:rsidP="00346AF5">
      <w:pPr>
        <w:pStyle w:val="Text"/>
        <w:sectPr w:rsidR="003E7896" w:rsidSect="00596B93">
          <w:endnotePr>
            <w:numFmt w:val="decimal"/>
          </w:endnotePr>
          <w:pgSz w:w="16838" w:h="11906" w:orient="landscape"/>
          <w:pgMar w:top="992" w:right="1134" w:bottom="992" w:left="1134" w:header="709" w:footer="709" w:gutter="0"/>
          <w:cols w:space="708"/>
          <w:docGrid w:linePitch="360"/>
        </w:sectPr>
      </w:pPr>
    </w:p>
    <w:p w14:paraId="022DCE73" w14:textId="78A36949" w:rsidR="00466DA0" w:rsidRDefault="00772382" w:rsidP="00D45A73">
      <w:pPr>
        <w:pStyle w:val="Nadpis1"/>
        <w:numPr>
          <w:ilvl w:val="0"/>
          <w:numId w:val="0"/>
        </w:numPr>
      </w:pPr>
      <w:bookmarkStart w:id="83" w:name="_Toc167264037"/>
      <w:bookmarkStart w:id="84" w:name="_Toc174703101"/>
      <w:r>
        <w:lastRenderedPageBreak/>
        <w:t>Poznámky pod čarou</w:t>
      </w:r>
      <w:bookmarkEnd w:id="83"/>
      <w:bookmarkEnd w:id="84"/>
    </w:p>
    <w:sectPr w:rsidR="00466DA0" w:rsidSect="00596B93">
      <w:headerReference w:type="default" r:id="rId64"/>
      <w:footerReference w:type="default" r:id="rId65"/>
      <w:headerReference w:type="first" r:id="rId66"/>
      <w:pgSz w:w="11906" w:h="16838"/>
      <w:pgMar w:top="1134" w:right="992" w:bottom="1134"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427D22" w14:textId="77777777" w:rsidR="00170C41" w:rsidRDefault="00170C41" w:rsidP="00F610B8">
      <w:r>
        <w:separator/>
      </w:r>
    </w:p>
  </w:endnote>
  <w:endnote w:type="continuationSeparator" w:id="0">
    <w:p w14:paraId="65DDB3B4" w14:textId="77777777" w:rsidR="00170C41" w:rsidRDefault="00170C41" w:rsidP="00F610B8">
      <w:r>
        <w:continuationSeparator/>
      </w:r>
    </w:p>
  </w:endnote>
  <w:endnote w:id="1">
    <w:p w14:paraId="64959F3F" w14:textId="223104A8" w:rsidR="007A2691" w:rsidRPr="002670F6" w:rsidRDefault="007A2691" w:rsidP="005F7613">
      <w:pPr>
        <w:pStyle w:val="Textvysvtlivek"/>
        <w:ind w:left="142" w:hanging="142"/>
        <w:rPr>
          <w:sz w:val="18"/>
          <w:szCs w:val="18"/>
        </w:rPr>
      </w:pPr>
      <w:r w:rsidRPr="002670F6">
        <w:rPr>
          <w:rStyle w:val="Odkaznavysvtlivky"/>
          <w:sz w:val="18"/>
          <w:szCs w:val="18"/>
        </w:rPr>
        <w:endnoteRef/>
      </w:r>
      <w:r w:rsidR="00291C33" w:rsidRPr="002670F6">
        <w:rPr>
          <w:sz w:val="18"/>
          <w:szCs w:val="18"/>
        </w:rPr>
        <w:t> </w:t>
      </w:r>
      <w:hyperlink r:id="rId1" w:history="1">
        <w:r w:rsidR="00291C33" w:rsidRPr="002670F6">
          <w:rPr>
            <w:rStyle w:val="Hypertextovodkaz"/>
            <w:sz w:val="18"/>
            <w:szCs w:val="18"/>
          </w:rPr>
          <w:t>https://www.weforum.org/publications/the-future-of-growth-report/</w:t>
        </w:r>
      </w:hyperlink>
    </w:p>
  </w:endnote>
  <w:endnote w:id="2">
    <w:p w14:paraId="513D2C4C" w14:textId="77777777" w:rsidR="0036185D" w:rsidRPr="002670F6" w:rsidRDefault="0036185D">
      <w:pPr>
        <w:pStyle w:val="Textvysvtlivek"/>
        <w:ind w:left="142" w:hanging="142"/>
        <w:rPr>
          <w:sz w:val="18"/>
          <w:szCs w:val="18"/>
        </w:rPr>
      </w:pPr>
      <w:r w:rsidRPr="002670F6">
        <w:rPr>
          <w:rStyle w:val="Odkaznavysvtlivky"/>
          <w:sz w:val="18"/>
          <w:szCs w:val="18"/>
        </w:rPr>
        <w:endnoteRef/>
      </w:r>
      <w:r w:rsidRPr="002670F6">
        <w:rPr>
          <w:sz w:val="18"/>
          <w:szCs w:val="18"/>
        </w:rPr>
        <w:t xml:space="preserve"> IRA: </w:t>
      </w:r>
      <w:hyperlink r:id="rId2" w:history="1">
        <w:r w:rsidRPr="002670F6">
          <w:rPr>
            <w:rStyle w:val="Hypertextovodkaz"/>
            <w:sz w:val="18"/>
            <w:szCs w:val="18"/>
          </w:rPr>
          <w:t>https://www.energy.gov/lpo/inflation-reduction-act-2022</w:t>
        </w:r>
      </w:hyperlink>
      <w:r w:rsidRPr="002670F6">
        <w:rPr>
          <w:sz w:val="18"/>
          <w:szCs w:val="18"/>
        </w:rPr>
        <w:t xml:space="preserve"> </w:t>
      </w:r>
    </w:p>
  </w:endnote>
  <w:endnote w:id="3">
    <w:p w14:paraId="32D94D01" w14:textId="77777777" w:rsidR="0036185D" w:rsidRPr="002670F6" w:rsidRDefault="0036185D">
      <w:pPr>
        <w:pStyle w:val="Textvysvtlivek"/>
        <w:ind w:left="142" w:hanging="142"/>
        <w:rPr>
          <w:sz w:val="18"/>
          <w:szCs w:val="18"/>
        </w:rPr>
      </w:pPr>
      <w:r w:rsidRPr="002670F6">
        <w:rPr>
          <w:rStyle w:val="Odkaznavysvtlivky"/>
          <w:sz w:val="18"/>
          <w:szCs w:val="18"/>
        </w:rPr>
        <w:endnoteRef/>
      </w:r>
      <w:r w:rsidRPr="002670F6">
        <w:rPr>
          <w:sz w:val="18"/>
          <w:szCs w:val="18"/>
        </w:rPr>
        <w:t> “</w:t>
      </w:r>
      <w:r w:rsidRPr="002670F6">
        <w:rPr>
          <w:sz w:val="18"/>
          <w:szCs w:val="18"/>
        </w:rPr>
        <w:t xml:space="preserve">dual carbon” targets: </w:t>
      </w:r>
      <w:hyperlink r:id="rId3" w:history="1">
        <w:r w:rsidRPr="002670F6">
          <w:rPr>
            <w:rStyle w:val="Hypertextovodkaz"/>
            <w:sz w:val="18"/>
            <w:szCs w:val="18"/>
          </w:rPr>
          <w:t>https://asiasociety.org/policy-institute/china-climate-introduction-weaving-chinas-climate-policy-tapestry</w:t>
        </w:r>
      </w:hyperlink>
    </w:p>
  </w:endnote>
  <w:endnote w:id="4">
    <w:p w14:paraId="556C00B2" w14:textId="77777777" w:rsidR="0036185D" w:rsidRPr="002670F6" w:rsidRDefault="0036185D">
      <w:pPr>
        <w:pStyle w:val="Textvysvtlivek"/>
        <w:ind w:left="142" w:hanging="142"/>
        <w:rPr>
          <w:sz w:val="18"/>
          <w:szCs w:val="18"/>
        </w:rPr>
      </w:pPr>
      <w:r w:rsidRPr="002670F6">
        <w:rPr>
          <w:rStyle w:val="Odkaznavysvtlivky"/>
          <w:sz w:val="18"/>
          <w:szCs w:val="18"/>
        </w:rPr>
        <w:endnoteRef/>
      </w:r>
      <w:r w:rsidRPr="002670F6">
        <w:rPr>
          <w:sz w:val="18"/>
          <w:szCs w:val="18"/>
        </w:rPr>
        <w:t xml:space="preserve"> EGD: </w:t>
      </w:r>
      <w:hyperlink r:id="rId4" w:history="1">
        <w:r w:rsidRPr="002670F6">
          <w:rPr>
            <w:rStyle w:val="Hypertextovodkaz"/>
            <w:sz w:val="18"/>
            <w:szCs w:val="18"/>
          </w:rPr>
          <w:t>https://commission.europa.eu/strategy-and-policy/priorities-2019-2024/european-green-deal_cs</w:t>
        </w:r>
      </w:hyperlink>
    </w:p>
  </w:endnote>
  <w:endnote w:id="5">
    <w:p w14:paraId="2B6384A2" w14:textId="77777777" w:rsidR="0036185D" w:rsidRPr="002670F6" w:rsidRDefault="0036185D">
      <w:pPr>
        <w:pStyle w:val="Textvysvtlivek"/>
        <w:ind w:left="142" w:hanging="142"/>
        <w:rPr>
          <w:sz w:val="18"/>
          <w:szCs w:val="18"/>
        </w:rPr>
      </w:pPr>
      <w:r w:rsidRPr="002670F6">
        <w:rPr>
          <w:rStyle w:val="Odkaznavysvtlivky"/>
          <w:sz w:val="18"/>
          <w:szCs w:val="18"/>
        </w:rPr>
        <w:endnoteRef/>
      </w:r>
      <w:r w:rsidRPr="002670F6">
        <w:rPr>
          <w:sz w:val="18"/>
          <w:szCs w:val="18"/>
        </w:rPr>
        <w:t xml:space="preserve"> FF55: </w:t>
      </w:r>
      <w:hyperlink r:id="rId5" w:history="1">
        <w:r w:rsidRPr="002670F6">
          <w:rPr>
            <w:rStyle w:val="Hypertextovodkaz"/>
            <w:sz w:val="18"/>
            <w:szCs w:val="18"/>
          </w:rPr>
          <w:t>https://www.consilium.europa.eu/cs/policies/green-deal/fit-for-55-the-eu-plan-for-a-green-transition/</w:t>
        </w:r>
      </w:hyperlink>
    </w:p>
  </w:endnote>
  <w:endnote w:id="6">
    <w:p w14:paraId="23E3F7C5" w14:textId="77777777" w:rsidR="0036185D" w:rsidRPr="002670F6" w:rsidRDefault="0036185D">
      <w:pPr>
        <w:pStyle w:val="Textvysvtlivek"/>
        <w:ind w:left="142" w:hanging="142"/>
        <w:rPr>
          <w:sz w:val="18"/>
          <w:szCs w:val="18"/>
        </w:rPr>
      </w:pPr>
      <w:r w:rsidRPr="002670F6">
        <w:rPr>
          <w:rStyle w:val="Odkaznavysvtlivky"/>
          <w:sz w:val="18"/>
          <w:szCs w:val="18"/>
        </w:rPr>
        <w:endnoteRef/>
      </w:r>
      <w:r w:rsidRPr="002670F6">
        <w:rPr>
          <w:sz w:val="18"/>
          <w:szCs w:val="18"/>
        </w:rPr>
        <w:t xml:space="preserve"> GDIP-NZIA: </w:t>
      </w:r>
      <w:hyperlink r:id="rId6" w:history="1">
        <w:r w:rsidRPr="002670F6">
          <w:rPr>
            <w:rStyle w:val="Hypertextovodkaz"/>
            <w:sz w:val="18"/>
            <w:szCs w:val="18"/>
          </w:rPr>
          <w:t>https://ec.europa.eu/commission/presscorner/detail/cs/ip_23_510</w:t>
        </w:r>
      </w:hyperlink>
    </w:p>
  </w:endnote>
  <w:endnote w:id="7">
    <w:p w14:paraId="54AF8C7F" w14:textId="7A4166AF" w:rsidR="007A2691" w:rsidRPr="002670F6" w:rsidRDefault="007A2691">
      <w:pPr>
        <w:pStyle w:val="Textvysvtlivek"/>
        <w:ind w:left="142" w:hanging="142"/>
        <w:rPr>
          <w:sz w:val="18"/>
          <w:szCs w:val="18"/>
        </w:rPr>
      </w:pPr>
      <w:r w:rsidRPr="002670F6">
        <w:rPr>
          <w:rStyle w:val="Odkaznavysvtlivky"/>
          <w:sz w:val="18"/>
          <w:szCs w:val="18"/>
        </w:rPr>
        <w:endnoteRef/>
      </w:r>
      <w:r w:rsidR="00772382" w:rsidRPr="002670F6">
        <w:rPr>
          <w:sz w:val="18"/>
          <w:szCs w:val="18"/>
        </w:rPr>
        <w:t> </w:t>
      </w:r>
      <w:hyperlink r:id="rId7" w:history="1">
        <w:r w:rsidR="00772382" w:rsidRPr="002670F6">
          <w:rPr>
            <w:rStyle w:val="Hypertextovodkaz"/>
            <w:sz w:val="18"/>
            <w:szCs w:val="18"/>
          </w:rPr>
          <w:t>https://www.oecd-ilibrary.org/sites/1686c758-en/1/3/3/index.html?itemId=/content/publication/1686c758- en&amp;_csp_=fc80786ea6a3a7b4628d3f05b1e2e5d7&amp;itemIGO=oecd&amp;itemContentType=book</w:t>
        </w:r>
      </w:hyperlink>
    </w:p>
  </w:endnote>
  <w:endnote w:id="8">
    <w:p w14:paraId="7CEEF1D8" w14:textId="6C3267BE" w:rsidR="007A2691" w:rsidRPr="002670F6" w:rsidRDefault="007A2691">
      <w:pPr>
        <w:pStyle w:val="Textvysvtlivek"/>
        <w:ind w:left="142" w:hanging="142"/>
        <w:rPr>
          <w:sz w:val="18"/>
          <w:szCs w:val="18"/>
        </w:rPr>
      </w:pPr>
      <w:r w:rsidRPr="002670F6">
        <w:rPr>
          <w:rStyle w:val="Odkaznavysvtlivky"/>
          <w:sz w:val="18"/>
          <w:szCs w:val="18"/>
        </w:rPr>
        <w:endnoteRef/>
      </w:r>
      <w:r w:rsidR="00772382" w:rsidRPr="002670F6">
        <w:rPr>
          <w:sz w:val="18"/>
          <w:szCs w:val="18"/>
        </w:rPr>
        <w:t> </w:t>
      </w:r>
      <w:hyperlink r:id="rId8" w:anchor="/countries/CZE" w:history="1">
        <w:r w:rsidR="00772382" w:rsidRPr="002670F6">
          <w:rPr>
            <w:rStyle w:val="Hypertextovodkaz"/>
            <w:sz w:val="18"/>
            <w:szCs w:val="18"/>
          </w:rPr>
          <w:t>https://hdr.undp.org/data-center/specific-country-data#/countries/CZE</w:t>
        </w:r>
      </w:hyperlink>
    </w:p>
  </w:endnote>
  <w:endnote w:id="9">
    <w:p w14:paraId="044660DC" w14:textId="1EAFB0F6" w:rsidR="007A2691" w:rsidRPr="002670F6" w:rsidRDefault="007A2691">
      <w:pPr>
        <w:pStyle w:val="Textvysvtlivek"/>
        <w:ind w:left="142" w:hanging="142"/>
        <w:rPr>
          <w:sz w:val="18"/>
          <w:szCs w:val="18"/>
        </w:rPr>
      </w:pPr>
      <w:r w:rsidRPr="002670F6">
        <w:rPr>
          <w:rStyle w:val="Odkaznavysvtlivky"/>
          <w:sz w:val="18"/>
          <w:szCs w:val="18"/>
        </w:rPr>
        <w:endnoteRef/>
      </w:r>
      <w:r w:rsidR="00772382" w:rsidRPr="002670F6">
        <w:rPr>
          <w:sz w:val="18"/>
          <w:szCs w:val="18"/>
        </w:rPr>
        <w:t> </w:t>
      </w:r>
      <w:r w:rsidRPr="002670F6">
        <w:rPr>
          <w:sz w:val="18"/>
          <w:szCs w:val="18"/>
        </w:rPr>
        <w:t xml:space="preserve">Fiskální výhled České republiky (listopad 2023). Ministerstvo financí ČR, odbor Hospodářská politika, listopad 2023. Dostupné na </w:t>
      </w:r>
      <w:hyperlink r:id="rId9" w:history="1">
        <w:r w:rsidRPr="002670F6">
          <w:rPr>
            <w:rStyle w:val="Hypertextovodkaz"/>
            <w:sz w:val="18"/>
            <w:szCs w:val="18"/>
          </w:rPr>
          <w:t>https://www.mfcr.cz/cs/rozpoctova-politika/makroekonomika/fiskalni-vyhled/2023/fiskalni-vyhled-cr-listopad-2023-53585</w:t>
        </w:r>
      </w:hyperlink>
    </w:p>
  </w:endnote>
  <w:endnote w:id="10">
    <w:p w14:paraId="547555EC" w14:textId="5524973F" w:rsidR="0023508B" w:rsidRPr="002670F6" w:rsidRDefault="0023508B">
      <w:pPr>
        <w:pStyle w:val="Textvysvtlivek"/>
        <w:ind w:left="142" w:hanging="142"/>
        <w:rPr>
          <w:sz w:val="18"/>
          <w:szCs w:val="18"/>
        </w:rPr>
      </w:pPr>
      <w:r w:rsidRPr="002670F6">
        <w:rPr>
          <w:rStyle w:val="Odkaznavysvtlivky"/>
          <w:sz w:val="18"/>
          <w:szCs w:val="18"/>
        </w:rPr>
        <w:endnoteRef/>
      </w:r>
      <w:r w:rsidR="00772382" w:rsidRPr="002670F6">
        <w:rPr>
          <w:sz w:val="18"/>
          <w:szCs w:val="18"/>
        </w:rPr>
        <w:t> </w:t>
      </w:r>
      <w:hyperlink r:id="rId10" w:history="1">
        <w:r w:rsidR="00772382" w:rsidRPr="002670F6">
          <w:rPr>
            <w:rStyle w:val="Hypertextovodkaz"/>
            <w:sz w:val="18"/>
            <w:szCs w:val="18"/>
          </w:rPr>
          <w:t>https://www.cr2030.cz/strategie/</w:t>
        </w:r>
      </w:hyperlink>
    </w:p>
  </w:endnote>
  <w:endnote w:id="11">
    <w:p w14:paraId="346E2982" w14:textId="4802DBC7" w:rsidR="0023508B" w:rsidRPr="002670F6" w:rsidRDefault="0023508B">
      <w:pPr>
        <w:pStyle w:val="Textvysvtlivek"/>
        <w:ind w:left="142" w:hanging="142"/>
        <w:rPr>
          <w:sz w:val="18"/>
          <w:szCs w:val="18"/>
        </w:rPr>
      </w:pPr>
      <w:r w:rsidRPr="002670F6">
        <w:rPr>
          <w:rStyle w:val="Odkaznavysvtlivky"/>
          <w:sz w:val="18"/>
          <w:szCs w:val="18"/>
        </w:rPr>
        <w:endnoteRef/>
      </w:r>
      <w:r w:rsidR="00772382" w:rsidRPr="002670F6">
        <w:rPr>
          <w:sz w:val="18"/>
          <w:szCs w:val="18"/>
        </w:rPr>
        <w:t> </w:t>
      </w:r>
      <w:r w:rsidRPr="002670F6">
        <w:rPr>
          <w:i/>
          <w:iCs/>
          <w:sz w:val="18"/>
          <w:szCs w:val="18"/>
        </w:rPr>
        <w:t xml:space="preserve">Zpráva o kvalitě života a její udržitelnosti </w:t>
      </w:r>
      <w:r w:rsidRPr="002670F6">
        <w:rPr>
          <w:sz w:val="18"/>
          <w:szCs w:val="18"/>
        </w:rPr>
        <w:t xml:space="preserve">(2020), Ministerstvo životního prostředí, Ministerstvo pro místní rozvoj, </w:t>
      </w:r>
      <w:r w:rsidRPr="002670F6">
        <w:rPr>
          <w:sz w:val="18"/>
          <w:szCs w:val="18"/>
        </w:rPr>
        <w:t xml:space="preserve">Cenia, Český statistický úřad – smyslem hodnotící zprávy je poskytnout informace o dosažených výsledcích, tedy pokroku v dosahování cílů </w:t>
      </w:r>
      <w:r w:rsidRPr="002670F6">
        <w:rPr>
          <w:rFonts w:cs="Arial"/>
          <w:sz w:val="18"/>
          <w:szCs w:val="18"/>
        </w:rPr>
        <w:t xml:space="preserve">Strategického rámce Česká republika 2030; </w:t>
      </w:r>
      <w:r w:rsidRPr="002670F6">
        <w:rPr>
          <w:sz w:val="18"/>
          <w:szCs w:val="18"/>
        </w:rPr>
        <w:t xml:space="preserve">dostupné na: </w:t>
      </w:r>
      <w:hyperlink r:id="rId11" w:history="1">
        <w:r w:rsidRPr="002670F6">
          <w:rPr>
            <w:rStyle w:val="Hypertextovodkaz"/>
            <w:sz w:val="18"/>
            <w:szCs w:val="18"/>
          </w:rPr>
          <w:t>https://www.cr2030.cz/wp-content/uploads/2022/02/ZPRA%CC%81VA-O-KVALITE%CC%8C-Z%CC%8CIVOTA-A-JEJI%CC%81-UDRZ%CC%8CITELNOSTI.pdf</w:t>
        </w:r>
      </w:hyperlink>
    </w:p>
  </w:endnote>
  <w:endnote w:id="12">
    <w:p w14:paraId="013B33DA" w14:textId="30B62C73" w:rsidR="0023508B" w:rsidRPr="002670F6" w:rsidRDefault="0023508B">
      <w:pPr>
        <w:pStyle w:val="Textvysvtlivek"/>
        <w:ind w:left="142" w:hanging="142"/>
        <w:rPr>
          <w:sz w:val="18"/>
          <w:szCs w:val="18"/>
        </w:rPr>
      </w:pPr>
      <w:r w:rsidRPr="002670F6">
        <w:rPr>
          <w:rStyle w:val="Odkaznavysvtlivky"/>
          <w:sz w:val="18"/>
          <w:szCs w:val="18"/>
        </w:rPr>
        <w:endnoteRef/>
      </w:r>
      <w:r w:rsidR="00772382" w:rsidRPr="002670F6">
        <w:rPr>
          <w:sz w:val="18"/>
          <w:szCs w:val="18"/>
        </w:rPr>
        <w:t> </w:t>
      </w:r>
      <w:r w:rsidRPr="002670F6">
        <w:rPr>
          <w:i/>
          <w:iCs/>
          <w:sz w:val="18"/>
          <w:szCs w:val="18"/>
        </w:rPr>
        <w:t>2. zpráva o kvalitě života a její udržitelnosti</w:t>
      </w:r>
      <w:r w:rsidRPr="002670F6">
        <w:rPr>
          <w:sz w:val="18"/>
          <w:szCs w:val="18"/>
        </w:rPr>
        <w:t xml:space="preserve"> (2024), Ministerstvo životního prostředí, Ministerstvo pro místní rozvoj, </w:t>
      </w:r>
      <w:r w:rsidRPr="002670F6">
        <w:rPr>
          <w:sz w:val="18"/>
          <w:szCs w:val="18"/>
        </w:rPr>
        <w:t xml:space="preserve">Cenia, Český statistický úřad; dostupné na: </w:t>
      </w:r>
      <w:hyperlink r:id="rId12" w:history="1">
        <w:r w:rsidRPr="002670F6">
          <w:rPr>
            <w:rStyle w:val="Hypertextovodkaz"/>
            <w:sz w:val="18"/>
            <w:szCs w:val="18"/>
          </w:rPr>
          <w:t>https://www.cr2030.cz/strategie/wp-content/uploads/sites/2/2024/03/2.-zprava-o-kvalite-zivota.pdf</w:t>
        </w:r>
      </w:hyperlink>
    </w:p>
  </w:endnote>
  <w:endnote w:id="13">
    <w:p w14:paraId="5740DA95" w14:textId="57D3F25F" w:rsidR="0023508B" w:rsidRPr="002670F6" w:rsidRDefault="0023508B">
      <w:pPr>
        <w:pStyle w:val="Textvysvtlivek"/>
        <w:ind w:left="142" w:hanging="142"/>
        <w:rPr>
          <w:sz w:val="18"/>
          <w:szCs w:val="18"/>
        </w:rPr>
      </w:pPr>
      <w:r w:rsidRPr="002670F6">
        <w:rPr>
          <w:rStyle w:val="Odkaznavysvtlivky"/>
          <w:sz w:val="18"/>
          <w:szCs w:val="18"/>
        </w:rPr>
        <w:endnoteRef/>
      </w:r>
      <w:r w:rsidR="00772382" w:rsidRPr="002670F6">
        <w:rPr>
          <w:sz w:val="18"/>
          <w:szCs w:val="18"/>
        </w:rPr>
        <w:t> </w:t>
      </w:r>
      <w:hyperlink r:id="rId13" w:history="1">
        <w:r w:rsidR="00772382" w:rsidRPr="002670F6">
          <w:rPr>
            <w:rStyle w:val="Hypertextovodkaz"/>
            <w:sz w:val="18"/>
            <w:szCs w:val="18"/>
          </w:rPr>
          <w:t>https://vyzkum.gov.cz/FrontClanek.aspx?idsekce=866015</w:t>
        </w:r>
      </w:hyperlink>
    </w:p>
  </w:endnote>
  <w:endnote w:id="14">
    <w:p w14:paraId="6E0E5C4C" w14:textId="790601FF" w:rsidR="0023508B" w:rsidRPr="002670F6" w:rsidRDefault="0023508B">
      <w:pPr>
        <w:pStyle w:val="Textvysvtlivek"/>
        <w:ind w:left="142" w:hanging="142"/>
        <w:rPr>
          <w:sz w:val="18"/>
          <w:szCs w:val="18"/>
        </w:rPr>
      </w:pPr>
      <w:r w:rsidRPr="002670F6">
        <w:rPr>
          <w:rStyle w:val="Odkaznavysvtlivky"/>
          <w:sz w:val="18"/>
          <w:szCs w:val="18"/>
        </w:rPr>
        <w:endnoteRef/>
      </w:r>
      <w:r w:rsidR="00772382" w:rsidRPr="002670F6">
        <w:rPr>
          <w:sz w:val="18"/>
          <w:szCs w:val="18"/>
        </w:rPr>
        <w:t> </w:t>
      </w:r>
      <w:hyperlink r:id="rId14" w:history="1">
        <w:r w:rsidR="00772382" w:rsidRPr="002670F6">
          <w:rPr>
            <w:rStyle w:val="Hypertextovodkaz"/>
            <w:sz w:val="18"/>
            <w:szCs w:val="18"/>
          </w:rPr>
          <w:t>https://www.ris3.cz/sites/default/files/2023-07/A_RIS3-Strategie_aktu%C3%A1ln%C3%AD.pdf</w:t>
        </w:r>
      </w:hyperlink>
    </w:p>
  </w:endnote>
  <w:endnote w:id="15">
    <w:p w14:paraId="37F7B091" w14:textId="76878B85" w:rsidR="0023508B" w:rsidRPr="002670F6" w:rsidRDefault="0023508B">
      <w:pPr>
        <w:pStyle w:val="Textvysvtlivek"/>
        <w:ind w:left="142" w:hanging="142"/>
        <w:rPr>
          <w:sz w:val="18"/>
          <w:szCs w:val="18"/>
        </w:rPr>
      </w:pPr>
      <w:r w:rsidRPr="002670F6">
        <w:rPr>
          <w:rStyle w:val="Odkaznavysvtlivky"/>
          <w:sz w:val="18"/>
          <w:szCs w:val="18"/>
        </w:rPr>
        <w:endnoteRef/>
      </w:r>
      <w:r w:rsidR="00772382" w:rsidRPr="002670F6">
        <w:rPr>
          <w:sz w:val="18"/>
          <w:szCs w:val="18"/>
        </w:rPr>
        <w:t> </w:t>
      </w:r>
      <w:hyperlink r:id="rId15" w:history="1">
        <w:r w:rsidR="00772382" w:rsidRPr="002670F6">
          <w:rPr>
            <w:rStyle w:val="Hypertextovodkaz"/>
            <w:sz w:val="18"/>
            <w:szCs w:val="18"/>
          </w:rPr>
          <w:t>https://www.vlada.cz/assets/evropske-zalezitosti/aktualne/Zprava-o-realizaci-NPR-2022.pdf</w:t>
        </w:r>
      </w:hyperlink>
    </w:p>
  </w:endnote>
  <w:endnote w:id="16">
    <w:p w14:paraId="343D8650" w14:textId="49005F22" w:rsidR="0023508B" w:rsidRPr="002670F6" w:rsidRDefault="0023508B">
      <w:pPr>
        <w:pStyle w:val="Textvysvtlivek"/>
        <w:ind w:left="142" w:hanging="142"/>
        <w:rPr>
          <w:sz w:val="18"/>
          <w:szCs w:val="18"/>
        </w:rPr>
      </w:pPr>
      <w:r w:rsidRPr="002670F6">
        <w:rPr>
          <w:rStyle w:val="Odkaznavysvtlivky"/>
          <w:sz w:val="18"/>
          <w:szCs w:val="18"/>
        </w:rPr>
        <w:endnoteRef/>
      </w:r>
      <w:r w:rsidR="00772382" w:rsidRPr="002670F6">
        <w:rPr>
          <w:sz w:val="18"/>
          <w:szCs w:val="18"/>
        </w:rPr>
        <w:t> </w:t>
      </w:r>
      <w:hyperlink r:id="rId16" w:history="1">
        <w:r w:rsidR="00772382" w:rsidRPr="002670F6">
          <w:rPr>
            <w:rStyle w:val="Hypertextovodkaz"/>
            <w:sz w:val="18"/>
            <w:szCs w:val="18"/>
          </w:rPr>
          <w:t>https://vlada.gov.cz/assets/evropske-zalezitosti/aktualne/Zprava-o-realizaci-NPR-2023.pdf</w:t>
        </w:r>
      </w:hyperlink>
    </w:p>
  </w:endnote>
  <w:endnote w:id="17">
    <w:p w14:paraId="37568A86" w14:textId="2E4E71E5" w:rsidR="0023508B" w:rsidRPr="002670F6" w:rsidRDefault="0023508B">
      <w:pPr>
        <w:pStyle w:val="Textvysvtlivek"/>
        <w:ind w:left="142" w:hanging="142"/>
        <w:rPr>
          <w:sz w:val="18"/>
          <w:szCs w:val="18"/>
        </w:rPr>
      </w:pPr>
      <w:r w:rsidRPr="002670F6">
        <w:rPr>
          <w:rStyle w:val="Odkaznavysvtlivky"/>
          <w:sz w:val="18"/>
          <w:szCs w:val="18"/>
        </w:rPr>
        <w:endnoteRef/>
      </w:r>
      <w:r w:rsidR="00772382" w:rsidRPr="002670F6">
        <w:rPr>
          <w:sz w:val="18"/>
          <w:szCs w:val="18"/>
        </w:rPr>
        <w:t> </w:t>
      </w:r>
      <w:hyperlink r:id="rId17" w:history="1">
        <w:r w:rsidR="00772382" w:rsidRPr="002670F6">
          <w:rPr>
            <w:rStyle w:val="Hypertextovodkaz"/>
            <w:sz w:val="18"/>
            <w:szCs w:val="18"/>
          </w:rPr>
          <w:t>https://www.tacr.cz/projekt-inka-vysledky-mapovani-inka2/</w:t>
        </w:r>
      </w:hyperlink>
    </w:p>
  </w:endnote>
  <w:endnote w:id="18">
    <w:p w14:paraId="0E0CF9E5" w14:textId="0FC353B4" w:rsidR="0023508B" w:rsidRPr="002670F6" w:rsidRDefault="0023508B">
      <w:pPr>
        <w:pStyle w:val="Textvysvtlivek"/>
        <w:ind w:left="142" w:hanging="142"/>
        <w:rPr>
          <w:sz w:val="18"/>
          <w:szCs w:val="18"/>
        </w:rPr>
      </w:pPr>
      <w:r w:rsidRPr="002670F6">
        <w:rPr>
          <w:rStyle w:val="Odkaznavysvtlivky"/>
          <w:sz w:val="18"/>
          <w:szCs w:val="18"/>
        </w:rPr>
        <w:endnoteRef/>
      </w:r>
      <w:r w:rsidR="00772382" w:rsidRPr="002670F6">
        <w:rPr>
          <w:sz w:val="18"/>
          <w:szCs w:val="18"/>
        </w:rPr>
        <w:t> </w:t>
      </w:r>
      <w:r w:rsidRPr="002670F6">
        <w:rPr>
          <w:sz w:val="18"/>
          <w:szCs w:val="18"/>
        </w:rPr>
        <w:t xml:space="preserve">Teze HS: </w:t>
      </w:r>
      <w:hyperlink r:id="rId18" w:history="1">
        <w:r w:rsidRPr="002670F6">
          <w:rPr>
            <w:rStyle w:val="Hypertextovodkaz"/>
            <w:sz w:val="18"/>
            <w:szCs w:val="18"/>
          </w:rPr>
          <w:t>https://mmr.gov.cz/getmedia/4703af96-bbb7-4fda-8c6d-c5cdfa446526/Teze_Hospodarske_strategie_2020_2030.pdf.aspx</w:t>
        </w:r>
      </w:hyperlink>
    </w:p>
  </w:endnote>
  <w:endnote w:id="19">
    <w:p w14:paraId="22DB770C" w14:textId="1274302B" w:rsidR="0023508B" w:rsidRPr="002670F6" w:rsidRDefault="0023508B">
      <w:pPr>
        <w:pStyle w:val="Textvysvtlivek"/>
        <w:ind w:left="142" w:hanging="142"/>
        <w:rPr>
          <w:sz w:val="18"/>
          <w:szCs w:val="18"/>
        </w:rPr>
      </w:pPr>
      <w:r w:rsidRPr="002670F6">
        <w:rPr>
          <w:rStyle w:val="Odkaznavysvtlivky"/>
          <w:sz w:val="18"/>
          <w:szCs w:val="18"/>
        </w:rPr>
        <w:endnoteRef/>
      </w:r>
      <w:r w:rsidR="00772382" w:rsidRPr="002670F6">
        <w:rPr>
          <w:sz w:val="18"/>
          <w:szCs w:val="18"/>
        </w:rPr>
        <w:t> </w:t>
      </w:r>
      <w:r w:rsidRPr="002670F6">
        <w:rPr>
          <w:sz w:val="18"/>
          <w:szCs w:val="18"/>
        </w:rPr>
        <w:t xml:space="preserve">Národní plán obnovy: </w:t>
      </w:r>
      <w:hyperlink r:id="rId19" w:history="1">
        <w:r w:rsidRPr="002670F6">
          <w:rPr>
            <w:rStyle w:val="Hypertextovodkaz"/>
            <w:sz w:val="18"/>
            <w:szCs w:val="18"/>
          </w:rPr>
          <w:t>https://www.planobnovycr.cz/</w:t>
        </w:r>
      </w:hyperlink>
    </w:p>
  </w:endnote>
  <w:endnote w:id="20">
    <w:p w14:paraId="03DBD932" w14:textId="77777777" w:rsidR="002B6B23" w:rsidRPr="002670F6" w:rsidRDefault="002B6B23">
      <w:pPr>
        <w:pStyle w:val="Textvysvtlivek"/>
        <w:ind w:left="142" w:hanging="142"/>
        <w:rPr>
          <w:sz w:val="18"/>
          <w:szCs w:val="18"/>
        </w:rPr>
      </w:pPr>
      <w:r w:rsidRPr="002670F6">
        <w:rPr>
          <w:rStyle w:val="Odkaznavysvtlivky"/>
          <w:sz w:val="18"/>
          <w:szCs w:val="18"/>
        </w:rPr>
        <w:endnoteRef/>
      </w:r>
      <w:r w:rsidRPr="002670F6">
        <w:rPr>
          <w:sz w:val="18"/>
          <w:szCs w:val="18"/>
        </w:rPr>
        <w:t xml:space="preserve"> OECD (2013): OECD </w:t>
      </w:r>
      <w:r w:rsidRPr="002670F6">
        <w:rPr>
          <w:sz w:val="18"/>
          <w:szCs w:val="18"/>
        </w:rPr>
        <w:t xml:space="preserve">Economic Surveys: Czech Republic 2023; </w:t>
      </w:r>
      <w:hyperlink r:id="rId20" w:history="1">
        <w:r w:rsidRPr="002670F6">
          <w:rPr>
            <w:rStyle w:val="Hypertextovodkaz"/>
            <w:sz w:val="18"/>
            <w:szCs w:val="18"/>
          </w:rPr>
          <w:t>https://www.oecd-ilibrary.org/sites/e392e937-en/1/2/1/index.html?itemId=/content/publication/e392e937-en&amp;_csp_=c8eb46cbbb2e6de12cd597479833eb72&amp;itemIGO=oecd&amp;itemContentType=book</w:t>
        </w:r>
      </w:hyperlink>
    </w:p>
  </w:endnote>
  <w:endnote w:id="21">
    <w:p w14:paraId="24280598" w14:textId="0E4BB292" w:rsidR="002B6B23" w:rsidRPr="002670F6" w:rsidRDefault="002B6B23">
      <w:pPr>
        <w:pStyle w:val="Textvysvtlivek"/>
        <w:ind w:left="142" w:hanging="142"/>
        <w:rPr>
          <w:sz w:val="18"/>
          <w:szCs w:val="18"/>
        </w:rPr>
      </w:pPr>
      <w:r w:rsidRPr="002670F6">
        <w:rPr>
          <w:rStyle w:val="Odkaznavysvtlivky"/>
          <w:sz w:val="18"/>
          <w:szCs w:val="18"/>
        </w:rPr>
        <w:endnoteRef/>
      </w:r>
      <w:r w:rsidR="0079388F" w:rsidRPr="002670F6">
        <w:rPr>
          <w:rStyle w:val="Hypertextovodkaz"/>
          <w:sz w:val="18"/>
          <w:szCs w:val="18"/>
        </w:rPr>
        <w:t>https://economy-finance.ec.europa.eu/document/download/facc4bb2-4e1b-471f-998e-6895c4091e3c_en?filename=SWD_2024_603_1_EN_Czechia.pdf</w:t>
      </w:r>
      <w:r w:rsidRPr="002670F6">
        <w:rPr>
          <w:sz w:val="18"/>
          <w:szCs w:val="18"/>
        </w:rPr>
        <w:t xml:space="preserve"> a </w:t>
      </w:r>
      <w:hyperlink r:id="rId21" w:history="1">
        <w:r w:rsidR="005F7613" w:rsidRPr="002670F6">
          <w:rPr>
            <w:rStyle w:val="Hypertextovodkaz"/>
            <w:sz w:val="18"/>
            <w:szCs w:val="18"/>
          </w:rPr>
          <w:t>https://eur-lex.europa.eu/legal-content/CS/TXT/?uri=CELEX%3A52024SC0603&amp;qid=1721888234222</w:t>
        </w:r>
      </w:hyperlink>
      <w:r w:rsidR="005F7613" w:rsidRPr="002670F6">
        <w:rPr>
          <w:sz w:val="18"/>
          <w:szCs w:val="18"/>
        </w:rPr>
        <w:t xml:space="preserve"> </w:t>
      </w:r>
    </w:p>
  </w:endnote>
  <w:endnote w:id="22">
    <w:p w14:paraId="2E6B5510" w14:textId="090E47CF" w:rsidR="002B6B23" w:rsidRPr="002670F6" w:rsidRDefault="002B6B23">
      <w:pPr>
        <w:pStyle w:val="Textvysvtlivek"/>
        <w:ind w:left="142" w:hanging="142"/>
        <w:rPr>
          <w:sz w:val="18"/>
          <w:szCs w:val="18"/>
        </w:rPr>
      </w:pPr>
      <w:r w:rsidRPr="002670F6">
        <w:rPr>
          <w:rStyle w:val="Odkaznavysvtlivky"/>
          <w:sz w:val="18"/>
          <w:szCs w:val="18"/>
        </w:rPr>
        <w:endnoteRef/>
      </w:r>
      <w:r w:rsidRPr="002670F6">
        <w:rPr>
          <w:sz w:val="18"/>
          <w:szCs w:val="18"/>
        </w:rPr>
        <w:t> </w:t>
      </w:r>
      <w:r w:rsidR="00E451FA" w:rsidRPr="002670F6">
        <w:rPr>
          <w:rStyle w:val="Hypertextovodkaz"/>
          <w:sz w:val="18"/>
          <w:szCs w:val="18"/>
        </w:rPr>
        <w:t xml:space="preserve"> https://eur-lex.europa.eu/legal-content/CS/TXT/PDF/?uri=CELEX:52024DC0603&amp;qid=1721890876536</w:t>
      </w:r>
    </w:p>
  </w:endnote>
  <w:endnote w:id="23">
    <w:p w14:paraId="66AB0D2B" w14:textId="77777777" w:rsidR="002B6B23" w:rsidRPr="002670F6" w:rsidRDefault="002B6B23">
      <w:pPr>
        <w:pStyle w:val="Textvysvtlivek"/>
        <w:ind w:left="142" w:hanging="142"/>
        <w:rPr>
          <w:sz w:val="18"/>
          <w:szCs w:val="18"/>
        </w:rPr>
      </w:pPr>
      <w:r w:rsidRPr="002670F6">
        <w:rPr>
          <w:rStyle w:val="Odkaznavysvtlivky"/>
          <w:sz w:val="18"/>
          <w:szCs w:val="18"/>
        </w:rPr>
        <w:endnoteRef/>
      </w:r>
      <w:r w:rsidRPr="002670F6">
        <w:rPr>
          <w:sz w:val="18"/>
          <w:szCs w:val="18"/>
        </w:rPr>
        <w:t> </w:t>
      </w:r>
      <w:hyperlink r:id="rId22" w:history="1">
        <w:r w:rsidRPr="002670F6">
          <w:rPr>
            <w:rStyle w:val="Hypertextovodkaz"/>
            <w:sz w:val="18"/>
            <w:szCs w:val="18"/>
          </w:rPr>
          <w:t>https://ec.europa.eu/economy_finance/country-specific-recommendations-database/</w:t>
        </w:r>
      </w:hyperlink>
    </w:p>
  </w:endnote>
  <w:endnote w:id="24">
    <w:p w14:paraId="4B2519F7" w14:textId="77777777" w:rsidR="002B6B23" w:rsidRPr="002670F6" w:rsidRDefault="002B6B23">
      <w:pPr>
        <w:pStyle w:val="Textvysvtlivek"/>
        <w:ind w:left="142" w:hanging="142"/>
        <w:rPr>
          <w:sz w:val="18"/>
          <w:szCs w:val="18"/>
        </w:rPr>
      </w:pPr>
      <w:r w:rsidRPr="002670F6">
        <w:rPr>
          <w:rStyle w:val="Odkaznavysvtlivky"/>
          <w:sz w:val="18"/>
          <w:szCs w:val="18"/>
        </w:rPr>
        <w:endnoteRef/>
      </w:r>
      <w:r w:rsidRPr="002670F6">
        <w:rPr>
          <w:sz w:val="18"/>
          <w:szCs w:val="18"/>
        </w:rPr>
        <w:t> </w:t>
      </w:r>
      <w:hyperlink r:id="rId23" w:history="1">
        <w:r w:rsidRPr="002670F6">
          <w:rPr>
            <w:rStyle w:val="Hypertextovodkaz"/>
            <w:sz w:val="18"/>
            <w:szCs w:val="18"/>
          </w:rPr>
          <w:t>https://www.imf.org/en/News/Articles/2024/01/25/pr2426-czech-republic-imf-executive-board-concludes-2023-article-iv-consultation</w:t>
        </w:r>
      </w:hyperlink>
    </w:p>
  </w:endnote>
  <w:endnote w:id="25">
    <w:p w14:paraId="6D2AE224" w14:textId="03E58F98" w:rsidR="002B6B23" w:rsidRPr="002670F6" w:rsidRDefault="002B6B23" w:rsidP="002670F6">
      <w:pPr>
        <w:spacing w:after="0"/>
        <w:rPr>
          <w:sz w:val="18"/>
          <w:szCs w:val="18"/>
        </w:rPr>
      </w:pPr>
      <w:r w:rsidRPr="002670F6">
        <w:rPr>
          <w:rStyle w:val="Odkaznavysvtlivky"/>
          <w:sz w:val="18"/>
          <w:szCs w:val="18"/>
        </w:rPr>
        <w:endnoteRef/>
      </w:r>
      <w:r w:rsidRPr="002670F6">
        <w:rPr>
          <w:sz w:val="18"/>
          <w:szCs w:val="18"/>
        </w:rPr>
        <w:t> </w:t>
      </w:r>
      <w:hyperlink r:id="rId24" w:history="1">
        <w:r w:rsidRPr="002670F6">
          <w:rPr>
            <w:rStyle w:val="Hypertextovodkaz"/>
            <w:sz w:val="18"/>
            <w:szCs w:val="18"/>
          </w:rPr>
          <w:t>https://www.mfcr.cz/cs/rozpoctova-politika/rizeni-statniho-dluhu/zakladni-informace/rating</w:t>
        </w:r>
      </w:hyperlink>
    </w:p>
  </w:endnote>
  <w:endnote w:id="26">
    <w:p w14:paraId="72DB481D" w14:textId="14302E1E" w:rsidR="00833A4C" w:rsidRPr="002670F6" w:rsidRDefault="00833A4C">
      <w:pPr>
        <w:pStyle w:val="Textvysvtlivek"/>
        <w:rPr>
          <w:sz w:val="18"/>
          <w:szCs w:val="18"/>
        </w:rPr>
      </w:pPr>
      <w:r w:rsidRPr="002670F6">
        <w:rPr>
          <w:rStyle w:val="Odkaznavysvtlivky"/>
          <w:sz w:val="18"/>
          <w:szCs w:val="18"/>
        </w:rPr>
        <w:endnoteRef/>
      </w:r>
      <w:r w:rsidRPr="002670F6">
        <w:rPr>
          <w:sz w:val="18"/>
          <w:szCs w:val="18"/>
        </w:rPr>
        <w:t xml:space="preserve"> </w:t>
      </w:r>
      <w:hyperlink r:id="rId25" w:history="1">
        <w:r w:rsidR="005F7613" w:rsidRPr="002670F6">
          <w:rPr>
            <w:rStyle w:val="Hypertextovodkaz"/>
            <w:sz w:val="18"/>
            <w:szCs w:val="18"/>
          </w:rPr>
          <w:t>https://ec.europa.eu/eurostat/databrowser/view/tec00114/default/table?lang=en</w:t>
        </w:r>
      </w:hyperlink>
      <w:r w:rsidR="005F7613" w:rsidRPr="002670F6">
        <w:rPr>
          <w:sz w:val="18"/>
          <w:szCs w:val="18"/>
        </w:rPr>
        <w:t xml:space="preserve"> </w:t>
      </w:r>
    </w:p>
  </w:endnote>
  <w:endnote w:id="27">
    <w:p w14:paraId="1AD9CBAD" w14:textId="527A8DCA" w:rsidR="000510EE" w:rsidRPr="002670F6" w:rsidRDefault="000510EE">
      <w:pPr>
        <w:pStyle w:val="Textvysvtlivek"/>
        <w:rPr>
          <w:sz w:val="18"/>
          <w:szCs w:val="18"/>
        </w:rPr>
      </w:pPr>
      <w:r w:rsidRPr="002670F6">
        <w:rPr>
          <w:rStyle w:val="Odkaznavysvtlivky"/>
          <w:sz w:val="18"/>
          <w:szCs w:val="18"/>
        </w:rPr>
        <w:endnoteRef/>
      </w:r>
      <w:r w:rsidRPr="002670F6">
        <w:rPr>
          <w:sz w:val="18"/>
          <w:szCs w:val="18"/>
        </w:rPr>
        <w:t xml:space="preserve"> </w:t>
      </w:r>
      <w:hyperlink r:id="rId26" w:anchor="_yearbook_Economic%20Performance" w:history="1">
        <w:r w:rsidR="005F7613" w:rsidRPr="002670F6">
          <w:rPr>
            <w:rStyle w:val="Hypertextovodkaz"/>
            <w:sz w:val="18"/>
            <w:szCs w:val="18"/>
          </w:rPr>
          <w:t>https://www.imd.org/entity-profile/czech-republic-wcr/#_yearbook_Economic%20Performance</w:t>
        </w:r>
      </w:hyperlink>
      <w:r w:rsidR="005F7613" w:rsidRPr="002670F6">
        <w:rPr>
          <w:sz w:val="18"/>
          <w:szCs w:val="18"/>
        </w:rPr>
        <w:t xml:space="preserve"> </w:t>
      </w:r>
    </w:p>
  </w:endnote>
  <w:endnote w:id="28">
    <w:p w14:paraId="59267250" w14:textId="60774017" w:rsidR="00FA4009" w:rsidRPr="002670F6" w:rsidRDefault="00FA4009">
      <w:pPr>
        <w:pStyle w:val="Textvysvtlivek"/>
        <w:rPr>
          <w:sz w:val="18"/>
          <w:szCs w:val="18"/>
        </w:rPr>
      </w:pPr>
      <w:r w:rsidRPr="002670F6">
        <w:rPr>
          <w:rStyle w:val="Odkaznavysvtlivky"/>
          <w:sz w:val="18"/>
          <w:szCs w:val="18"/>
        </w:rPr>
        <w:endnoteRef/>
      </w:r>
      <w:r w:rsidRPr="002670F6">
        <w:rPr>
          <w:sz w:val="18"/>
          <w:szCs w:val="18"/>
        </w:rPr>
        <w:t xml:space="preserve"> </w:t>
      </w:r>
      <w:hyperlink r:id="rId27" w:history="1">
        <w:r w:rsidR="005F7613" w:rsidRPr="002670F6">
          <w:rPr>
            <w:rStyle w:val="Hypertextovodkaz"/>
            <w:sz w:val="18"/>
            <w:szCs w:val="18"/>
          </w:rPr>
          <w:t>https://digital-decade-desi.digital-strategy.ec.europa.eu/datasets/desi/charts</w:t>
        </w:r>
      </w:hyperlink>
      <w:r w:rsidR="005F7613" w:rsidRPr="002670F6">
        <w:rPr>
          <w:sz w:val="18"/>
          <w:szCs w:val="18"/>
        </w:rPr>
        <w:t xml:space="preserve"> </w:t>
      </w:r>
    </w:p>
  </w:endnote>
  <w:endnote w:id="29">
    <w:p w14:paraId="13253BBA" w14:textId="0AA6B993" w:rsidR="000510EE" w:rsidRPr="002670F6" w:rsidRDefault="000510EE">
      <w:pPr>
        <w:pStyle w:val="Textvysvtlivek"/>
        <w:rPr>
          <w:sz w:val="18"/>
          <w:szCs w:val="18"/>
        </w:rPr>
      </w:pPr>
      <w:r w:rsidRPr="002670F6">
        <w:rPr>
          <w:rStyle w:val="Odkaznavysvtlivky"/>
          <w:sz w:val="18"/>
          <w:szCs w:val="18"/>
        </w:rPr>
        <w:endnoteRef/>
      </w:r>
      <w:r w:rsidRPr="002670F6">
        <w:rPr>
          <w:sz w:val="18"/>
          <w:szCs w:val="18"/>
        </w:rPr>
        <w:t xml:space="preserve"> </w:t>
      </w:r>
      <w:hyperlink r:id="rId28" w:history="1">
        <w:r w:rsidR="005F7613" w:rsidRPr="002670F6">
          <w:rPr>
            <w:rStyle w:val="Hypertextovodkaz"/>
            <w:sz w:val="18"/>
            <w:szCs w:val="18"/>
          </w:rPr>
          <w:t>https://research-and-innovation.ec.europa.eu/statistics/performance-indicators/european-innovation-scoreboard_en</w:t>
        </w:r>
      </w:hyperlink>
      <w:r w:rsidR="005F7613" w:rsidRPr="002670F6">
        <w:rPr>
          <w:sz w:val="18"/>
          <w:szCs w:val="18"/>
        </w:rPr>
        <w:t xml:space="preserve"> </w:t>
      </w:r>
    </w:p>
  </w:endnote>
  <w:endnote w:id="30">
    <w:p w14:paraId="5AFE2AE9" w14:textId="08909E4E" w:rsidR="00FA4009" w:rsidRPr="002670F6" w:rsidRDefault="00FA4009">
      <w:pPr>
        <w:pStyle w:val="Textvysvtlivek"/>
        <w:rPr>
          <w:sz w:val="18"/>
          <w:szCs w:val="18"/>
        </w:rPr>
      </w:pPr>
      <w:r w:rsidRPr="002670F6">
        <w:rPr>
          <w:rStyle w:val="Odkaznavysvtlivky"/>
          <w:sz w:val="18"/>
          <w:szCs w:val="18"/>
        </w:rPr>
        <w:endnoteRef/>
      </w:r>
      <w:r w:rsidRPr="002670F6">
        <w:rPr>
          <w:sz w:val="18"/>
          <w:szCs w:val="18"/>
        </w:rPr>
        <w:t xml:space="preserve"> </w:t>
      </w:r>
      <w:hyperlink r:id="rId29" w:history="1">
        <w:r w:rsidR="005F7613" w:rsidRPr="002670F6">
          <w:rPr>
            <w:rStyle w:val="Hypertextovodkaz"/>
            <w:sz w:val="18"/>
            <w:szCs w:val="18"/>
          </w:rPr>
          <w:t>https://single-market-scoreboard.ec.europa.eu/countries/czechia_en</w:t>
        </w:r>
      </w:hyperlink>
      <w:r w:rsidR="005F7613" w:rsidRPr="002670F6">
        <w:rPr>
          <w:sz w:val="18"/>
          <w:szCs w:val="18"/>
        </w:rPr>
        <w:t xml:space="preserve"> </w:t>
      </w:r>
    </w:p>
  </w:endnote>
  <w:endnote w:id="31">
    <w:p w14:paraId="60A89F28" w14:textId="356C7B33" w:rsidR="00FA4009" w:rsidRPr="002670F6" w:rsidRDefault="00FA4009">
      <w:pPr>
        <w:pStyle w:val="Textvysvtlivek"/>
        <w:rPr>
          <w:sz w:val="18"/>
          <w:szCs w:val="18"/>
        </w:rPr>
      </w:pPr>
      <w:r w:rsidRPr="002670F6">
        <w:rPr>
          <w:rStyle w:val="Odkaznavysvtlivky"/>
          <w:sz w:val="18"/>
          <w:szCs w:val="18"/>
        </w:rPr>
        <w:endnoteRef/>
      </w:r>
      <w:r w:rsidRPr="002670F6">
        <w:rPr>
          <w:sz w:val="18"/>
          <w:szCs w:val="18"/>
        </w:rPr>
        <w:t xml:space="preserve"> </w:t>
      </w:r>
      <w:hyperlink r:id="rId30" w:history="1">
        <w:r w:rsidR="005F7613" w:rsidRPr="002670F6">
          <w:rPr>
            <w:rStyle w:val="Hypertextovodkaz"/>
            <w:sz w:val="18"/>
            <w:szCs w:val="18"/>
          </w:rPr>
          <w:t>https://www.worldbank.org/en/businessready</w:t>
        </w:r>
      </w:hyperlink>
      <w:r w:rsidR="005F7613" w:rsidRPr="002670F6">
        <w:rPr>
          <w:sz w:val="18"/>
          <w:szCs w:val="18"/>
        </w:rPr>
        <w:t xml:space="preserve"> </w:t>
      </w:r>
    </w:p>
  </w:endnote>
  <w:endnote w:id="32">
    <w:p w14:paraId="620C57E7" w14:textId="1773BF0E" w:rsidR="00336F48" w:rsidRPr="002670F6" w:rsidRDefault="00336F48">
      <w:pPr>
        <w:pStyle w:val="Textvysvtlivek"/>
        <w:rPr>
          <w:sz w:val="18"/>
          <w:szCs w:val="18"/>
        </w:rPr>
      </w:pPr>
      <w:r w:rsidRPr="002670F6">
        <w:rPr>
          <w:rStyle w:val="Odkaznavysvtlivky"/>
          <w:sz w:val="18"/>
          <w:szCs w:val="18"/>
        </w:rPr>
        <w:endnoteRef/>
      </w:r>
      <w:r w:rsidRPr="002670F6">
        <w:rPr>
          <w:sz w:val="18"/>
          <w:szCs w:val="18"/>
        </w:rPr>
        <w:t xml:space="preserve"> </w:t>
      </w:r>
      <w:hyperlink r:id="rId31" w:anchor="/11111111111" w:history="1">
        <w:r w:rsidR="005F7613" w:rsidRPr="002670F6">
          <w:rPr>
            <w:rStyle w:val="Hypertextovodkaz"/>
            <w:sz w:val="18"/>
            <w:szCs w:val="18"/>
          </w:rPr>
          <w:t>https://www.oecdbetterlifeindex.org/#/11111111111</w:t>
        </w:r>
      </w:hyperlink>
      <w:r w:rsidR="005F7613" w:rsidRPr="002670F6">
        <w:rPr>
          <w:sz w:val="18"/>
          <w:szCs w:val="18"/>
        </w:rPr>
        <w:t xml:space="preserve"> </w:t>
      </w:r>
    </w:p>
  </w:endnote>
  <w:endnote w:id="33">
    <w:p w14:paraId="6EE705BB" w14:textId="666C8AC7" w:rsidR="000510EE" w:rsidRPr="002670F6" w:rsidRDefault="000510EE">
      <w:pPr>
        <w:pStyle w:val="Textvysvtlivek"/>
        <w:rPr>
          <w:sz w:val="18"/>
          <w:szCs w:val="18"/>
        </w:rPr>
      </w:pPr>
      <w:r w:rsidRPr="002670F6">
        <w:rPr>
          <w:rStyle w:val="Odkaznavysvtlivky"/>
          <w:sz w:val="18"/>
          <w:szCs w:val="18"/>
        </w:rPr>
        <w:endnoteRef/>
      </w:r>
      <w:r w:rsidRPr="002670F6">
        <w:rPr>
          <w:sz w:val="18"/>
          <w:szCs w:val="18"/>
        </w:rPr>
        <w:t xml:space="preserve"> </w:t>
      </w:r>
      <w:hyperlink r:id="rId32" w:history="1">
        <w:r w:rsidR="005F7613" w:rsidRPr="002670F6">
          <w:rPr>
            <w:rStyle w:val="Hypertextovodkaz"/>
            <w:sz w:val="18"/>
            <w:szCs w:val="18"/>
          </w:rPr>
          <w:t>https://www.ipsos.com/en/search?search=Anholt+Ipsos+Nation+Brands+Index</w:t>
        </w:r>
      </w:hyperlink>
      <w:r w:rsidR="005F7613" w:rsidRPr="002670F6">
        <w:rPr>
          <w:sz w:val="18"/>
          <w:szCs w:val="18"/>
        </w:rPr>
        <w:t xml:space="preserve"> </w:t>
      </w:r>
    </w:p>
  </w:endnote>
  <w:endnote w:id="34">
    <w:p w14:paraId="4C4728CC" w14:textId="6DA53ABB" w:rsidR="00985A28" w:rsidRPr="002670F6" w:rsidRDefault="00985A28" w:rsidP="006E2ADA">
      <w:pPr>
        <w:pStyle w:val="Textvysvtlivek"/>
        <w:rPr>
          <w:sz w:val="18"/>
          <w:szCs w:val="18"/>
        </w:rPr>
      </w:pPr>
      <w:r w:rsidRPr="002670F6">
        <w:rPr>
          <w:rStyle w:val="Odkaznavysvtlivky"/>
          <w:sz w:val="18"/>
          <w:szCs w:val="18"/>
        </w:rPr>
        <w:endnoteRef/>
      </w:r>
      <w:r w:rsidRPr="002670F6">
        <w:rPr>
          <w:sz w:val="18"/>
          <w:szCs w:val="18"/>
        </w:rPr>
        <w:t xml:space="preserve"> Eurostat, 2022</w:t>
      </w:r>
      <w:r w:rsidR="006A78CC">
        <w:rPr>
          <w:sz w:val="18"/>
          <w:szCs w:val="18"/>
        </w:rPr>
        <w:t>.</w:t>
      </w:r>
    </w:p>
  </w:endnote>
  <w:endnote w:id="35">
    <w:p w14:paraId="60F4E88F" w14:textId="77777777" w:rsidR="00985A28" w:rsidRPr="002670F6" w:rsidRDefault="00985A28" w:rsidP="006E2ADA">
      <w:pPr>
        <w:pStyle w:val="Textvysvtlivek"/>
        <w:rPr>
          <w:sz w:val="18"/>
          <w:szCs w:val="18"/>
        </w:rPr>
      </w:pPr>
      <w:r w:rsidRPr="002670F6">
        <w:rPr>
          <w:rStyle w:val="Odkaznavysvtlivky"/>
          <w:sz w:val="18"/>
          <w:szCs w:val="18"/>
        </w:rPr>
        <w:endnoteRef/>
      </w:r>
      <w:r w:rsidRPr="002670F6">
        <w:rPr>
          <w:sz w:val="18"/>
          <w:szCs w:val="18"/>
        </w:rPr>
        <w:t xml:space="preserve"> Dle PISA je naše čtenářská gramotnost průměrná, ale v matematické a přírodovědné gramotnosti jsme nad průměrem zemí OECD. Avšak vývoj výsledků českých žáků má pomalý, vytrvale klesající trend.</w:t>
      </w:r>
    </w:p>
  </w:endnote>
  <w:endnote w:id="36">
    <w:p w14:paraId="2E8A969C" w14:textId="6F934BD3" w:rsidR="00985A28" w:rsidRPr="002670F6" w:rsidRDefault="00985A28" w:rsidP="006E2ADA">
      <w:pPr>
        <w:pStyle w:val="Textvysvtlivek"/>
        <w:rPr>
          <w:sz w:val="18"/>
          <w:szCs w:val="18"/>
        </w:rPr>
      </w:pPr>
      <w:r w:rsidRPr="002670F6">
        <w:rPr>
          <w:rStyle w:val="Odkaznavysvtlivky"/>
          <w:sz w:val="18"/>
          <w:szCs w:val="18"/>
        </w:rPr>
        <w:endnoteRef/>
      </w:r>
      <w:r w:rsidRPr="002670F6">
        <w:rPr>
          <w:sz w:val="18"/>
          <w:szCs w:val="18"/>
        </w:rPr>
        <w:t xml:space="preserve"> </w:t>
      </w:r>
      <w:hyperlink r:id="rId33" w:history="1">
        <w:r w:rsidR="006A78CC" w:rsidRPr="0096172C">
          <w:rPr>
            <w:rStyle w:val="Hypertextovodkaz"/>
            <w:sz w:val="18"/>
            <w:szCs w:val="18"/>
          </w:rPr>
          <w:t>https://www.edu.cz/strategie-msmt/s2030/</w:t>
        </w:r>
      </w:hyperlink>
      <w:r w:rsidR="006A78CC">
        <w:rPr>
          <w:sz w:val="18"/>
          <w:szCs w:val="18"/>
        </w:rPr>
        <w:t xml:space="preserve"> </w:t>
      </w:r>
    </w:p>
  </w:endnote>
  <w:endnote w:id="37">
    <w:p w14:paraId="15C09E4A" w14:textId="08E012E4" w:rsidR="00985A28" w:rsidRPr="002670F6" w:rsidRDefault="00985A28" w:rsidP="006E2ADA">
      <w:pPr>
        <w:pStyle w:val="Textvysvtlivek"/>
        <w:rPr>
          <w:sz w:val="18"/>
          <w:szCs w:val="18"/>
        </w:rPr>
      </w:pPr>
      <w:r w:rsidRPr="002670F6">
        <w:rPr>
          <w:rStyle w:val="Odkaznavysvtlivky"/>
          <w:sz w:val="18"/>
          <w:szCs w:val="18"/>
        </w:rPr>
        <w:endnoteRef/>
      </w:r>
      <w:r w:rsidRPr="002670F6">
        <w:rPr>
          <w:sz w:val="18"/>
          <w:szCs w:val="18"/>
        </w:rPr>
        <w:t xml:space="preserve"> </w:t>
      </w:r>
      <w:hyperlink r:id="rId34" w:history="1">
        <w:r w:rsidR="006A78CC" w:rsidRPr="0096172C">
          <w:rPr>
            <w:rStyle w:val="Hypertextovodkaz"/>
            <w:sz w:val="18"/>
            <w:szCs w:val="18"/>
          </w:rPr>
          <w:t>https://www.edu.cz/strategie-msmt/dlouhodobe-zamery-cr-a-kraju/dz-cr-2023-2027/</w:t>
        </w:r>
      </w:hyperlink>
      <w:r w:rsidR="006A78CC">
        <w:rPr>
          <w:sz w:val="18"/>
          <w:szCs w:val="18"/>
        </w:rPr>
        <w:t xml:space="preserve"> </w:t>
      </w:r>
    </w:p>
  </w:endnote>
  <w:endnote w:id="38">
    <w:p w14:paraId="19853887" w14:textId="57DCBF21" w:rsidR="00985A28" w:rsidRPr="002670F6" w:rsidRDefault="00985A28" w:rsidP="006E2ADA">
      <w:pPr>
        <w:pStyle w:val="Textvysvtlivek"/>
        <w:rPr>
          <w:sz w:val="18"/>
          <w:szCs w:val="18"/>
        </w:rPr>
      </w:pPr>
      <w:r w:rsidRPr="002670F6">
        <w:rPr>
          <w:rStyle w:val="Odkaznavysvtlivky"/>
          <w:sz w:val="18"/>
          <w:szCs w:val="18"/>
        </w:rPr>
        <w:endnoteRef/>
      </w:r>
      <w:r w:rsidRPr="002670F6">
        <w:rPr>
          <w:sz w:val="18"/>
          <w:szCs w:val="18"/>
        </w:rPr>
        <w:t xml:space="preserve"> </w:t>
      </w:r>
      <w:hyperlink r:id="rId35" w:history="1">
        <w:r w:rsidR="006A78CC" w:rsidRPr="0096172C">
          <w:rPr>
            <w:rStyle w:val="Hypertextovodkaz"/>
            <w:sz w:val="18"/>
            <w:szCs w:val="18"/>
          </w:rPr>
          <w:t>https://www.edu.cz/strategie-msmt/mladez-v-pohybu-a-ve-zdravi-2024-2028/</w:t>
        </w:r>
      </w:hyperlink>
      <w:r w:rsidR="006A78CC">
        <w:rPr>
          <w:sz w:val="18"/>
          <w:szCs w:val="18"/>
        </w:rPr>
        <w:t xml:space="preserve"> </w:t>
      </w:r>
    </w:p>
  </w:endnote>
  <w:endnote w:id="39">
    <w:p w14:paraId="26D65D00" w14:textId="77777777" w:rsidR="00985A28" w:rsidRPr="002670F6" w:rsidRDefault="00985A28" w:rsidP="006E2ADA">
      <w:pPr>
        <w:pStyle w:val="Textvysvtlivek"/>
        <w:rPr>
          <w:sz w:val="18"/>
          <w:szCs w:val="18"/>
        </w:rPr>
      </w:pPr>
      <w:r w:rsidRPr="002670F6">
        <w:rPr>
          <w:rStyle w:val="Odkaznavysvtlivky"/>
          <w:sz w:val="18"/>
          <w:szCs w:val="18"/>
        </w:rPr>
        <w:endnoteRef/>
      </w:r>
      <w:r w:rsidRPr="002670F6">
        <w:rPr>
          <w:sz w:val="18"/>
          <w:szCs w:val="18"/>
        </w:rPr>
        <w:t xml:space="preserve"> </w:t>
      </w:r>
      <w:hyperlink r:id="rId36" w:history="1">
        <w:r w:rsidRPr="002670F6">
          <w:rPr>
            <w:rStyle w:val="Hypertextovodkaz"/>
            <w:sz w:val="18"/>
            <w:szCs w:val="18"/>
          </w:rPr>
          <w:t xml:space="preserve">Strategické dokumenty | Databáze </w:t>
        </w:r>
        <w:r w:rsidRPr="002670F6">
          <w:rPr>
            <w:rStyle w:val="Hypertextovodkaz"/>
            <w:sz w:val="18"/>
            <w:szCs w:val="18"/>
          </w:rPr>
          <w:t>strategií - portál pro strategické řízení (databaze-strategie.cz)</w:t>
        </w:r>
      </w:hyperlink>
      <w:r w:rsidRPr="002670F6">
        <w:rPr>
          <w:sz w:val="18"/>
          <w:szCs w:val="18"/>
        </w:rPr>
        <w:t xml:space="preserve">; </w:t>
      </w:r>
      <w:hyperlink r:id="rId37" w:history="1">
        <w:r w:rsidRPr="002670F6">
          <w:rPr>
            <w:rStyle w:val="Hypertextovodkaz"/>
            <w:sz w:val="18"/>
            <w:szCs w:val="18"/>
          </w:rPr>
          <w:t>koncepce2025.pdf (nzip.cz)</w:t>
        </w:r>
      </w:hyperlink>
      <w:r w:rsidRPr="002670F6">
        <w:rPr>
          <w:sz w:val="18"/>
          <w:szCs w:val="18"/>
        </w:rPr>
        <w:t xml:space="preserve">; </w:t>
      </w:r>
      <w:hyperlink r:id="rId38" w:history="1">
        <w:r w:rsidRPr="002670F6">
          <w:rPr>
            <w:rStyle w:val="Hypertextovodkaz"/>
            <w:sz w:val="18"/>
            <w:szCs w:val="18"/>
          </w:rPr>
          <w:t>Prezentace aplikace PowerPoint (gov.cz)</w:t>
        </w:r>
      </w:hyperlink>
      <w:r w:rsidRPr="002670F6">
        <w:rPr>
          <w:sz w:val="18"/>
          <w:szCs w:val="18"/>
        </w:rPr>
        <w:t>.</w:t>
      </w:r>
    </w:p>
  </w:endnote>
  <w:endnote w:id="40">
    <w:p w14:paraId="0ED5CC9C" w14:textId="77777777" w:rsidR="007C7DCE" w:rsidRDefault="007C7DCE" w:rsidP="007C7DCE">
      <w:pPr>
        <w:pStyle w:val="Textvysvtlivek"/>
      </w:pPr>
      <w:r>
        <w:rPr>
          <w:rStyle w:val="Odkaznavysvtlivky"/>
        </w:rPr>
        <w:endnoteRef/>
      </w:r>
      <w:r>
        <w:t xml:space="preserve"> Průmysl definován dle klasifikace NACE. Údaje vycházejí z databáze národních účtů </w:t>
      </w:r>
      <w:r>
        <w:t xml:space="preserve">Eurostatu. </w:t>
      </w:r>
    </w:p>
  </w:endnote>
  <w:endnote w:id="41">
    <w:p w14:paraId="3295F602" w14:textId="77777777" w:rsidR="00985A28" w:rsidRPr="002670F6" w:rsidRDefault="00985A28" w:rsidP="00511D1D">
      <w:pPr>
        <w:pStyle w:val="Textvysvtlivek"/>
        <w:rPr>
          <w:sz w:val="18"/>
          <w:szCs w:val="18"/>
        </w:rPr>
      </w:pPr>
      <w:r w:rsidRPr="002670F6">
        <w:rPr>
          <w:rStyle w:val="Odkaznavysvtlivky"/>
          <w:sz w:val="18"/>
          <w:szCs w:val="18"/>
        </w:rPr>
        <w:endnoteRef/>
      </w:r>
      <w:r w:rsidRPr="002670F6">
        <w:rPr>
          <w:sz w:val="18"/>
          <w:szCs w:val="18"/>
        </w:rPr>
        <w:t xml:space="preserve"> V současnosti se pro určení způsobilosti využívá ukazatel HDP na obyvatele.</w:t>
      </w:r>
    </w:p>
  </w:endnote>
  <w:endnote w:id="42">
    <w:p w14:paraId="66511331" w14:textId="76CAF810" w:rsidR="00006544" w:rsidRPr="002670F6" w:rsidRDefault="00006544" w:rsidP="00F41CE7">
      <w:pPr>
        <w:pStyle w:val="Textvysvtlivek"/>
        <w:rPr>
          <w:sz w:val="18"/>
          <w:szCs w:val="18"/>
        </w:rPr>
      </w:pPr>
      <w:r w:rsidRPr="002670F6">
        <w:rPr>
          <w:rStyle w:val="Odkaznavysvtlivky"/>
          <w:sz w:val="18"/>
          <w:szCs w:val="18"/>
        </w:rPr>
        <w:endnoteRef/>
      </w:r>
      <w:r w:rsidRPr="002670F6">
        <w:rPr>
          <w:sz w:val="18"/>
          <w:szCs w:val="18"/>
        </w:rPr>
        <w:t xml:space="preserve"> Návrhy NERV</w:t>
      </w:r>
      <w:r w:rsidR="006A78CC">
        <w:rPr>
          <w:sz w:val="18"/>
          <w:szCs w:val="18"/>
        </w:rPr>
        <w:t>.</w:t>
      </w:r>
    </w:p>
  </w:endnote>
  <w:endnote w:id="43">
    <w:p w14:paraId="599EEF38" w14:textId="639B7FD0" w:rsidR="00006544" w:rsidRDefault="00006544" w:rsidP="00511D1D">
      <w:pPr>
        <w:pStyle w:val="Textvysvtlivek"/>
      </w:pPr>
      <w:r w:rsidRPr="002670F6">
        <w:rPr>
          <w:rStyle w:val="Odkaznavysvtlivky"/>
          <w:sz w:val="18"/>
          <w:szCs w:val="18"/>
        </w:rPr>
        <w:endnoteRef/>
      </w:r>
      <w:r w:rsidRPr="002670F6">
        <w:rPr>
          <w:sz w:val="18"/>
          <w:szCs w:val="18"/>
        </w:rPr>
        <w:t xml:space="preserve"> Návrhy NERV</w:t>
      </w:r>
      <w:r w:rsidR="006A78CC">
        <w:rPr>
          <w:sz w:val="18"/>
          <w:szCs w:val="18"/>
        </w:rPr>
        <w:t>.</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43277C" w14:textId="4BCED468" w:rsidR="001A3C5C" w:rsidRDefault="001A3C5C">
    <w:pPr>
      <w:pStyle w:val="Zpat"/>
      <w:jc w:val="center"/>
    </w:pPr>
  </w:p>
  <w:p w14:paraId="674EC09F" w14:textId="77777777" w:rsidR="001A3C5C" w:rsidRDefault="001A3C5C" w:rsidP="000F1193">
    <w:pPr>
      <w:pStyle w:val="Zpat"/>
      <w:tabs>
        <w:tab w:val="clear" w:pos="9072"/>
        <w:tab w:val="left" w:pos="5910"/>
      </w:tabs>
      <w:jc w:val="lef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color w:val="auto"/>
      </w:rPr>
      <w:id w:val="-1535878723"/>
      <w:docPartObj>
        <w:docPartGallery w:val="Page Numbers (Bottom of Page)"/>
        <w:docPartUnique/>
      </w:docPartObj>
    </w:sdtPr>
    <w:sdtEndPr/>
    <w:sdtContent>
      <w:p w14:paraId="0113B5E6" w14:textId="77777777" w:rsidR="00591896" w:rsidRPr="00E20F36" w:rsidRDefault="00591896">
        <w:pPr>
          <w:pStyle w:val="Zpat"/>
          <w:jc w:val="center"/>
          <w:rPr>
            <w:color w:val="auto"/>
          </w:rPr>
        </w:pPr>
        <w:r w:rsidRPr="00E20F36">
          <w:rPr>
            <w:color w:val="auto"/>
          </w:rPr>
          <w:fldChar w:fldCharType="begin"/>
        </w:r>
        <w:r w:rsidRPr="00E20F36">
          <w:rPr>
            <w:color w:val="auto"/>
          </w:rPr>
          <w:instrText xml:space="preserve"> PAGE   \* MERGEFORMAT </w:instrText>
        </w:r>
        <w:r w:rsidRPr="00E20F36">
          <w:rPr>
            <w:color w:val="auto"/>
          </w:rPr>
          <w:fldChar w:fldCharType="separate"/>
        </w:r>
        <w:r w:rsidRPr="00E20F36">
          <w:rPr>
            <w:noProof/>
            <w:color w:val="auto"/>
          </w:rPr>
          <w:t>3</w:t>
        </w:r>
        <w:r w:rsidRPr="00E20F36">
          <w:rPr>
            <w:color w:val="auto"/>
          </w:rPr>
          <w:fldChar w:fldCharType="end"/>
        </w:r>
      </w:p>
    </w:sdtContent>
  </w:sdt>
  <w:p w14:paraId="6C35F039" w14:textId="77777777" w:rsidR="00591896" w:rsidRDefault="00591896" w:rsidP="000F1193">
    <w:pPr>
      <w:pStyle w:val="Zpat"/>
      <w:tabs>
        <w:tab w:val="clear" w:pos="9072"/>
        <w:tab w:val="left" w:pos="5910"/>
      </w:tabs>
      <w:jc w:val="lef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27198755"/>
      <w:docPartObj>
        <w:docPartGallery w:val="Page Numbers (Bottom of Page)"/>
        <w:docPartUnique/>
      </w:docPartObj>
    </w:sdtPr>
    <w:sdtEndPr/>
    <w:sdtContent>
      <w:p w14:paraId="0C1D948B" w14:textId="77777777" w:rsidR="0023508B" w:rsidRDefault="0023508B" w:rsidP="00D14D99">
        <w:pPr>
          <w:pStyle w:val="Zpat"/>
          <w:jc w:val="center"/>
        </w:pPr>
        <w:r>
          <w:fldChar w:fldCharType="begin"/>
        </w:r>
        <w:r>
          <w:instrText>PAGE   \* MERGEFORMAT</w:instrText>
        </w:r>
        <w:r>
          <w:fldChar w:fldCharType="separate"/>
        </w:r>
        <w:r>
          <w:rPr>
            <w:noProof/>
          </w:rPr>
          <w:t>2</w:t>
        </w:r>
        <w:r>
          <w:fldChar w:fldCharType="end"/>
        </w: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13869523"/>
      <w:docPartObj>
        <w:docPartGallery w:val="Page Numbers (Bottom of Page)"/>
        <w:docPartUnique/>
      </w:docPartObj>
    </w:sdtPr>
    <w:sdtEndPr/>
    <w:sdtContent>
      <w:p w14:paraId="50637162" w14:textId="77777777" w:rsidR="002B6B23" w:rsidRDefault="002B6B23" w:rsidP="00D14D99">
        <w:pPr>
          <w:pStyle w:val="Zpat"/>
          <w:jc w:val="center"/>
        </w:pPr>
        <w:r>
          <w:fldChar w:fldCharType="begin"/>
        </w:r>
        <w:r>
          <w:instrText>PAGE   \* MERGEFORMAT</w:instrText>
        </w:r>
        <w:r>
          <w:fldChar w:fldCharType="separate"/>
        </w:r>
        <w:r>
          <w:rPr>
            <w:noProof/>
          </w:rPr>
          <w:t>2</w:t>
        </w:r>
        <w:r>
          <w:fldChar w:fldCharType="end"/>
        </w:r>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28334784"/>
      <w:docPartObj>
        <w:docPartGallery w:val="Page Numbers (Bottom of Page)"/>
        <w:docPartUnique/>
      </w:docPartObj>
    </w:sdtPr>
    <w:sdtEndPr/>
    <w:sdtContent>
      <w:p w14:paraId="43516400" w14:textId="734FBFB6" w:rsidR="00735F01" w:rsidRDefault="00735F01" w:rsidP="00D14D99">
        <w:pPr>
          <w:pStyle w:val="Zpat"/>
          <w:jc w:val="center"/>
        </w:pPr>
        <w:r>
          <w:fldChar w:fldCharType="begin"/>
        </w:r>
        <w:r>
          <w:instrText>PAGE   \* MERGEFORMAT</w:instrText>
        </w:r>
        <w:r>
          <w:fldChar w:fldCharType="separate"/>
        </w:r>
        <w:r w:rsidR="00E51116">
          <w:rPr>
            <w:noProof/>
          </w:rPr>
          <w:t>2</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98ABD74" w14:textId="77777777" w:rsidR="00170C41" w:rsidRDefault="00170C41" w:rsidP="00F610B8">
      <w:r>
        <w:separator/>
      </w:r>
    </w:p>
  </w:footnote>
  <w:footnote w:type="continuationSeparator" w:id="0">
    <w:p w14:paraId="1152F841" w14:textId="77777777" w:rsidR="00170C41" w:rsidRDefault="00170C41" w:rsidP="00F610B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EE112B" w14:textId="0AB77F68" w:rsidR="00381ECF" w:rsidRPr="00381ECF" w:rsidRDefault="00381ECF" w:rsidP="00EA7EE7">
    <w:pPr>
      <w:pStyle w:val="Zhlav"/>
      <w:tabs>
        <w:tab w:val="clear" w:pos="4536"/>
        <w:tab w:val="clear" w:pos="9072"/>
        <w:tab w:val="right" w:pos="10204"/>
      </w:tabs>
      <w:jc w:val="right"/>
    </w:pPr>
    <w:r>
      <w:rPr>
        <w:rFonts w:ascii="Calibri" w:eastAsia="Calibri" w:hAnsi="Calibri" w:cs="Times New Roman"/>
        <w:color w:val="004B8D"/>
        <w:sz w:val="20"/>
        <w:szCs w:val="19"/>
      </w:rPr>
      <w:t xml:space="preserve">Hospodářská strategie České republiky / </w:t>
    </w:r>
    <w:r w:rsidR="00D91928">
      <w:rPr>
        <w:rFonts w:ascii="Calibri" w:eastAsia="Calibri" w:hAnsi="Calibri" w:cs="Times New Roman"/>
        <w:color w:val="004B8D"/>
        <w:sz w:val="20"/>
        <w:szCs w:val="19"/>
      </w:rPr>
      <w:t>V</w:t>
    </w:r>
    <w:r>
      <w:rPr>
        <w:rFonts w:ascii="Calibri" w:eastAsia="Calibri" w:hAnsi="Calibri" w:cs="Times New Roman"/>
        <w:color w:val="004B8D"/>
        <w:sz w:val="20"/>
        <w:szCs w:val="19"/>
      </w:rPr>
      <w:t>erze</w:t>
    </w:r>
    <w:r w:rsidR="0025686D">
      <w:rPr>
        <w:rFonts w:ascii="Calibri" w:eastAsia="Calibri" w:hAnsi="Calibri" w:cs="Times New Roman"/>
        <w:color w:val="004B8D"/>
        <w:sz w:val="20"/>
        <w:szCs w:val="19"/>
      </w:rPr>
      <w:t xml:space="preserve"> </w:t>
    </w:r>
    <w:r w:rsidR="00D91928">
      <w:rPr>
        <w:rFonts w:ascii="Calibri" w:eastAsia="Calibri" w:hAnsi="Calibri" w:cs="Times New Roman"/>
        <w:color w:val="004B8D"/>
        <w:sz w:val="20"/>
        <w:szCs w:val="19"/>
      </w:rPr>
      <w:t xml:space="preserve">pro </w:t>
    </w:r>
    <w:r w:rsidR="00EA7EE7">
      <w:rPr>
        <w:rFonts w:ascii="Calibri" w:eastAsia="Calibri" w:hAnsi="Calibri" w:cs="Times New Roman"/>
        <w:color w:val="004B8D"/>
        <w:sz w:val="20"/>
        <w:szCs w:val="19"/>
      </w:rPr>
      <w:t>meziresortní</w:t>
    </w:r>
    <w:r w:rsidR="00D91928">
      <w:rPr>
        <w:rFonts w:ascii="Calibri" w:eastAsia="Calibri" w:hAnsi="Calibri" w:cs="Times New Roman"/>
        <w:color w:val="004B8D"/>
        <w:sz w:val="20"/>
        <w:szCs w:val="19"/>
      </w:rPr>
      <w:t xml:space="preserve"> připomínkové řízení</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7A260B" w14:textId="77777777" w:rsidR="0023508B" w:rsidRPr="00D67550" w:rsidRDefault="0023508B" w:rsidP="00D67550">
    <w:pPr>
      <w:pStyle w:val="Zhlav"/>
      <w:tabs>
        <w:tab w:val="clear" w:pos="9072"/>
        <w:tab w:val="right" w:pos="10204"/>
      </w:tabs>
      <w:rPr>
        <w:rFonts w:ascii="Calibri" w:eastAsia="Calibri" w:hAnsi="Calibri" w:cs="Times New Roman"/>
        <w:color w:val="004B8D"/>
        <w:sz w:val="20"/>
        <w:szCs w:val="19"/>
      </w:rPr>
    </w:pPr>
    <w:r>
      <w:tab/>
    </w:r>
    <w:r>
      <w:tab/>
    </w:r>
    <w:r>
      <w:rPr>
        <w:rFonts w:ascii="Calibri" w:eastAsia="Calibri" w:hAnsi="Calibri" w:cs="Times New Roman"/>
        <w:color w:val="004B8D"/>
        <w:sz w:val="20"/>
        <w:szCs w:val="19"/>
      </w:rPr>
      <w:t>Hospodářská strategie ČR │ verze 1</w:t>
    </w:r>
  </w:p>
  <w:p w14:paraId="2A125089" w14:textId="77777777" w:rsidR="0023508B" w:rsidRDefault="0023508B">
    <w:pPr>
      <w:pStyle w:val="Zhlav"/>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C3A044" w14:textId="68D0A8E8" w:rsidR="002B6B23" w:rsidRPr="00E473A8" w:rsidRDefault="002B6B23" w:rsidP="00D91928">
    <w:pPr>
      <w:pStyle w:val="Zhlav"/>
      <w:tabs>
        <w:tab w:val="clear" w:pos="4536"/>
        <w:tab w:val="clear" w:pos="9072"/>
        <w:tab w:val="right" w:pos="10204"/>
      </w:tabs>
      <w:ind w:firstLine="1416"/>
      <w:rPr>
        <w:rFonts w:ascii="Calibri" w:eastAsia="Calibri" w:hAnsi="Calibri" w:cs="Times New Roman"/>
        <w:color w:val="auto"/>
        <w:sz w:val="20"/>
        <w:szCs w:val="19"/>
      </w:rPr>
    </w:pPr>
    <w:r>
      <w:tab/>
    </w:r>
    <w:r>
      <w:rPr>
        <w:rFonts w:ascii="Calibri" w:eastAsia="Calibri" w:hAnsi="Calibri" w:cs="Times New Roman"/>
        <w:color w:val="004B8D"/>
        <w:sz w:val="20"/>
        <w:szCs w:val="19"/>
      </w:rPr>
      <w:t xml:space="preserve">Hospodářská strategie České republiky / </w:t>
    </w:r>
    <w:r w:rsidR="00D91928">
      <w:rPr>
        <w:rFonts w:ascii="Calibri" w:eastAsia="Calibri" w:hAnsi="Calibri" w:cs="Times New Roman"/>
        <w:color w:val="004B8D"/>
        <w:sz w:val="20"/>
        <w:szCs w:val="19"/>
      </w:rPr>
      <w:t xml:space="preserve">Verze pro </w:t>
    </w:r>
    <w:r w:rsidR="00EA7EE7">
      <w:rPr>
        <w:rFonts w:ascii="Calibri" w:eastAsia="Calibri" w:hAnsi="Calibri" w:cs="Times New Roman"/>
        <w:color w:val="004B8D"/>
        <w:sz w:val="20"/>
        <w:szCs w:val="19"/>
      </w:rPr>
      <w:t xml:space="preserve">meziresortní </w:t>
    </w:r>
    <w:r w:rsidR="00D91928">
      <w:rPr>
        <w:rFonts w:ascii="Calibri" w:eastAsia="Calibri" w:hAnsi="Calibri" w:cs="Times New Roman"/>
        <w:color w:val="004B8D"/>
        <w:sz w:val="20"/>
        <w:szCs w:val="19"/>
      </w:rPr>
      <w:t>připomínkové řízení</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392238" w14:textId="3EDE4BB7" w:rsidR="002B6B23" w:rsidRPr="007C69DF" w:rsidRDefault="002B6B23" w:rsidP="007C69DF">
    <w:pPr>
      <w:pStyle w:val="Zhlav"/>
      <w:tabs>
        <w:tab w:val="clear" w:pos="4536"/>
        <w:tab w:val="clear" w:pos="9072"/>
        <w:tab w:val="center" w:pos="1418"/>
        <w:tab w:val="right" w:pos="10204"/>
      </w:tabs>
      <w:rPr>
        <w:rFonts w:ascii="Calibri" w:eastAsia="Calibri" w:hAnsi="Calibri" w:cs="Times New Roman"/>
        <w:color w:val="004B8D" w:themeColor="text2"/>
        <w:sz w:val="18"/>
        <w:szCs w:val="18"/>
      </w:rPr>
    </w:pPr>
    <w:r>
      <w:rPr>
        <w:b/>
        <w:bCs/>
      </w:rPr>
      <w:tab/>
    </w:r>
    <w:r w:rsidRPr="007C69DF">
      <w:rPr>
        <w:color w:val="004B8D" w:themeColor="text2"/>
        <w:sz w:val="18"/>
        <w:szCs w:val="18"/>
      </w:rPr>
      <w:tab/>
    </w:r>
    <w:r>
      <w:rPr>
        <w:rFonts w:ascii="Calibri" w:eastAsia="Calibri" w:hAnsi="Calibri" w:cs="Times New Roman"/>
        <w:color w:val="004B8D"/>
        <w:sz w:val="20"/>
        <w:szCs w:val="19"/>
      </w:rPr>
      <w:t xml:space="preserve">Hospodářská strategie České republiky / </w:t>
    </w:r>
    <w:r w:rsidR="00D91928">
      <w:rPr>
        <w:rFonts w:ascii="Calibri" w:eastAsia="Calibri" w:hAnsi="Calibri" w:cs="Times New Roman"/>
        <w:color w:val="004B8D"/>
        <w:sz w:val="20"/>
        <w:szCs w:val="19"/>
      </w:rPr>
      <w:t xml:space="preserve">Verze pro </w:t>
    </w:r>
    <w:r w:rsidR="00EA7EE7">
      <w:rPr>
        <w:rFonts w:ascii="Calibri" w:eastAsia="Calibri" w:hAnsi="Calibri" w:cs="Times New Roman"/>
        <w:color w:val="004B8D"/>
        <w:sz w:val="20"/>
        <w:szCs w:val="19"/>
      </w:rPr>
      <w:t xml:space="preserve">meziresortní </w:t>
    </w:r>
    <w:r w:rsidR="00D91928">
      <w:rPr>
        <w:rFonts w:ascii="Calibri" w:eastAsia="Calibri" w:hAnsi="Calibri" w:cs="Times New Roman"/>
        <w:color w:val="004B8D"/>
        <w:sz w:val="20"/>
        <w:szCs w:val="19"/>
      </w:rPr>
      <w:t>připomínkové řízení</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3A11A5" w14:textId="77777777" w:rsidR="002B6B23" w:rsidRDefault="002B6B23" w:rsidP="007C69DF">
    <w:pPr>
      <w:pStyle w:val="Zhlav"/>
      <w:tabs>
        <w:tab w:val="clear" w:pos="4536"/>
        <w:tab w:val="clear" w:pos="9072"/>
        <w:tab w:val="center" w:pos="1418"/>
        <w:tab w:val="right" w:pos="10204"/>
      </w:tabs>
    </w:pPr>
    <w:r>
      <w:tab/>
    </w:r>
    <w:r>
      <w:tab/>
    </w:r>
    <w:r>
      <w:rPr>
        <w:rFonts w:ascii="Calibri" w:eastAsia="Calibri" w:hAnsi="Calibri" w:cs="Times New Roman"/>
        <w:color w:val="004B8D"/>
        <w:sz w:val="20"/>
        <w:szCs w:val="19"/>
      </w:rPr>
      <w:t>Hospodářská strategie České republiky / Draft verze</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6DA245" w14:textId="77777777" w:rsidR="002B6B23" w:rsidRPr="00D67550" w:rsidRDefault="002B6B23" w:rsidP="00D67550">
    <w:pPr>
      <w:pStyle w:val="Zhlav"/>
      <w:tabs>
        <w:tab w:val="clear" w:pos="9072"/>
        <w:tab w:val="right" w:pos="10204"/>
      </w:tabs>
      <w:rPr>
        <w:rFonts w:ascii="Calibri" w:eastAsia="Calibri" w:hAnsi="Calibri" w:cs="Times New Roman"/>
        <w:color w:val="004B8D"/>
        <w:sz w:val="20"/>
        <w:szCs w:val="19"/>
      </w:rPr>
    </w:pPr>
    <w:r>
      <w:tab/>
    </w:r>
    <w:r>
      <w:tab/>
    </w:r>
    <w:r>
      <w:rPr>
        <w:rFonts w:ascii="Calibri" w:eastAsia="Calibri" w:hAnsi="Calibri" w:cs="Times New Roman"/>
        <w:color w:val="004B8D"/>
        <w:sz w:val="20"/>
        <w:szCs w:val="19"/>
      </w:rPr>
      <w:t>Hospodářská strategie ČR │ verze 1</w:t>
    </w:r>
  </w:p>
  <w:p w14:paraId="5CF7188A" w14:textId="77777777" w:rsidR="002B6B23" w:rsidRDefault="002B6B23">
    <w:pPr>
      <w:pStyle w:val="Zhlav"/>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699EE4" w14:textId="212D311F" w:rsidR="00B94A20" w:rsidRPr="00D67550" w:rsidRDefault="00B94A20" w:rsidP="00D67550">
    <w:pPr>
      <w:pStyle w:val="Zhlav"/>
      <w:tabs>
        <w:tab w:val="clear" w:pos="9072"/>
        <w:tab w:val="right" w:pos="10204"/>
      </w:tabs>
      <w:rPr>
        <w:rFonts w:ascii="Calibri" w:eastAsia="Calibri" w:hAnsi="Calibri" w:cs="Times New Roman"/>
        <w:color w:val="004B8D"/>
        <w:sz w:val="20"/>
        <w:szCs w:val="19"/>
      </w:rPr>
    </w:pPr>
    <w:r>
      <w:tab/>
    </w:r>
    <w:r>
      <w:tab/>
    </w:r>
    <w:r>
      <w:rPr>
        <w:rFonts w:ascii="Calibri" w:eastAsia="Calibri" w:hAnsi="Calibri" w:cs="Times New Roman"/>
        <w:color w:val="004B8D"/>
        <w:sz w:val="20"/>
        <w:szCs w:val="19"/>
      </w:rPr>
      <w:t>Hospodářská strategie ČR │ Draft analytické části</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9D93F2" w14:textId="0A183949" w:rsidR="00E473A8" w:rsidRPr="00E473A8" w:rsidRDefault="00B94A20" w:rsidP="00EA7EE7">
    <w:pPr>
      <w:pStyle w:val="Zhlav"/>
      <w:tabs>
        <w:tab w:val="clear" w:pos="4536"/>
        <w:tab w:val="clear" w:pos="9072"/>
        <w:tab w:val="center" w:pos="3544"/>
        <w:tab w:val="right" w:pos="10204"/>
      </w:tabs>
      <w:ind w:firstLine="1416"/>
      <w:jc w:val="right"/>
      <w:rPr>
        <w:rFonts w:ascii="Calibri" w:eastAsia="Calibri" w:hAnsi="Calibri" w:cs="Times New Roman"/>
        <w:color w:val="auto"/>
        <w:sz w:val="20"/>
        <w:szCs w:val="19"/>
      </w:rPr>
    </w:pPr>
    <w:r>
      <w:tab/>
    </w:r>
    <w:r w:rsidR="008A1D3E">
      <w:rPr>
        <w:rFonts w:ascii="Calibri" w:eastAsia="Calibri" w:hAnsi="Calibri" w:cs="Times New Roman"/>
        <w:color w:val="004B8D"/>
        <w:sz w:val="20"/>
        <w:szCs w:val="19"/>
      </w:rPr>
      <w:t xml:space="preserve">Hospodářská strategie České republiky / </w:t>
    </w:r>
    <w:r w:rsidR="00D91928">
      <w:rPr>
        <w:rFonts w:ascii="Calibri" w:eastAsia="Calibri" w:hAnsi="Calibri" w:cs="Times New Roman"/>
        <w:color w:val="004B8D"/>
        <w:sz w:val="20"/>
        <w:szCs w:val="19"/>
      </w:rPr>
      <w:t xml:space="preserve">Verze pro </w:t>
    </w:r>
    <w:r w:rsidR="00EA7EE7">
      <w:rPr>
        <w:rFonts w:ascii="Calibri" w:eastAsia="Calibri" w:hAnsi="Calibri" w:cs="Times New Roman"/>
        <w:color w:val="004B8D"/>
        <w:sz w:val="20"/>
        <w:szCs w:val="19"/>
      </w:rPr>
      <w:t xml:space="preserve">meziresortní </w:t>
    </w:r>
    <w:r w:rsidR="00D91928">
      <w:rPr>
        <w:rFonts w:ascii="Calibri" w:eastAsia="Calibri" w:hAnsi="Calibri" w:cs="Times New Roman"/>
        <w:color w:val="004B8D"/>
        <w:sz w:val="20"/>
        <w:szCs w:val="19"/>
      </w:rPr>
      <w:t>připomínkové</w:t>
    </w:r>
    <w:r w:rsidR="00EA7EE7">
      <w:rPr>
        <w:rFonts w:ascii="Calibri" w:eastAsia="Calibri" w:hAnsi="Calibri" w:cs="Times New Roman"/>
        <w:color w:val="004B8D"/>
        <w:sz w:val="20"/>
        <w:szCs w:val="19"/>
      </w:rPr>
      <w:t> </w:t>
    </w:r>
    <w:r w:rsidR="00D91928">
      <w:rPr>
        <w:rFonts w:ascii="Calibri" w:eastAsia="Calibri" w:hAnsi="Calibri" w:cs="Times New Roman"/>
        <w:color w:val="004B8D"/>
        <w:sz w:val="20"/>
        <w:szCs w:val="19"/>
      </w:rPr>
      <w:t>řízení</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731CB0" w14:textId="3BE161EE" w:rsidR="00735F01" w:rsidRDefault="00735F01" w:rsidP="007C69DF">
    <w:pPr>
      <w:pStyle w:val="Zhlav"/>
      <w:tabs>
        <w:tab w:val="clear" w:pos="4536"/>
        <w:tab w:val="clear" w:pos="9072"/>
        <w:tab w:val="center" w:pos="1418"/>
        <w:tab w:val="right" w:pos="10204"/>
      </w:tabs>
    </w:pPr>
    <w:r>
      <w:tab/>
    </w:r>
    <w:r>
      <w:tab/>
    </w:r>
    <w:r w:rsidR="007C69DF">
      <w:rPr>
        <w:rFonts w:ascii="Calibri" w:eastAsia="Calibri" w:hAnsi="Calibri" w:cs="Times New Roman"/>
        <w:color w:val="004B8D"/>
        <w:sz w:val="20"/>
        <w:szCs w:val="19"/>
      </w:rPr>
      <w:t xml:space="preserve">Hospodářská strategie České republiky / </w:t>
    </w:r>
    <w:r w:rsidR="00D91928">
      <w:rPr>
        <w:rFonts w:ascii="Calibri" w:eastAsia="Calibri" w:hAnsi="Calibri" w:cs="Times New Roman"/>
        <w:color w:val="004B8D"/>
        <w:sz w:val="20"/>
        <w:szCs w:val="19"/>
      </w:rPr>
      <w:t xml:space="preserve">Verze pro </w:t>
    </w:r>
    <w:r w:rsidR="00EA7EE7">
      <w:rPr>
        <w:rFonts w:ascii="Calibri" w:eastAsia="Calibri" w:hAnsi="Calibri" w:cs="Times New Roman"/>
        <w:color w:val="004B8D"/>
        <w:sz w:val="20"/>
        <w:szCs w:val="19"/>
      </w:rPr>
      <w:t xml:space="preserve">meziresortní </w:t>
    </w:r>
    <w:r w:rsidR="00D91928">
      <w:rPr>
        <w:rFonts w:ascii="Calibri" w:eastAsia="Calibri" w:hAnsi="Calibri" w:cs="Times New Roman"/>
        <w:color w:val="004B8D"/>
        <w:sz w:val="20"/>
        <w:szCs w:val="19"/>
      </w:rPr>
      <w:t>připomínkové řízení</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922B7D" w14:textId="23EE14B2" w:rsidR="00735F01" w:rsidRPr="00D67550" w:rsidRDefault="00735F01" w:rsidP="00D67550">
    <w:pPr>
      <w:pStyle w:val="Zhlav"/>
      <w:tabs>
        <w:tab w:val="clear" w:pos="9072"/>
        <w:tab w:val="right" w:pos="10204"/>
      </w:tabs>
      <w:rPr>
        <w:rFonts w:ascii="Calibri" w:eastAsia="Calibri" w:hAnsi="Calibri" w:cs="Times New Roman"/>
        <w:color w:val="004B8D"/>
        <w:sz w:val="20"/>
        <w:szCs w:val="19"/>
      </w:rPr>
    </w:pPr>
    <w:r>
      <w:tab/>
    </w:r>
    <w:r>
      <w:tab/>
    </w:r>
    <w:r>
      <w:rPr>
        <w:rFonts w:ascii="Calibri" w:eastAsia="Calibri" w:hAnsi="Calibri" w:cs="Times New Roman"/>
        <w:color w:val="004B8D"/>
        <w:sz w:val="20"/>
        <w:szCs w:val="19"/>
      </w:rPr>
      <w:t>Hospodářská strategie ČR │ verze 1</w:t>
    </w:r>
  </w:p>
  <w:p w14:paraId="72AD59E3" w14:textId="77777777" w:rsidR="00735F01" w:rsidRDefault="00735F01">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0"/>
    <w:multiLevelType w:val="singleLevel"/>
    <w:tmpl w:val="8068BAF2"/>
    <w:lvl w:ilvl="0">
      <w:start w:val="1"/>
      <w:numFmt w:val="bullet"/>
      <w:lvlText w:val=""/>
      <w:lvlJc w:val="left"/>
      <w:pPr>
        <w:tabs>
          <w:tab w:val="num" w:pos="1492"/>
        </w:tabs>
        <w:ind w:left="1492" w:hanging="360"/>
      </w:pPr>
      <w:rPr>
        <w:rFonts w:ascii="Symbol" w:hAnsi="Symbol" w:hint="default"/>
      </w:rPr>
    </w:lvl>
  </w:abstractNum>
  <w:abstractNum w:abstractNumId="1" w15:restartNumberingAfterBreak="0">
    <w:nsid w:val="008C23B5"/>
    <w:multiLevelType w:val="multilevel"/>
    <w:tmpl w:val="E8A48D7C"/>
    <w:numStyleLink w:val="VariantaA-sla"/>
  </w:abstractNum>
  <w:abstractNum w:abstractNumId="2" w15:restartNumberingAfterBreak="0">
    <w:nsid w:val="01262D2F"/>
    <w:multiLevelType w:val="hybridMultilevel"/>
    <w:tmpl w:val="E8FA854C"/>
    <w:lvl w:ilvl="0" w:tplc="178E2BF8">
      <w:start w:val="1"/>
      <w:numFmt w:val="bullet"/>
      <w:pStyle w:val="HSpodbod2"/>
      <w:lvlText w:val=""/>
      <w:lvlJc w:val="left"/>
      <w:pPr>
        <w:ind w:left="36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03D825BB"/>
    <w:multiLevelType w:val="multilevel"/>
    <w:tmpl w:val="805833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040D1B93"/>
    <w:multiLevelType w:val="multilevel"/>
    <w:tmpl w:val="E8A48D7C"/>
    <w:styleLink w:val="VariantaA-sla"/>
    <w:lvl w:ilvl="0">
      <w:start w:val="1"/>
      <w:numFmt w:val="decimal"/>
      <w:pStyle w:val="slovanseznam"/>
      <w:lvlText w:val="%1."/>
      <w:lvlJc w:val="left"/>
      <w:pPr>
        <w:ind w:left="357" w:hanging="357"/>
      </w:pPr>
      <w:rPr>
        <w:rFonts w:hint="default"/>
      </w:rPr>
    </w:lvl>
    <w:lvl w:ilvl="1">
      <w:start w:val="1"/>
      <w:numFmt w:val="decimal"/>
      <w:pStyle w:val="slovanseznam2"/>
      <w:lvlText w:val="%1.%2."/>
      <w:lvlJc w:val="left"/>
      <w:pPr>
        <w:ind w:left="851" w:hanging="494"/>
      </w:pPr>
      <w:rPr>
        <w:rFonts w:hint="default"/>
      </w:rPr>
    </w:lvl>
    <w:lvl w:ilvl="2">
      <w:start w:val="1"/>
      <w:numFmt w:val="decimal"/>
      <w:pStyle w:val="slovanseznam3"/>
      <w:lvlText w:val="%1.%2.%3."/>
      <w:lvlJc w:val="left"/>
      <w:pPr>
        <w:ind w:left="1474" w:hanging="623"/>
      </w:pPr>
      <w:rPr>
        <w:rFonts w:hint="default"/>
      </w:rPr>
    </w:lvl>
    <w:lvl w:ilvl="3">
      <w:start w:val="1"/>
      <w:numFmt w:val="decimal"/>
      <w:pStyle w:val="slovanseznam4"/>
      <w:lvlText w:val="%1.%2.%3.%4."/>
      <w:lvlJc w:val="left"/>
      <w:pPr>
        <w:tabs>
          <w:tab w:val="num" w:pos="1474"/>
        </w:tabs>
        <w:ind w:left="2268" w:hanging="794"/>
      </w:pPr>
      <w:rPr>
        <w:rFonts w:hint="default"/>
      </w:rPr>
    </w:lvl>
    <w:lvl w:ilvl="4">
      <w:start w:val="1"/>
      <w:numFmt w:val="decimal"/>
      <w:pStyle w:val="slovanseznam5"/>
      <w:lvlText w:val="%1.%2.%3.%4.%5."/>
      <w:lvlJc w:val="left"/>
      <w:pPr>
        <w:ind w:left="3232" w:hanging="964"/>
      </w:pPr>
      <w:rPr>
        <w:rFonts w:hint="default"/>
      </w:rPr>
    </w:lvl>
    <w:lvl w:ilvl="5">
      <w:start w:val="1"/>
      <w:numFmt w:val="decimal"/>
      <w:lvlText w:val="%1.%2.%3.%4.%5.%6."/>
      <w:lvlJc w:val="left"/>
      <w:pPr>
        <w:ind w:left="4366" w:hanging="1134"/>
      </w:pPr>
      <w:rPr>
        <w:rFonts w:hint="default"/>
      </w:rPr>
    </w:lvl>
    <w:lvl w:ilvl="6">
      <w:start w:val="1"/>
      <w:numFmt w:val="decimal"/>
      <w:lvlText w:val="%1.%2.%3.%4.%5.%6.%7."/>
      <w:lvlJc w:val="left"/>
      <w:pPr>
        <w:tabs>
          <w:tab w:val="num" w:pos="3232"/>
        </w:tabs>
        <w:ind w:left="4536" w:hanging="1304"/>
      </w:pPr>
      <w:rPr>
        <w:rFonts w:hint="default"/>
      </w:rPr>
    </w:lvl>
    <w:lvl w:ilvl="7">
      <w:start w:val="1"/>
      <w:numFmt w:val="decimal"/>
      <w:lvlText w:val="%1.%2.%3.%4.%5.%6.%7.%8."/>
      <w:lvlJc w:val="left"/>
      <w:pPr>
        <w:tabs>
          <w:tab w:val="num" w:pos="3232"/>
        </w:tabs>
        <w:ind w:left="4706" w:hanging="1474"/>
      </w:pPr>
      <w:rPr>
        <w:rFonts w:hint="default"/>
      </w:rPr>
    </w:lvl>
    <w:lvl w:ilvl="8">
      <w:start w:val="1"/>
      <w:numFmt w:val="decimal"/>
      <w:lvlText w:val="%1.%2.%3.%4.%5.%6.%7.%8.%9."/>
      <w:lvlJc w:val="left"/>
      <w:pPr>
        <w:ind w:left="4876" w:hanging="1644"/>
      </w:pPr>
      <w:rPr>
        <w:rFonts w:hint="default"/>
      </w:rPr>
    </w:lvl>
  </w:abstractNum>
  <w:abstractNum w:abstractNumId="5" w15:restartNumberingAfterBreak="0">
    <w:nsid w:val="09873A8E"/>
    <w:multiLevelType w:val="hybridMultilevel"/>
    <w:tmpl w:val="3D2E651C"/>
    <w:lvl w:ilvl="0" w:tplc="8D7C6A36">
      <w:start w:val="1"/>
      <w:numFmt w:val="decimal"/>
      <w:pStyle w:val="HSNadpisIII1"/>
      <w:lvlText w:val="1.%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15:restartNumberingAfterBreak="0">
    <w:nsid w:val="0D331AAD"/>
    <w:multiLevelType w:val="hybridMultilevel"/>
    <w:tmpl w:val="2A08D58E"/>
    <w:lvl w:ilvl="0" w:tplc="60283FBA">
      <w:start w:val="1"/>
      <w:numFmt w:val="bullet"/>
      <w:pStyle w:val="HSpodbod2odsazen"/>
      <w:lvlText w:val="o"/>
      <w:lvlJc w:val="left"/>
      <w:pPr>
        <w:ind w:left="1800" w:hanging="360"/>
      </w:pPr>
      <w:rPr>
        <w:rFonts w:ascii="Courier New" w:hAnsi="Courier New" w:cs="Courier New" w:hint="default"/>
      </w:rPr>
    </w:lvl>
    <w:lvl w:ilvl="1" w:tplc="04050003" w:tentative="1">
      <w:start w:val="1"/>
      <w:numFmt w:val="bullet"/>
      <w:lvlText w:val="o"/>
      <w:lvlJc w:val="left"/>
      <w:pPr>
        <w:ind w:left="2520" w:hanging="360"/>
      </w:pPr>
      <w:rPr>
        <w:rFonts w:ascii="Courier New" w:hAnsi="Courier New" w:cs="Courier New" w:hint="default"/>
      </w:rPr>
    </w:lvl>
    <w:lvl w:ilvl="2" w:tplc="04050005" w:tentative="1">
      <w:start w:val="1"/>
      <w:numFmt w:val="bullet"/>
      <w:lvlText w:val=""/>
      <w:lvlJc w:val="left"/>
      <w:pPr>
        <w:ind w:left="3240" w:hanging="360"/>
      </w:pPr>
      <w:rPr>
        <w:rFonts w:ascii="Wingdings" w:hAnsi="Wingdings" w:hint="default"/>
      </w:rPr>
    </w:lvl>
    <w:lvl w:ilvl="3" w:tplc="04050001" w:tentative="1">
      <w:start w:val="1"/>
      <w:numFmt w:val="bullet"/>
      <w:lvlText w:val=""/>
      <w:lvlJc w:val="left"/>
      <w:pPr>
        <w:ind w:left="3960" w:hanging="360"/>
      </w:pPr>
      <w:rPr>
        <w:rFonts w:ascii="Symbol" w:hAnsi="Symbol" w:hint="default"/>
      </w:rPr>
    </w:lvl>
    <w:lvl w:ilvl="4" w:tplc="04050003" w:tentative="1">
      <w:start w:val="1"/>
      <w:numFmt w:val="bullet"/>
      <w:lvlText w:val="o"/>
      <w:lvlJc w:val="left"/>
      <w:pPr>
        <w:ind w:left="4680" w:hanging="360"/>
      </w:pPr>
      <w:rPr>
        <w:rFonts w:ascii="Courier New" w:hAnsi="Courier New" w:cs="Courier New" w:hint="default"/>
      </w:rPr>
    </w:lvl>
    <w:lvl w:ilvl="5" w:tplc="04050005" w:tentative="1">
      <w:start w:val="1"/>
      <w:numFmt w:val="bullet"/>
      <w:lvlText w:val=""/>
      <w:lvlJc w:val="left"/>
      <w:pPr>
        <w:ind w:left="5400" w:hanging="360"/>
      </w:pPr>
      <w:rPr>
        <w:rFonts w:ascii="Wingdings" w:hAnsi="Wingdings" w:hint="default"/>
      </w:rPr>
    </w:lvl>
    <w:lvl w:ilvl="6" w:tplc="04050001" w:tentative="1">
      <w:start w:val="1"/>
      <w:numFmt w:val="bullet"/>
      <w:lvlText w:val=""/>
      <w:lvlJc w:val="left"/>
      <w:pPr>
        <w:ind w:left="6120" w:hanging="360"/>
      </w:pPr>
      <w:rPr>
        <w:rFonts w:ascii="Symbol" w:hAnsi="Symbol" w:hint="default"/>
      </w:rPr>
    </w:lvl>
    <w:lvl w:ilvl="7" w:tplc="04050003" w:tentative="1">
      <w:start w:val="1"/>
      <w:numFmt w:val="bullet"/>
      <w:lvlText w:val="o"/>
      <w:lvlJc w:val="left"/>
      <w:pPr>
        <w:ind w:left="6840" w:hanging="360"/>
      </w:pPr>
      <w:rPr>
        <w:rFonts w:ascii="Courier New" w:hAnsi="Courier New" w:cs="Courier New" w:hint="default"/>
      </w:rPr>
    </w:lvl>
    <w:lvl w:ilvl="8" w:tplc="04050005" w:tentative="1">
      <w:start w:val="1"/>
      <w:numFmt w:val="bullet"/>
      <w:lvlText w:val=""/>
      <w:lvlJc w:val="left"/>
      <w:pPr>
        <w:ind w:left="7560" w:hanging="360"/>
      </w:pPr>
      <w:rPr>
        <w:rFonts w:ascii="Wingdings" w:hAnsi="Wingdings" w:hint="default"/>
      </w:rPr>
    </w:lvl>
  </w:abstractNum>
  <w:abstractNum w:abstractNumId="7" w15:restartNumberingAfterBreak="0">
    <w:nsid w:val="0D936A33"/>
    <w:multiLevelType w:val="hybridMultilevel"/>
    <w:tmpl w:val="9FFABA1E"/>
    <w:lvl w:ilvl="0" w:tplc="51F0FEFC">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0F658FE"/>
    <w:multiLevelType w:val="hybridMultilevel"/>
    <w:tmpl w:val="93FA4F78"/>
    <w:lvl w:ilvl="0" w:tplc="435202D8">
      <w:start w:val="1"/>
      <w:numFmt w:val="bullet"/>
      <w:pStyle w:val="ukazatelkodmazn"/>
      <w:lvlText w:val=""/>
      <w:lvlJc w:val="left"/>
      <w:pPr>
        <w:ind w:left="720" w:hanging="360"/>
      </w:pPr>
      <w:rPr>
        <w:rFonts w:ascii="Symbol" w:hAnsi="Symbol" w:hint="default"/>
        <w:b w:val="0"/>
        <w:bCs w:val="0"/>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124D3637"/>
    <w:multiLevelType w:val="hybridMultilevel"/>
    <w:tmpl w:val="0A828CC2"/>
    <w:lvl w:ilvl="0" w:tplc="EB12A930">
      <w:start w:val="1"/>
      <w:numFmt w:val="bullet"/>
      <w:pStyle w:val="HSpodbod"/>
      <w:lvlText w:val=""/>
      <w:lvlJc w:val="left"/>
      <w:pPr>
        <w:ind w:left="36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130316F8"/>
    <w:multiLevelType w:val="multilevel"/>
    <w:tmpl w:val="3320A8B2"/>
    <w:numStyleLink w:val="VariantaB-odrky"/>
  </w:abstractNum>
  <w:abstractNum w:abstractNumId="11" w15:restartNumberingAfterBreak="0">
    <w:nsid w:val="158C45C4"/>
    <w:multiLevelType w:val="hybridMultilevel"/>
    <w:tmpl w:val="82BCD37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1615572B"/>
    <w:multiLevelType w:val="multilevel"/>
    <w:tmpl w:val="3320A8B2"/>
    <w:styleLink w:val="VariantaB-odrky"/>
    <w:lvl w:ilvl="0">
      <w:start w:val="1"/>
      <w:numFmt w:val="bullet"/>
      <w:pStyle w:val="SeznamsodrkamiB"/>
      <w:lvlText w:val="—"/>
      <w:lvlJc w:val="left"/>
      <w:pPr>
        <w:ind w:left="357" w:hanging="357"/>
      </w:pPr>
      <w:rPr>
        <w:rFonts w:ascii="Calibri" w:hAnsi="Calibri" w:hint="default"/>
        <w:sz w:val="16"/>
      </w:rPr>
    </w:lvl>
    <w:lvl w:ilvl="1">
      <w:start w:val="1"/>
      <w:numFmt w:val="bullet"/>
      <w:pStyle w:val="SeznamsodrkamiB2"/>
      <w:lvlText w:val=""/>
      <w:lvlJc w:val="left"/>
      <w:pPr>
        <w:ind w:left="714" w:hanging="357"/>
      </w:pPr>
      <w:rPr>
        <w:rFonts w:ascii="Wingdings" w:hAnsi="Wingdings" w:hint="default"/>
        <w:sz w:val="14"/>
      </w:rPr>
    </w:lvl>
    <w:lvl w:ilvl="2">
      <w:start w:val="1"/>
      <w:numFmt w:val="bullet"/>
      <w:pStyle w:val="SeznamsodrkamiB3"/>
      <w:lvlText w:val=""/>
      <w:lvlJc w:val="left"/>
      <w:pPr>
        <w:ind w:left="1071" w:hanging="357"/>
      </w:pPr>
      <w:rPr>
        <w:rFonts w:ascii="Wingdings 2" w:hAnsi="Wingdings 2" w:hint="default"/>
      </w:rPr>
    </w:lvl>
    <w:lvl w:ilvl="3">
      <w:start w:val="1"/>
      <w:numFmt w:val="bullet"/>
      <w:pStyle w:val="SeznamsodrkamiB4"/>
      <w:lvlText w:val=""/>
      <w:lvlJc w:val="left"/>
      <w:pPr>
        <w:ind w:left="1428" w:hanging="357"/>
      </w:pPr>
      <w:rPr>
        <w:rFonts w:ascii="Wingdings 2" w:hAnsi="Wingdings 2" w:hint="default"/>
      </w:rPr>
    </w:lvl>
    <w:lvl w:ilvl="4">
      <w:start w:val="1"/>
      <w:numFmt w:val="bullet"/>
      <w:pStyle w:val="SeznamsodrkamiB5"/>
      <w:lvlText w:val=""/>
      <w:lvlJc w:val="left"/>
      <w:pPr>
        <w:ind w:left="1785" w:hanging="357"/>
      </w:pPr>
      <w:rPr>
        <w:rFonts w:ascii="Wingdings 2" w:hAnsi="Wingdings 2" w:hint="default"/>
      </w:rPr>
    </w:lvl>
    <w:lvl w:ilvl="5">
      <w:start w:val="1"/>
      <w:numFmt w:val="bullet"/>
      <w:lvlText w:val=""/>
      <w:lvlJc w:val="left"/>
      <w:pPr>
        <w:ind w:left="2142" w:hanging="357"/>
      </w:pPr>
      <w:rPr>
        <w:rFonts w:ascii="Wingdings 2" w:hAnsi="Wingdings 2" w:cs="Times New Roman" w:hint="default"/>
      </w:rPr>
    </w:lvl>
    <w:lvl w:ilvl="6">
      <w:start w:val="1"/>
      <w:numFmt w:val="bullet"/>
      <w:lvlText w:val=""/>
      <w:lvlJc w:val="left"/>
      <w:pPr>
        <w:ind w:left="2499" w:hanging="357"/>
      </w:pPr>
      <w:rPr>
        <w:rFonts w:ascii="Wingdings 2" w:hAnsi="Wingdings 2" w:cs="Times New Roman" w:hint="default"/>
      </w:rPr>
    </w:lvl>
    <w:lvl w:ilvl="7">
      <w:start w:val="1"/>
      <w:numFmt w:val="bullet"/>
      <w:lvlText w:val=""/>
      <w:lvlJc w:val="left"/>
      <w:pPr>
        <w:ind w:left="2856" w:hanging="357"/>
      </w:pPr>
      <w:rPr>
        <w:rFonts w:ascii="Wingdings 2" w:hAnsi="Wingdings 2" w:cs="Times New Roman" w:hint="default"/>
      </w:rPr>
    </w:lvl>
    <w:lvl w:ilvl="8">
      <w:start w:val="1"/>
      <w:numFmt w:val="bullet"/>
      <w:lvlText w:val=""/>
      <w:lvlJc w:val="left"/>
      <w:pPr>
        <w:ind w:left="3213" w:hanging="357"/>
      </w:pPr>
      <w:rPr>
        <w:rFonts w:ascii="Wingdings 2" w:hAnsi="Wingdings 2" w:cs="Times New Roman" w:hint="default"/>
      </w:rPr>
    </w:lvl>
  </w:abstractNum>
  <w:abstractNum w:abstractNumId="13" w15:restartNumberingAfterBreak="0">
    <w:nsid w:val="191872DA"/>
    <w:multiLevelType w:val="multilevel"/>
    <w:tmpl w:val="E8A48D7C"/>
    <w:numStyleLink w:val="VariantaA-sla"/>
  </w:abstractNum>
  <w:abstractNum w:abstractNumId="14" w15:restartNumberingAfterBreak="0">
    <w:nsid w:val="1FD85CF3"/>
    <w:multiLevelType w:val="hybridMultilevel"/>
    <w:tmpl w:val="377618E4"/>
    <w:lvl w:ilvl="0" w:tplc="C9D6BAA8">
      <w:start w:val="1"/>
      <w:numFmt w:val="decimal"/>
      <w:pStyle w:val="HSNadpisIII"/>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281267B2"/>
    <w:multiLevelType w:val="hybridMultilevel"/>
    <w:tmpl w:val="EF9E3DF8"/>
    <w:lvl w:ilvl="0" w:tplc="D0AA9E4C">
      <w:start w:val="1"/>
      <w:numFmt w:val="decimal"/>
      <w:pStyle w:val="Plohaslovn"/>
      <w:lvlText w:val="Příloha č. %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15:restartNumberingAfterBreak="0">
    <w:nsid w:val="289A5EA2"/>
    <w:multiLevelType w:val="multilevel"/>
    <w:tmpl w:val="E8BAE50A"/>
    <w:numStyleLink w:val="VariantaA-odrky"/>
  </w:abstractNum>
  <w:abstractNum w:abstractNumId="17" w15:restartNumberingAfterBreak="0">
    <w:nsid w:val="376F5061"/>
    <w:multiLevelType w:val="hybridMultilevel"/>
    <w:tmpl w:val="F2D8FDFE"/>
    <w:lvl w:ilvl="0" w:tplc="BA164E54">
      <w:start w:val="1"/>
      <w:numFmt w:val="decimal"/>
      <w:pStyle w:val="HSPlohaslovn"/>
      <w:lvlText w:val="Příloha č. %1:"/>
      <w:lvlJc w:val="left"/>
      <w:pPr>
        <w:ind w:left="720" w:hanging="36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15:restartNumberingAfterBreak="0">
    <w:nsid w:val="47815858"/>
    <w:multiLevelType w:val="hybridMultilevel"/>
    <w:tmpl w:val="DC703914"/>
    <w:lvl w:ilvl="0" w:tplc="227C609A">
      <w:start w:val="1"/>
      <w:numFmt w:val="decimal"/>
      <w:pStyle w:val="HSNadpisIII43"/>
      <w:lvlText w:val="4.3.%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 w15:restartNumberingAfterBreak="0">
    <w:nsid w:val="4B4B33DE"/>
    <w:multiLevelType w:val="multilevel"/>
    <w:tmpl w:val="2D244312"/>
    <w:lvl w:ilvl="0">
      <w:start w:val="1"/>
      <w:numFmt w:val="upperRoman"/>
      <w:lvlText w:val="%1."/>
      <w:lvlJc w:val="left"/>
      <w:pPr>
        <w:ind w:left="360" w:hanging="360"/>
      </w:pPr>
      <w:rPr>
        <w:rFonts w:hint="default"/>
      </w:r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20" w15:restartNumberingAfterBreak="0">
    <w:nsid w:val="4F89775E"/>
    <w:multiLevelType w:val="multilevel"/>
    <w:tmpl w:val="0D8ABE32"/>
    <w:styleLink w:val="VariantaB-sla"/>
    <w:lvl w:ilvl="0">
      <w:start w:val="1"/>
      <w:numFmt w:val="decimal"/>
      <w:pStyle w:val="slovanseznamB"/>
      <w:lvlText w:val="%1)"/>
      <w:lvlJc w:val="left"/>
      <w:pPr>
        <w:ind w:left="360" w:hanging="360"/>
      </w:pPr>
      <w:rPr>
        <w:rFonts w:hint="default"/>
      </w:rPr>
    </w:lvl>
    <w:lvl w:ilvl="1">
      <w:start w:val="1"/>
      <w:numFmt w:val="lowerLetter"/>
      <w:pStyle w:val="slovanseznamB2"/>
      <w:lvlText w:val="%2)"/>
      <w:lvlJc w:val="left"/>
      <w:pPr>
        <w:ind w:left="720" w:hanging="360"/>
      </w:pPr>
      <w:rPr>
        <w:rFonts w:hint="default"/>
      </w:rPr>
    </w:lvl>
    <w:lvl w:ilvl="2">
      <w:start w:val="1"/>
      <w:numFmt w:val="lowerRoman"/>
      <w:pStyle w:val="slovanseznamB3"/>
      <w:lvlText w:val="%3)"/>
      <w:lvlJc w:val="left"/>
      <w:pPr>
        <w:ind w:left="1080" w:hanging="360"/>
      </w:pPr>
      <w:rPr>
        <w:rFonts w:hint="default"/>
      </w:rPr>
    </w:lvl>
    <w:lvl w:ilvl="3">
      <w:start w:val="1"/>
      <w:numFmt w:val="decimal"/>
      <w:pStyle w:val="slovanseznamB4"/>
      <w:lvlText w:val="(%4)"/>
      <w:lvlJc w:val="left"/>
      <w:pPr>
        <w:ind w:left="1440" w:hanging="360"/>
      </w:pPr>
      <w:rPr>
        <w:rFonts w:hint="default"/>
      </w:rPr>
    </w:lvl>
    <w:lvl w:ilvl="4">
      <w:start w:val="1"/>
      <w:numFmt w:val="lowerLetter"/>
      <w:pStyle w:val="slovanseznamB5"/>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 w15:restartNumberingAfterBreak="0">
    <w:nsid w:val="508D7B7F"/>
    <w:multiLevelType w:val="multilevel"/>
    <w:tmpl w:val="F126C7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58A321E4"/>
    <w:multiLevelType w:val="multilevel"/>
    <w:tmpl w:val="E8BAE50A"/>
    <w:styleLink w:val="VariantaA-odrky"/>
    <w:lvl w:ilvl="0">
      <w:start w:val="1"/>
      <w:numFmt w:val="bullet"/>
      <w:pStyle w:val="Seznamsodrkami"/>
      <w:lvlText w:val=""/>
      <w:lvlJc w:val="left"/>
      <w:pPr>
        <w:ind w:left="357" w:hanging="357"/>
      </w:pPr>
      <w:rPr>
        <w:rFonts w:ascii="Wingdings" w:hAnsi="Wingdings" w:hint="default"/>
        <w:sz w:val="16"/>
      </w:rPr>
    </w:lvl>
    <w:lvl w:ilvl="1">
      <w:start w:val="1"/>
      <w:numFmt w:val="bullet"/>
      <w:pStyle w:val="Seznamsodrkami2"/>
      <w:lvlText w:val=""/>
      <w:lvlJc w:val="left"/>
      <w:pPr>
        <w:ind w:left="714" w:hanging="357"/>
      </w:pPr>
      <w:rPr>
        <w:rFonts w:ascii="Wingdings" w:hAnsi="Wingdings" w:hint="default"/>
        <w:sz w:val="14"/>
      </w:rPr>
    </w:lvl>
    <w:lvl w:ilvl="2">
      <w:start w:val="1"/>
      <w:numFmt w:val="bullet"/>
      <w:pStyle w:val="Seznamsodrkami3"/>
      <w:lvlText w:val=""/>
      <w:lvlJc w:val="left"/>
      <w:pPr>
        <w:ind w:left="1071" w:hanging="357"/>
      </w:pPr>
      <w:rPr>
        <w:rFonts w:ascii="Wingdings" w:hAnsi="Wingdings" w:hint="default"/>
        <w:sz w:val="10"/>
      </w:rPr>
    </w:lvl>
    <w:lvl w:ilvl="3">
      <w:start w:val="1"/>
      <w:numFmt w:val="bullet"/>
      <w:pStyle w:val="Seznamsodrkami4"/>
      <w:lvlText w:val=""/>
      <w:lvlJc w:val="left"/>
      <w:pPr>
        <w:ind w:left="1428" w:hanging="357"/>
      </w:pPr>
      <w:rPr>
        <w:rFonts w:ascii="Wingdings" w:hAnsi="Wingdings" w:hint="default"/>
        <w:sz w:val="10"/>
      </w:rPr>
    </w:lvl>
    <w:lvl w:ilvl="4">
      <w:start w:val="1"/>
      <w:numFmt w:val="bullet"/>
      <w:pStyle w:val="Seznamsodrkami5"/>
      <w:lvlText w:val=""/>
      <w:lvlJc w:val="left"/>
      <w:pPr>
        <w:ind w:left="1785" w:hanging="357"/>
      </w:pPr>
      <w:rPr>
        <w:rFonts w:ascii="Wingdings" w:hAnsi="Wingdings" w:hint="default"/>
        <w:sz w:val="10"/>
      </w:rPr>
    </w:lvl>
    <w:lvl w:ilvl="5">
      <w:start w:val="1"/>
      <w:numFmt w:val="bullet"/>
      <w:lvlText w:val=""/>
      <w:lvlJc w:val="left"/>
      <w:pPr>
        <w:ind w:left="2142" w:hanging="357"/>
      </w:pPr>
      <w:rPr>
        <w:rFonts w:ascii="Wingdings" w:hAnsi="Wingdings" w:hint="default"/>
        <w:sz w:val="10"/>
      </w:rPr>
    </w:lvl>
    <w:lvl w:ilvl="6">
      <w:start w:val="1"/>
      <w:numFmt w:val="bullet"/>
      <w:lvlText w:val=""/>
      <w:lvlJc w:val="left"/>
      <w:pPr>
        <w:ind w:left="2499" w:hanging="357"/>
      </w:pPr>
      <w:rPr>
        <w:rFonts w:ascii="Wingdings" w:hAnsi="Wingdings" w:hint="default"/>
        <w:sz w:val="10"/>
      </w:rPr>
    </w:lvl>
    <w:lvl w:ilvl="7">
      <w:start w:val="1"/>
      <w:numFmt w:val="bullet"/>
      <w:lvlText w:val=""/>
      <w:lvlJc w:val="left"/>
      <w:pPr>
        <w:ind w:left="2856" w:hanging="357"/>
      </w:pPr>
      <w:rPr>
        <w:rFonts w:ascii="Wingdings" w:hAnsi="Wingdings" w:hint="default"/>
        <w:sz w:val="10"/>
      </w:rPr>
    </w:lvl>
    <w:lvl w:ilvl="8">
      <w:start w:val="1"/>
      <w:numFmt w:val="bullet"/>
      <w:lvlText w:val=""/>
      <w:lvlJc w:val="left"/>
      <w:pPr>
        <w:ind w:left="3213" w:hanging="357"/>
      </w:pPr>
      <w:rPr>
        <w:rFonts w:ascii="Wingdings" w:hAnsi="Wingdings" w:hint="default"/>
        <w:color w:val="000000" w:themeColor="text1"/>
        <w:sz w:val="10"/>
      </w:rPr>
    </w:lvl>
  </w:abstractNum>
  <w:abstractNum w:abstractNumId="23" w15:restartNumberingAfterBreak="0">
    <w:nsid w:val="5AF35F43"/>
    <w:multiLevelType w:val="multilevel"/>
    <w:tmpl w:val="0D8ABE32"/>
    <w:numStyleLink w:val="VariantaB-sla"/>
  </w:abstractNum>
  <w:abstractNum w:abstractNumId="24" w15:restartNumberingAfterBreak="0">
    <w:nsid w:val="5D0B385C"/>
    <w:multiLevelType w:val="hybridMultilevel"/>
    <w:tmpl w:val="4A2AC454"/>
    <w:lvl w:ilvl="0" w:tplc="96140F18">
      <w:start w:val="1"/>
      <w:numFmt w:val="decimal"/>
      <w:pStyle w:val="HSpodbodysla1"/>
      <w:lvlText w:val="%1."/>
      <w:lvlJc w:val="left"/>
      <w:pPr>
        <w:ind w:left="36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5" w15:restartNumberingAfterBreak="0">
    <w:nsid w:val="6891558B"/>
    <w:multiLevelType w:val="hybridMultilevel"/>
    <w:tmpl w:val="BDBEA474"/>
    <w:lvl w:ilvl="0" w:tplc="7DF6CD08">
      <w:start w:val="1"/>
      <w:numFmt w:val="decimal"/>
      <w:pStyle w:val="HSNadpisIII2"/>
      <w:lvlText w:val="2.%1."/>
      <w:lvlJc w:val="left"/>
      <w:pPr>
        <w:ind w:left="1074" w:hanging="360"/>
      </w:pPr>
      <w:rPr>
        <w:rFonts w:hint="default"/>
      </w:rPr>
    </w:lvl>
    <w:lvl w:ilvl="1" w:tplc="04050019" w:tentative="1">
      <w:start w:val="1"/>
      <w:numFmt w:val="lowerLetter"/>
      <w:lvlText w:val="%2."/>
      <w:lvlJc w:val="left"/>
      <w:pPr>
        <w:ind w:left="1797" w:hanging="360"/>
      </w:pPr>
    </w:lvl>
    <w:lvl w:ilvl="2" w:tplc="0405001B" w:tentative="1">
      <w:start w:val="1"/>
      <w:numFmt w:val="lowerRoman"/>
      <w:lvlText w:val="%3."/>
      <w:lvlJc w:val="right"/>
      <w:pPr>
        <w:ind w:left="2517" w:hanging="180"/>
      </w:pPr>
    </w:lvl>
    <w:lvl w:ilvl="3" w:tplc="0405000F" w:tentative="1">
      <w:start w:val="1"/>
      <w:numFmt w:val="decimal"/>
      <w:lvlText w:val="%4."/>
      <w:lvlJc w:val="left"/>
      <w:pPr>
        <w:ind w:left="3237" w:hanging="360"/>
      </w:pPr>
    </w:lvl>
    <w:lvl w:ilvl="4" w:tplc="04050019" w:tentative="1">
      <w:start w:val="1"/>
      <w:numFmt w:val="lowerLetter"/>
      <w:lvlText w:val="%5."/>
      <w:lvlJc w:val="left"/>
      <w:pPr>
        <w:ind w:left="3957" w:hanging="360"/>
      </w:pPr>
    </w:lvl>
    <w:lvl w:ilvl="5" w:tplc="0405001B" w:tentative="1">
      <w:start w:val="1"/>
      <w:numFmt w:val="lowerRoman"/>
      <w:lvlText w:val="%6."/>
      <w:lvlJc w:val="right"/>
      <w:pPr>
        <w:ind w:left="4677" w:hanging="180"/>
      </w:pPr>
    </w:lvl>
    <w:lvl w:ilvl="6" w:tplc="0405000F" w:tentative="1">
      <w:start w:val="1"/>
      <w:numFmt w:val="decimal"/>
      <w:lvlText w:val="%7."/>
      <w:lvlJc w:val="left"/>
      <w:pPr>
        <w:ind w:left="5397" w:hanging="360"/>
      </w:pPr>
    </w:lvl>
    <w:lvl w:ilvl="7" w:tplc="04050019" w:tentative="1">
      <w:start w:val="1"/>
      <w:numFmt w:val="lowerLetter"/>
      <w:lvlText w:val="%8."/>
      <w:lvlJc w:val="left"/>
      <w:pPr>
        <w:ind w:left="6117" w:hanging="360"/>
      </w:pPr>
    </w:lvl>
    <w:lvl w:ilvl="8" w:tplc="0405001B" w:tentative="1">
      <w:start w:val="1"/>
      <w:numFmt w:val="lowerRoman"/>
      <w:lvlText w:val="%9."/>
      <w:lvlJc w:val="right"/>
      <w:pPr>
        <w:ind w:left="6837" w:hanging="180"/>
      </w:pPr>
    </w:lvl>
  </w:abstractNum>
  <w:abstractNum w:abstractNumId="26" w15:restartNumberingAfterBreak="0">
    <w:nsid w:val="70AF472A"/>
    <w:multiLevelType w:val="hybridMultilevel"/>
    <w:tmpl w:val="A042ACE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70DF7168"/>
    <w:multiLevelType w:val="hybridMultilevel"/>
    <w:tmpl w:val="035ADC32"/>
    <w:lvl w:ilvl="0" w:tplc="A7F04CBA">
      <w:start w:val="1"/>
      <w:numFmt w:val="decimal"/>
      <w:pStyle w:val="HSNadpisIII3"/>
      <w:lvlText w:val="3.%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8" w15:restartNumberingAfterBreak="0">
    <w:nsid w:val="72E222BA"/>
    <w:multiLevelType w:val="multilevel"/>
    <w:tmpl w:val="FC3060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42333D3"/>
    <w:multiLevelType w:val="hybridMultilevel"/>
    <w:tmpl w:val="0A325BE4"/>
    <w:lvl w:ilvl="0" w:tplc="9820AC2E">
      <w:start w:val="1"/>
      <w:numFmt w:val="upperRoman"/>
      <w:pStyle w:val="Nadpis1"/>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0" w15:restartNumberingAfterBreak="0">
    <w:nsid w:val="7F2869F6"/>
    <w:multiLevelType w:val="hybridMultilevel"/>
    <w:tmpl w:val="975E6748"/>
    <w:lvl w:ilvl="0" w:tplc="BD6C7858">
      <w:start w:val="1"/>
      <w:numFmt w:val="decimal"/>
      <w:pStyle w:val="HSNadpisIII4"/>
      <w:lvlText w:val="4.%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12"/>
  </w:num>
  <w:num w:numId="2">
    <w:abstractNumId w:val="22"/>
  </w:num>
  <w:num w:numId="3">
    <w:abstractNumId w:val="20"/>
  </w:num>
  <w:num w:numId="4">
    <w:abstractNumId w:val="4"/>
  </w:num>
  <w:num w:numId="5">
    <w:abstractNumId w:val="23"/>
  </w:num>
  <w:num w:numId="6">
    <w:abstractNumId w:val="16"/>
  </w:num>
  <w:num w:numId="7">
    <w:abstractNumId w:val="13"/>
  </w:num>
  <w:num w:numId="8">
    <w:abstractNumId w:val="10"/>
  </w:num>
  <w:num w:numId="9">
    <w:abstractNumId w:val="19"/>
  </w:num>
  <w:num w:numId="10">
    <w:abstractNumId w:val="9"/>
  </w:num>
  <w:num w:numId="11">
    <w:abstractNumId w:val="15"/>
  </w:num>
  <w:num w:numId="12">
    <w:abstractNumId w:val="29"/>
  </w:num>
  <w:num w:numId="13">
    <w:abstractNumId w:val="17"/>
  </w:num>
  <w:num w:numId="14">
    <w:abstractNumId w:val="2"/>
  </w:num>
  <w:num w:numId="15">
    <w:abstractNumId w:val="8"/>
  </w:num>
  <w:num w:numId="16">
    <w:abstractNumId w:val="5"/>
  </w:num>
  <w:num w:numId="17">
    <w:abstractNumId w:val="14"/>
  </w:num>
  <w:num w:numId="18">
    <w:abstractNumId w:val="25"/>
  </w:num>
  <w:num w:numId="19">
    <w:abstractNumId w:val="27"/>
  </w:num>
  <w:num w:numId="20">
    <w:abstractNumId w:val="24"/>
  </w:num>
  <w:num w:numId="21">
    <w:abstractNumId w:val="30"/>
  </w:num>
  <w:num w:numId="22">
    <w:abstractNumId w:val="18"/>
  </w:num>
  <w:num w:numId="23">
    <w:abstractNumId w:val="6"/>
  </w:num>
  <w:num w:numId="24">
    <w:abstractNumId w:val="3"/>
  </w:num>
  <w:num w:numId="25">
    <w:abstractNumId w:val="11"/>
  </w:num>
  <w:num w:numId="26">
    <w:abstractNumId w:val="28"/>
  </w:num>
  <w:num w:numId="27">
    <w:abstractNumId w:val="21"/>
  </w:num>
  <w:num w:numId="28">
    <w:abstractNumId w:val="29"/>
  </w:num>
  <w:num w:numId="29">
    <w:abstractNumId w:val="7"/>
  </w:num>
  <w:num w:numId="30">
    <w:abstractNumId w:val="26"/>
  </w:num>
  <w:num w:numId="31">
    <w:abstractNumId w:val="0"/>
  </w:num>
  <w:num w:numId="32">
    <w:abstractNumId w:val="27"/>
  </w:num>
  <w:num w:numId="33">
    <w:abstractNumId w:val="1"/>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removePersonalInformation/>
  <w:removeDateAndTime/>
  <w:proofState w:spelling="clean" w:grammar="clean"/>
  <w:stylePaneFormatFilter w:val="D724" w:allStyles="0" w:customStyles="0" w:latentStyles="1" w:stylesInUse="0" w:headingStyles="1" w:numberingStyles="0" w:tableStyles="0" w:directFormattingOnRuns="1" w:directFormattingOnParagraphs="1" w:directFormattingOnNumbering="1" w:directFormattingOnTables="0" w:clearFormatting="1" w:top3HeadingStyles="0" w:visibleStyles="1" w:alternateStyleNames="1"/>
  <w:defaultTabStop w:val="708"/>
  <w:autoHyphenation/>
  <w:consecutiveHyphenLimit w:val="1"/>
  <w:hyphenationZone w:val="425"/>
  <w:characterSpacingControl w:val="doNotCompress"/>
  <w:hdrShapeDefaults>
    <o:shapedefaults v:ext="edit" spidmax="296961"/>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166E7"/>
    <w:rsid w:val="00000065"/>
    <w:rsid w:val="00000321"/>
    <w:rsid w:val="00000F4B"/>
    <w:rsid w:val="000013AC"/>
    <w:rsid w:val="0000195F"/>
    <w:rsid w:val="000019F3"/>
    <w:rsid w:val="00002134"/>
    <w:rsid w:val="000022FC"/>
    <w:rsid w:val="00002630"/>
    <w:rsid w:val="000027BA"/>
    <w:rsid w:val="00002BD8"/>
    <w:rsid w:val="000034E5"/>
    <w:rsid w:val="000038B2"/>
    <w:rsid w:val="00003E07"/>
    <w:rsid w:val="0000492C"/>
    <w:rsid w:val="0000571F"/>
    <w:rsid w:val="000059E7"/>
    <w:rsid w:val="000064AB"/>
    <w:rsid w:val="00006544"/>
    <w:rsid w:val="000108E7"/>
    <w:rsid w:val="00010C2D"/>
    <w:rsid w:val="00011B6E"/>
    <w:rsid w:val="000130B9"/>
    <w:rsid w:val="00013484"/>
    <w:rsid w:val="000136DE"/>
    <w:rsid w:val="000152E2"/>
    <w:rsid w:val="00015ED1"/>
    <w:rsid w:val="000168BA"/>
    <w:rsid w:val="0001742B"/>
    <w:rsid w:val="00017521"/>
    <w:rsid w:val="00017550"/>
    <w:rsid w:val="000203F5"/>
    <w:rsid w:val="00020995"/>
    <w:rsid w:val="00021038"/>
    <w:rsid w:val="00023917"/>
    <w:rsid w:val="00024A3D"/>
    <w:rsid w:val="000252CB"/>
    <w:rsid w:val="0002674B"/>
    <w:rsid w:val="00026942"/>
    <w:rsid w:val="00026B7A"/>
    <w:rsid w:val="00027679"/>
    <w:rsid w:val="00027BB0"/>
    <w:rsid w:val="000305EE"/>
    <w:rsid w:val="00030A38"/>
    <w:rsid w:val="000315B1"/>
    <w:rsid w:val="00032036"/>
    <w:rsid w:val="000329E6"/>
    <w:rsid w:val="00033438"/>
    <w:rsid w:val="00033D1B"/>
    <w:rsid w:val="00034263"/>
    <w:rsid w:val="00035CCA"/>
    <w:rsid w:val="0003690E"/>
    <w:rsid w:val="00036E9A"/>
    <w:rsid w:val="0004162E"/>
    <w:rsid w:val="00043251"/>
    <w:rsid w:val="00043699"/>
    <w:rsid w:val="00043979"/>
    <w:rsid w:val="00043CF5"/>
    <w:rsid w:val="00044062"/>
    <w:rsid w:val="0004457D"/>
    <w:rsid w:val="000445D8"/>
    <w:rsid w:val="00044729"/>
    <w:rsid w:val="0004489C"/>
    <w:rsid w:val="00046110"/>
    <w:rsid w:val="000471FF"/>
    <w:rsid w:val="0004761C"/>
    <w:rsid w:val="0004786B"/>
    <w:rsid w:val="00047E95"/>
    <w:rsid w:val="000510EE"/>
    <w:rsid w:val="00051DB5"/>
    <w:rsid w:val="000526A5"/>
    <w:rsid w:val="0005270E"/>
    <w:rsid w:val="00054ABE"/>
    <w:rsid w:val="0005528D"/>
    <w:rsid w:val="0005542F"/>
    <w:rsid w:val="0005574D"/>
    <w:rsid w:val="00055790"/>
    <w:rsid w:val="00057644"/>
    <w:rsid w:val="000609AF"/>
    <w:rsid w:val="00060C64"/>
    <w:rsid w:val="00060FFD"/>
    <w:rsid w:val="00061811"/>
    <w:rsid w:val="00062C0F"/>
    <w:rsid w:val="00063405"/>
    <w:rsid w:val="00063575"/>
    <w:rsid w:val="00063DC8"/>
    <w:rsid w:val="00065189"/>
    <w:rsid w:val="00065239"/>
    <w:rsid w:val="00066B66"/>
    <w:rsid w:val="00067406"/>
    <w:rsid w:val="00067828"/>
    <w:rsid w:val="000700C0"/>
    <w:rsid w:val="0007023E"/>
    <w:rsid w:val="0007028B"/>
    <w:rsid w:val="00070675"/>
    <w:rsid w:val="0007301F"/>
    <w:rsid w:val="00073388"/>
    <w:rsid w:val="00074612"/>
    <w:rsid w:val="00074E02"/>
    <w:rsid w:val="00074F57"/>
    <w:rsid w:val="000757F1"/>
    <w:rsid w:val="0007610F"/>
    <w:rsid w:val="00076785"/>
    <w:rsid w:val="00076FCC"/>
    <w:rsid w:val="00080725"/>
    <w:rsid w:val="000809B9"/>
    <w:rsid w:val="0008118B"/>
    <w:rsid w:val="000816FF"/>
    <w:rsid w:val="00081DEB"/>
    <w:rsid w:val="00082074"/>
    <w:rsid w:val="0008253B"/>
    <w:rsid w:val="0008267A"/>
    <w:rsid w:val="00082A09"/>
    <w:rsid w:val="00082BA4"/>
    <w:rsid w:val="00082C9A"/>
    <w:rsid w:val="00085ACF"/>
    <w:rsid w:val="00085F5F"/>
    <w:rsid w:val="0008650D"/>
    <w:rsid w:val="00087165"/>
    <w:rsid w:val="00087B9E"/>
    <w:rsid w:val="000905D8"/>
    <w:rsid w:val="00090883"/>
    <w:rsid w:val="00090B40"/>
    <w:rsid w:val="000935D4"/>
    <w:rsid w:val="00094175"/>
    <w:rsid w:val="0009437E"/>
    <w:rsid w:val="000950C6"/>
    <w:rsid w:val="00095A0A"/>
    <w:rsid w:val="00095A64"/>
    <w:rsid w:val="00095E66"/>
    <w:rsid w:val="00096A9E"/>
    <w:rsid w:val="00097BD4"/>
    <w:rsid w:val="00097F2D"/>
    <w:rsid w:val="000A0236"/>
    <w:rsid w:val="000A0410"/>
    <w:rsid w:val="000A0CFC"/>
    <w:rsid w:val="000A108F"/>
    <w:rsid w:val="000A24DA"/>
    <w:rsid w:val="000A260A"/>
    <w:rsid w:val="000A2D45"/>
    <w:rsid w:val="000A2DA3"/>
    <w:rsid w:val="000A332B"/>
    <w:rsid w:val="000A4613"/>
    <w:rsid w:val="000A485D"/>
    <w:rsid w:val="000A65B0"/>
    <w:rsid w:val="000A66F4"/>
    <w:rsid w:val="000A69C9"/>
    <w:rsid w:val="000A6EF1"/>
    <w:rsid w:val="000A75FC"/>
    <w:rsid w:val="000A7719"/>
    <w:rsid w:val="000A7B84"/>
    <w:rsid w:val="000A7C08"/>
    <w:rsid w:val="000A7CA8"/>
    <w:rsid w:val="000B048C"/>
    <w:rsid w:val="000B0FF2"/>
    <w:rsid w:val="000B151D"/>
    <w:rsid w:val="000B1B3D"/>
    <w:rsid w:val="000B234B"/>
    <w:rsid w:val="000B27FB"/>
    <w:rsid w:val="000B32E2"/>
    <w:rsid w:val="000B3AE1"/>
    <w:rsid w:val="000B3C14"/>
    <w:rsid w:val="000B3FAD"/>
    <w:rsid w:val="000B3FC0"/>
    <w:rsid w:val="000B42FC"/>
    <w:rsid w:val="000B4961"/>
    <w:rsid w:val="000B4D59"/>
    <w:rsid w:val="000B5314"/>
    <w:rsid w:val="000B5EA0"/>
    <w:rsid w:val="000B64C8"/>
    <w:rsid w:val="000B6CA0"/>
    <w:rsid w:val="000C00DA"/>
    <w:rsid w:val="000C0782"/>
    <w:rsid w:val="000C08B0"/>
    <w:rsid w:val="000C098A"/>
    <w:rsid w:val="000C0EC8"/>
    <w:rsid w:val="000C1F40"/>
    <w:rsid w:val="000C35F9"/>
    <w:rsid w:val="000C4CAF"/>
    <w:rsid w:val="000C506B"/>
    <w:rsid w:val="000C55E0"/>
    <w:rsid w:val="000C5B59"/>
    <w:rsid w:val="000C61C7"/>
    <w:rsid w:val="000C7938"/>
    <w:rsid w:val="000D0C92"/>
    <w:rsid w:val="000D2BB3"/>
    <w:rsid w:val="000D4226"/>
    <w:rsid w:val="000D5236"/>
    <w:rsid w:val="000D5DB6"/>
    <w:rsid w:val="000D5DCE"/>
    <w:rsid w:val="000D61DE"/>
    <w:rsid w:val="000D63ED"/>
    <w:rsid w:val="000D7C9E"/>
    <w:rsid w:val="000E04A1"/>
    <w:rsid w:val="000E17E4"/>
    <w:rsid w:val="000E1FF0"/>
    <w:rsid w:val="000E248D"/>
    <w:rsid w:val="000E2F16"/>
    <w:rsid w:val="000E3E49"/>
    <w:rsid w:val="000E40A6"/>
    <w:rsid w:val="000E51C3"/>
    <w:rsid w:val="000E5349"/>
    <w:rsid w:val="000E545E"/>
    <w:rsid w:val="000E7A7B"/>
    <w:rsid w:val="000E7E51"/>
    <w:rsid w:val="000F0587"/>
    <w:rsid w:val="000F0619"/>
    <w:rsid w:val="000F0A56"/>
    <w:rsid w:val="000F1193"/>
    <w:rsid w:val="000F11DC"/>
    <w:rsid w:val="000F1CB6"/>
    <w:rsid w:val="000F2A95"/>
    <w:rsid w:val="000F3C3E"/>
    <w:rsid w:val="000F4881"/>
    <w:rsid w:val="000F59D8"/>
    <w:rsid w:val="000F5B1E"/>
    <w:rsid w:val="000F6129"/>
    <w:rsid w:val="00100A50"/>
    <w:rsid w:val="00100C29"/>
    <w:rsid w:val="0010113A"/>
    <w:rsid w:val="00101C6C"/>
    <w:rsid w:val="001028C6"/>
    <w:rsid w:val="00105366"/>
    <w:rsid w:val="00107223"/>
    <w:rsid w:val="001100E8"/>
    <w:rsid w:val="001116E1"/>
    <w:rsid w:val="0011176B"/>
    <w:rsid w:val="00112631"/>
    <w:rsid w:val="00114304"/>
    <w:rsid w:val="00114332"/>
    <w:rsid w:val="00116089"/>
    <w:rsid w:val="00116819"/>
    <w:rsid w:val="0011733D"/>
    <w:rsid w:val="00121485"/>
    <w:rsid w:val="001216DC"/>
    <w:rsid w:val="00122E97"/>
    <w:rsid w:val="001232BC"/>
    <w:rsid w:val="00124D7E"/>
    <w:rsid w:val="00125733"/>
    <w:rsid w:val="0012616D"/>
    <w:rsid w:val="0012625E"/>
    <w:rsid w:val="0012741B"/>
    <w:rsid w:val="001276DD"/>
    <w:rsid w:val="00127B36"/>
    <w:rsid w:val="001305F0"/>
    <w:rsid w:val="00130AEF"/>
    <w:rsid w:val="001317BC"/>
    <w:rsid w:val="001327FC"/>
    <w:rsid w:val="001358C3"/>
    <w:rsid w:val="00136144"/>
    <w:rsid w:val="00136E13"/>
    <w:rsid w:val="00137DB2"/>
    <w:rsid w:val="0014072F"/>
    <w:rsid w:val="001407CA"/>
    <w:rsid w:val="0014082A"/>
    <w:rsid w:val="0014126D"/>
    <w:rsid w:val="0014272F"/>
    <w:rsid w:val="00142E11"/>
    <w:rsid w:val="00143AA7"/>
    <w:rsid w:val="00144740"/>
    <w:rsid w:val="00144A05"/>
    <w:rsid w:val="00144CB2"/>
    <w:rsid w:val="001458C9"/>
    <w:rsid w:val="0014674D"/>
    <w:rsid w:val="001502DF"/>
    <w:rsid w:val="00150762"/>
    <w:rsid w:val="001510BE"/>
    <w:rsid w:val="00151200"/>
    <w:rsid w:val="001517B6"/>
    <w:rsid w:val="00151C33"/>
    <w:rsid w:val="0015257F"/>
    <w:rsid w:val="0015307B"/>
    <w:rsid w:val="00153508"/>
    <w:rsid w:val="00154BE9"/>
    <w:rsid w:val="00154F63"/>
    <w:rsid w:val="001551F0"/>
    <w:rsid w:val="00156EF7"/>
    <w:rsid w:val="00156F06"/>
    <w:rsid w:val="00157041"/>
    <w:rsid w:val="001576A2"/>
    <w:rsid w:val="0016032E"/>
    <w:rsid w:val="0016079F"/>
    <w:rsid w:val="00160885"/>
    <w:rsid w:val="0016109C"/>
    <w:rsid w:val="00162C4D"/>
    <w:rsid w:val="00164705"/>
    <w:rsid w:val="001649BD"/>
    <w:rsid w:val="0016507E"/>
    <w:rsid w:val="0016547F"/>
    <w:rsid w:val="00165C52"/>
    <w:rsid w:val="00165DBC"/>
    <w:rsid w:val="00165EB5"/>
    <w:rsid w:val="00165F75"/>
    <w:rsid w:val="0016644E"/>
    <w:rsid w:val="00166A2A"/>
    <w:rsid w:val="00166F4B"/>
    <w:rsid w:val="00167346"/>
    <w:rsid w:val="001676E7"/>
    <w:rsid w:val="00170014"/>
    <w:rsid w:val="00170C41"/>
    <w:rsid w:val="00171C1F"/>
    <w:rsid w:val="00172196"/>
    <w:rsid w:val="00172541"/>
    <w:rsid w:val="00173298"/>
    <w:rsid w:val="00173356"/>
    <w:rsid w:val="001747C1"/>
    <w:rsid w:val="0017490B"/>
    <w:rsid w:val="00175382"/>
    <w:rsid w:val="00176120"/>
    <w:rsid w:val="00177B0D"/>
    <w:rsid w:val="0018051B"/>
    <w:rsid w:val="0018128D"/>
    <w:rsid w:val="001815B0"/>
    <w:rsid w:val="00181F80"/>
    <w:rsid w:val="001845D5"/>
    <w:rsid w:val="00185B3E"/>
    <w:rsid w:val="001869FE"/>
    <w:rsid w:val="001874F5"/>
    <w:rsid w:val="00187C40"/>
    <w:rsid w:val="0019012B"/>
    <w:rsid w:val="001904C9"/>
    <w:rsid w:val="001908EC"/>
    <w:rsid w:val="00190D8C"/>
    <w:rsid w:val="00191A3B"/>
    <w:rsid w:val="0019214C"/>
    <w:rsid w:val="00194734"/>
    <w:rsid w:val="001947C6"/>
    <w:rsid w:val="00194A3E"/>
    <w:rsid w:val="00194D83"/>
    <w:rsid w:val="00195853"/>
    <w:rsid w:val="00195A8E"/>
    <w:rsid w:val="00195F08"/>
    <w:rsid w:val="00196E8A"/>
    <w:rsid w:val="00196F3B"/>
    <w:rsid w:val="001971A6"/>
    <w:rsid w:val="00197E16"/>
    <w:rsid w:val="001A0D8B"/>
    <w:rsid w:val="001A108D"/>
    <w:rsid w:val="001A1995"/>
    <w:rsid w:val="001A1E35"/>
    <w:rsid w:val="001A24EE"/>
    <w:rsid w:val="001A2779"/>
    <w:rsid w:val="001A2E96"/>
    <w:rsid w:val="001A3C5C"/>
    <w:rsid w:val="001A4894"/>
    <w:rsid w:val="001A4A30"/>
    <w:rsid w:val="001A4D9B"/>
    <w:rsid w:val="001A53D7"/>
    <w:rsid w:val="001A62AD"/>
    <w:rsid w:val="001A6D0C"/>
    <w:rsid w:val="001A70F3"/>
    <w:rsid w:val="001A752A"/>
    <w:rsid w:val="001B1E4A"/>
    <w:rsid w:val="001B227D"/>
    <w:rsid w:val="001B28D2"/>
    <w:rsid w:val="001B2FEB"/>
    <w:rsid w:val="001B33F1"/>
    <w:rsid w:val="001B3606"/>
    <w:rsid w:val="001B3651"/>
    <w:rsid w:val="001B5D01"/>
    <w:rsid w:val="001B5E07"/>
    <w:rsid w:val="001B6A49"/>
    <w:rsid w:val="001B7019"/>
    <w:rsid w:val="001B704B"/>
    <w:rsid w:val="001B71C4"/>
    <w:rsid w:val="001B72C2"/>
    <w:rsid w:val="001B791A"/>
    <w:rsid w:val="001B7A8C"/>
    <w:rsid w:val="001C0554"/>
    <w:rsid w:val="001C057D"/>
    <w:rsid w:val="001C0A67"/>
    <w:rsid w:val="001C165A"/>
    <w:rsid w:val="001C19A4"/>
    <w:rsid w:val="001C1A36"/>
    <w:rsid w:val="001C3996"/>
    <w:rsid w:val="001C453C"/>
    <w:rsid w:val="001C480B"/>
    <w:rsid w:val="001C4996"/>
    <w:rsid w:val="001C5184"/>
    <w:rsid w:val="001C65BF"/>
    <w:rsid w:val="001C71A8"/>
    <w:rsid w:val="001C7CD2"/>
    <w:rsid w:val="001D083E"/>
    <w:rsid w:val="001D15CA"/>
    <w:rsid w:val="001D1D8D"/>
    <w:rsid w:val="001D27C0"/>
    <w:rsid w:val="001D2A7F"/>
    <w:rsid w:val="001D2D4D"/>
    <w:rsid w:val="001D389D"/>
    <w:rsid w:val="001D3EA0"/>
    <w:rsid w:val="001D3EA9"/>
    <w:rsid w:val="001D5090"/>
    <w:rsid w:val="001D5683"/>
    <w:rsid w:val="001D5778"/>
    <w:rsid w:val="001D6D79"/>
    <w:rsid w:val="001D7584"/>
    <w:rsid w:val="001D7EE4"/>
    <w:rsid w:val="001E0718"/>
    <w:rsid w:val="001E0745"/>
    <w:rsid w:val="001E07EA"/>
    <w:rsid w:val="001E0C7C"/>
    <w:rsid w:val="001E103F"/>
    <w:rsid w:val="001E129D"/>
    <w:rsid w:val="001E2F1B"/>
    <w:rsid w:val="001E32D5"/>
    <w:rsid w:val="001E3A33"/>
    <w:rsid w:val="001E4082"/>
    <w:rsid w:val="001E4D9A"/>
    <w:rsid w:val="001E4E1D"/>
    <w:rsid w:val="001E578C"/>
    <w:rsid w:val="001E5FD9"/>
    <w:rsid w:val="001E74C3"/>
    <w:rsid w:val="001E77C4"/>
    <w:rsid w:val="001E7F0B"/>
    <w:rsid w:val="001F0338"/>
    <w:rsid w:val="001F0AE4"/>
    <w:rsid w:val="001F1003"/>
    <w:rsid w:val="001F1481"/>
    <w:rsid w:val="001F1ACB"/>
    <w:rsid w:val="001F2639"/>
    <w:rsid w:val="001F3576"/>
    <w:rsid w:val="001F49E4"/>
    <w:rsid w:val="001F5EC9"/>
    <w:rsid w:val="001F6937"/>
    <w:rsid w:val="00200373"/>
    <w:rsid w:val="002006E0"/>
    <w:rsid w:val="00200973"/>
    <w:rsid w:val="00200CFB"/>
    <w:rsid w:val="002011D7"/>
    <w:rsid w:val="002011F8"/>
    <w:rsid w:val="00201AA6"/>
    <w:rsid w:val="0020297F"/>
    <w:rsid w:val="00205632"/>
    <w:rsid w:val="00205817"/>
    <w:rsid w:val="00205DD1"/>
    <w:rsid w:val="00206108"/>
    <w:rsid w:val="00206430"/>
    <w:rsid w:val="00206BC7"/>
    <w:rsid w:val="0020737B"/>
    <w:rsid w:val="002073EC"/>
    <w:rsid w:val="00207692"/>
    <w:rsid w:val="00207A50"/>
    <w:rsid w:val="00207D03"/>
    <w:rsid w:val="002103CB"/>
    <w:rsid w:val="002105CF"/>
    <w:rsid w:val="0021066A"/>
    <w:rsid w:val="002106F1"/>
    <w:rsid w:val="00210940"/>
    <w:rsid w:val="0021121A"/>
    <w:rsid w:val="00211A2F"/>
    <w:rsid w:val="002146C1"/>
    <w:rsid w:val="002147D4"/>
    <w:rsid w:val="00214895"/>
    <w:rsid w:val="00214D93"/>
    <w:rsid w:val="0021550C"/>
    <w:rsid w:val="002161FE"/>
    <w:rsid w:val="0021738F"/>
    <w:rsid w:val="002178B5"/>
    <w:rsid w:val="00217A6B"/>
    <w:rsid w:val="00220DE3"/>
    <w:rsid w:val="002211C7"/>
    <w:rsid w:val="0022198A"/>
    <w:rsid w:val="00222FAF"/>
    <w:rsid w:val="002234D9"/>
    <w:rsid w:val="00224388"/>
    <w:rsid w:val="00224FB0"/>
    <w:rsid w:val="002257D2"/>
    <w:rsid w:val="00226ECE"/>
    <w:rsid w:val="00230648"/>
    <w:rsid w:val="002326D9"/>
    <w:rsid w:val="002330A7"/>
    <w:rsid w:val="00233360"/>
    <w:rsid w:val="00234218"/>
    <w:rsid w:val="00234B26"/>
    <w:rsid w:val="00234BE6"/>
    <w:rsid w:val="00234DD5"/>
    <w:rsid w:val="0023508B"/>
    <w:rsid w:val="0023518A"/>
    <w:rsid w:val="0023555C"/>
    <w:rsid w:val="00235657"/>
    <w:rsid w:val="0023715D"/>
    <w:rsid w:val="0023751A"/>
    <w:rsid w:val="00237F11"/>
    <w:rsid w:val="00237F9A"/>
    <w:rsid w:val="00237FE6"/>
    <w:rsid w:val="002406BC"/>
    <w:rsid w:val="00241349"/>
    <w:rsid w:val="00241C6F"/>
    <w:rsid w:val="00241E23"/>
    <w:rsid w:val="0024203F"/>
    <w:rsid w:val="002432E8"/>
    <w:rsid w:val="002436D0"/>
    <w:rsid w:val="00244831"/>
    <w:rsid w:val="00244BAC"/>
    <w:rsid w:val="00245535"/>
    <w:rsid w:val="002461F3"/>
    <w:rsid w:val="00247899"/>
    <w:rsid w:val="0024790D"/>
    <w:rsid w:val="002501EC"/>
    <w:rsid w:val="0025112E"/>
    <w:rsid w:val="002517AB"/>
    <w:rsid w:val="002517E7"/>
    <w:rsid w:val="00252037"/>
    <w:rsid w:val="002523E8"/>
    <w:rsid w:val="0025290D"/>
    <w:rsid w:val="00252E6D"/>
    <w:rsid w:val="00253086"/>
    <w:rsid w:val="0025319F"/>
    <w:rsid w:val="00253389"/>
    <w:rsid w:val="00255251"/>
    <w:rsid w:val="0025686D"/>
    <w:rsid w:val="00256ACD"/>
    <w:rsid w:val="002579E3"/>
    <w:rsid w:val="00257B33"/>
    <w:rsid w:val="00260372"/>
    <w:rsid w:val="00260583"/>
    <w:rsid w:val="0026087D"/>
    <w:rsid w:val="002616FD"/>
    <w:rsid w:val="0026276C"/>
    <w:rsid w:val="00262834"/>
    <w:rsid w:val="00262DAF"/>
    <w:rsid w:val="002630A8"/>
    <w:rsid w:val="002639C4"/>
    <w:rsid w:val="00264DBF"/>
    <w:rsid w:val="00265EAA"/>
    <w:rsid w:val="002669B1"/>
    <w:rsid w:val="00266A95"/>
    <w:rsid w:val="002670F6"/>
    <w:rsid w:val="00267536"/>
    <w:rsid w:val="00267F50"/>
    <w:rsid w:val="00270A34"/>
    <w:rsid w:val="00270A5B"/>
    <w:rsid w:val="00270CF5"/>
    <w:rsid w:val="00271931"/>
    <w:rsid w:val="00271F9C"/>
    <w:rsid w:val="002735B0"/>
    <w:rsid w:val="00273971"/>
    <w:rsid w:val="00273A44"/>
    <w:rsid w:val="00274670"/>
    <w:rsid w:val="00274E26"/>
    <w:rsid w:val="00275B7E"/>
    <w:rsid w:val="00275D18"/>
    <w:rsid w:val="002767A9"/>
    <w:rsid w:val="00276B9D"/>
    <w:rsid w:val="002802F3"/>
    <w:rsid w:val="0028057E"/>
    <w:rsid w:val="00281860"/>
    <w:rsid w:val="00282558"/>
    <w:rsid w:val="00282FB2"/>
    <w:rsid w:val="00283E0F"/>
    <w:rsid w:val="002857F5"/>
    <w:rsid w:val="002872B5"/>
    <w:rsid w:val="00287C3F"/>
    <w:rsid w:val="00291948"/>
    <w:rsid w:val="00291C33"/>
    <w:rsid w:val="00292993"/>
    <w:rsid w:val="00292FA2"/>
    <w:rsid w:val="00293824"/>
    <w:rsid w:val="002945EF"/>
    <w:rsid w:val="00294679"/>
    <w:rsid w:val="00294E04"/>
    <w:rsid w:val="0029578C"/>
    <w:rsid w:val="00295C5A"/>
    <w:rsid w:val="00296C56"/>
    <w:rsid w:val="00296E02"/>
    <w:rsid w:val="00297A81"/>
    <w:rsid w:val="00297D43"/>
    <w:rsid w:val="002A07F6"/>
    <w:rsid w:val="002A14C2"/>
    <w:rsid w:val="002A393A"/>
    <w:rsid w:val="002A6770"/>
    <w:rsid w:val="002A6EA1"/>
    <w:rsid w:val="002A7EBA"/>
    <w:rsid w:val="002B06D5"/>
    <w:rsid w:val="002B281C"/>
    <w:rsid w:val="002B33F9"/>
    <w:rsid w:val="002B4FB1"/>
    <w:rsid w:val="002B59D0"/>
    <w:rsid w:val="002B5D8F"/>
    <w:rsid w:val="002B5FAC"/>
    <w:rsid w:val="002B6327"/>
    <w:rsid w:val="002B6B23"/>
    <w:rsid w:val="002B6C32"/>
    <w:rsid w:val="002B6CCF"/>
    <w:rsid w:val="002B738C"/>
    <w:rsid w:val="002B7505"/>
    <w:rsid w:val="002C011B"/>
    <w:rsid w:val="002C03FF"/>
    <w:rsid w:val="002C0A23"/>
    <w:rsid w:val="002C0C50"/>
    <w:rsid w:val="002C0E6B"/>
    <w:rsid w:val="002C1211"/>
    <w:rsid w:val="002C16EB"/>
    <w:rsid w:val="002C1931"/>
    <w:rsid w:val="002C1C57"/>
    <w:rsid w:val="002C2BD8"/>
    <w:rsid w:val="002C2BDE"/>
    <w:rsid w:val="002C2D02"/>
    <w:rsid w:val="002C3158"/>
    <w:rsid w:val="002C4491"/>
    <w:rsid w:val="002C4BF5"/>
    <w:rsid w:val="002C5458"/>
    <w:rsid w:val="002C55DA"/>
    <w:rsid w:val="002C5DBE"/>
    <w:rsid w:val="002C5DD7"/>
    <w:rsid w:val="002C5E7A"/>
    <w:rsid w:val="002C5ECC"/>
    <w:rsid w:val="002C612C"/>
    <w:rsid w:val="002D016C"/>
    <w:rsid w:val="002D047D"/>
    <w:rsid w:val="002D04BC"/>
    <w:rsid w:val="002D0592"/>
    <w:rsid w:val="002D05BD"/>
    <w:rsid w:val="002D0CF0"/>
    <w:rsid w:val="002D0E95"/>
    <w:rsid w:val="002D14D5"/>
    <w:rsid w:val="002D28B9"/>
    <w:rsid w:val="002D40D5"/>
    <w:rsid w:val="002D434E"/>
    <w:rsid w:val="002D51B2"/>
    <w:rsid w:val="002D7349"/>
    <w:rsid w:val="002D76B5"/>
    <w:rsid w:val="002E0652"/>
    <w:rsid w:val="002E0B65"/>
    <w:rsid w:val="002E0E09"/>
    <w:rsid w:val="002E1AD3"/>
    <w:rsid w:val="002E203D"/>
    <w:rsid w:val="002E2442"/>
    <w:rsid w:val="002E2B17"/>
    <w:rsid w:val="002E2FE6"/>
    <w:rsid w:val="002E3B08"/>
    <w:rsid w:val="002E45F9"/>
    <w:rsid w:val="002E4A7E"/>
    <w:rsid w:val="002E4E43"/>
    <w:rsid w:val="002E6E2F"/>
    <w:rsid w:val="002E75F4"/>
    <w:rsid w:val="002E78E8"/>
    <w:rsid w:val="002F04A1"/>
    <w:rsid w:val="002F0662"/>
    <w:rsid w:val="002F0E8C"/>
    <w:rsid w:val="002F2667"/>
    <w:rsid w:val="002F332D"/>
    <w:rsid w:val="002F347D"/>
    <w:rsid w:val="002F3888"/>
    <w:rsid w:val="002F41C9"/>
    <w:rsid w:val="002F445B"/>
    <w:rsid w:val="002F4843"/>
    <w:rsid w:val="002F4A35"/>
    <w:rsid w:val="002F4BAF"/>
    <w:rsid w:val="002F5611"/>
    <w:rsid w:val="002F601C"/>
    <w:rsid w:val="002F62AB"/>
    <w:rsid w:val="002F71EF"/>
    <w:rsid w:val="00300AA6"/>
    <w:rsid w:val="00301991"/>
    <w:rsid w:val="00302B02"/>
    <w:rsid w:val="00302D92"/>
    <w:rsid w:val="003031E2"/>
    <w:rsid w:val="0030444A"/>
    <w:rsid w:val="0030460A"/>
    <w:rsid w:val="0030614C"/>
    <w:rsid w:val="00306A50"/>
    <w:rsid w:val="0031053E"/>
    <w:rsid w:val="00310FA0"/>
    <w:rsid w:val="00311581"/>
    <w:rsid w:val="00311635"/>
    <w:rsid w:val="003122F5"/>
    <w:rsid w:val="00312BB4"/>
    <w:rsid w:val="00312C3F"/>
    <w:rsid w:val="00312E61"/>
    <w:rsid w:val="00313F0F"/>
    <w:rsid w:val="00315894"/>
    <w:rsid w:val="003170EA"/>
    <w:rsid w:val="00317123"/>
    <w:rsid w:val="00317625"/>
    <w:rsid w:val="00317A54"/>
    <w:rsid w:val="00320226"/>
    <w:rsid w:val="00320284"/>
    <w:rsid w:val="00320481"/>
    <w:rsid w:val="003204FB"/>
    <w:rsid w:val="00320804"/>
    <w:rsid w:val="00320E95"/>
    <w:rsid w:val="00321129"/>
    <w:rsid w:val="00321597"/>
    <w:rsid w:val="00321EAC"/>
    <w:rsid w:val="00322349"/>
    <w:rsid w:val="0032292E"/>
    <w:rsid w:val="00322FE4"/>
    <w:rsid w:val="003236F9"/>
    <w:rsid w:val="00324346"/>
    <w:rsid w:val="00324460"/>
    <w:rsid w:val="003250CB"/>
    <w:rsid w:val="003265B7"/>
    <w:rsid w:val="0032675F"/>
    <w:rsid w:val="00326EB0"/>
    <w:rsid w:val="00331BAB"/>
    <w:rsid w:val="0033297F"/>
    <w:rsid w:val="00332CAD"/>
    <w:rsid w:val="003342C7"/>
    <w:rsid w:val="003344EC"/>
    <w:rsid w:val="00334BF1"/>
    <w:rsid w:val="00334F16"/>
    <w:rsid w:val="00335F6B"/>
    <w:rsid w:val="00336D17"/>
    <w:rsid w:val="00336F48"/>
    <w:rsid w:val="00337498"/>
    <w:rsid w:val="00342AC3"/>
    <w:rsid w:val="00342D5B"/>
    <w:rsid w:val="00343D07"/>
    <w:rsid w:val="00345974"/>
    <w:rsid w:val="00345B92"/>
    <w:rsid w:val="003460B8"/>
    <w:rsid w:val="00346158"/>
    <w:rsid w:val="003462C5"/>
    <w:rsid w:val="00346AF5"/>
    <w:rsid w:val="00346B68"/>
    <w:rsid w:val="00350030"/>
    <w:rsid w:val="003523F1"/>
    <w:rsid w:val="003525C7"/>
    <w:rsid w:val="00352825"/>
    <w:rsid w:val="0035331E"/>
    <w:rsid w:val="003534C9"/>
    <w:rsid w:val="003544B4"/>
    <w:rsid w:val="003551D3"/>
    <w:rsid w:val="00355CB6"/>
    <w:rsid w:val="00356516"/>
    <w:rsid w:val="003570E9"/>
    <w:rsid w:val="0036054B"/>
    <w:rsid w:val="00360B30"/>
    <w:rsid w:val="00360C9D"/>
    <w:rsid w:val="0036185D"/>
    <w:rsid w:val="00361B65"/>
    <w:rsid w:val="00363201"/>
    <w:rsid w:val="003640FB"/>
    <w:rsid w:val="003645A0"/>
    <w:rsid w:val="0036467A"/>
    <w:rsid w:val="00365FCB"/>
    <w:rsid w:val="003663EF"/>
    <w:rsid w:val="003666A4"/>
    <w:rsid w:val="00366AB2"/>
    <w:rsid w:val="003715BA"/>
    <w:rsid w:val="003724F9"/>
    <w:rsid w:val="003732FB"/>
    <w:rsid w:val="00373973"/>
    <w:rsid w:val="00373F50"/>
    <w:rsid w:val="0037436E"/>
    <w:rsid w:val="003749D1"/>
    <w:rsid w:val="00375042"/>
    <w:rsid w:val="00375350"/>
    <w:rsid w:val="003758D0"/>
    <w:rsid w:val="00375DE7"/>
    <w:rsid w:val="00376421"/>
    <w:rsid w:val="0037725B"/>
    <w:rsid w:val="003819B1"/>
    <w:rsid w:val="00381ECF"/>
    <w:rsid w:val="003828AA"/>
    <w:rsid w:val="003830CE"/>
    <w:rsid w:val="00383759"/>
    <w:rsid w:val="00383AD0"/>
    <w:rsid w:val="00383EA1"/>
    <w:rsid w:val="00384DB1"/>
    <w:rsid w:val="003873A1"/>
    <w:rsid w:val="0038743B"/>
    <w:rsid w:val="00387E90"/>
    <w:rsid w:val="00387F0F"/>
    <w:rsid w:val="0039063C"/>
    <w:rsid w:val="00391790"/>
    <w:rsid w:val="0039221C"/>
    <w:rsid w:val="00392277"/>
    <w:rsid w:val="00392C51"/>
    <w:rsid w:val="00392E79"/>
    <w:rsid w:val="00394188"/>
    <w:rsid w:val="00394ADF"/>
    <w:rsid w:val="00394E72"/>
    <w:rsid w:val="00395BB0"/>
    <w:rsid w:val="00395CBB"/>
    <w:rsid w:val="003960A5"/>
    <w:rsid w:val="00397297"/>
    <w:rsid w:val="003A0D32"/>
    <w:rsid w:val="003A127A"/>
    <w:rsid w:val="003A1371"/>
    <w:rsid w:val="003A18EA"/>
    <w:rsid w:val="003A227B"/>
    <w:rsid w:val="003A2E5C"/>
    <w:rsid w:val="003A3161"/>
    <w:rsid w:val="003A3F1A"/>
    <w:rsid w:val="003A46A8"/>
    <w:rsid w:val="003A4780"/>
    <w:rsid w:val="003A5308"/>
    <w:rsid w:val="003A5B6D"/>
    <w:rsid w:val="003A6041"/>
    <w:rsid w:val="003A6563"/>
    <w:rsid w:val="003A6AB7"/>
    <w:rsid w:val="003A6B68"/>
    <w:rsid w:val="003B03D1"/>
    <w:rsid w:val="003B0548"/>
    <w:rsid w:val="003B0724"/>
    <w:rsid w:val="003B1108"/>
    <w:rsid w:val="003B1D91"/>
    <w:rsid w:val="003B2F9E"/>
    <w:rsid w:val="003B3524"/>
    <w:rsid w:val="003B4348"/>
    <w:rsid w:val="003B4550"/>
    <w:rsid w:val="003B504C"/>
    <w:rsid w:val="003B5162"/>
    <w:rsid w:val="003B51B9"/>
    <w:rsid w:val="003B51C8"/>
    <w:rsid w:val="003B565A"/>
    <w:rsid w:val="003B5747"/>
    <w:rsid w:val="003B5A5D"/>
    <w:rsid w:val="003B67AE"/>
    <w:rsid w:val="003B754F"/>
    <w:rsid w:val="003B7A6C"/>
    <w:rsid w:val="003C0BC1"/>
    <w:rsid w:val="003C18D4"/>
    <w:rsid w:val="003C2900"/>
    <w:rsid w:val="003C3221"/>
    <w:rsid w:val="003C347F"/>
    <w:rsid w:val="003C3C20"/>
    <w:rsid w:val="003C3E56"/>
    <w:rsid w:val="003C5EF0"/>
    <w:rsid w:val="003C5F13"/>
    <w:rsid w:val="003C6B1B"/>
    <w:rsid w:val="003C6FE4"/>
    <w:rsid w:val="003C76C8"/>
    <w:rsid w:val="003D056B"/>
    <w:rsid w:val="003D1B6B"/>
    <w:rsid w:val="003D27FA"/>
    <w:rsid w:val="003D312C"/>
    <w:rsid w:val="003D32FE"/>
    <w:rsid w:val="003D3A04"/>
    <w:rsid w:val="003D3F2E"/>
    <w:rsid w:val="003D503B"/>
    <w:rsid w:val="003D5697"/>
    <w:rsid w:val="003D740C"/>
    <w:rsid w:val="003D7FCA"/>
    <w:rsid w:val="003E0B8A"/>
    <w:rsid w:val="003E1157"/>
    <w:rsid w:val="003E137A"/>
    <w:rsid w:val="003E2202"/>
    <w:rsid w:val="003E256B"/>
    <w:rsid w:val="003E263C"/>
    <w:rsid w:val="003E32B1"/>
    <w:rsid w:val="003E48AE"/>
    <w:rsid w:val="003E4AF0"/>
    <w:rsid w:val="003E51DE"/>
    <w:rsid w:val="003E6C7D"/>
    <w:rsid w:val="003E72FB"/>
    <w:rsid w:val="003E7896"/>
    <w:rsid w:val="003F054F"/>
    <w:rsid w:val="003F05E8"/>
    <w:rsid w:val="003F0DFB"/>
    <w:rsid w:val="003F0E51"/>
    <w:rsid w:val="003F1010"/>
    <w:rsid w:val="003F101D"/>
    <w:rsid w:val="003F17D9"/>
    <w:rsid w:val="003F1FB5"/>
    <w:rsid w:val="003F29D5"/>
    <w:rsid w:val="003F3667"/>
    <w:rsid w:val="003F430E"/>
    <w:rsid w:val="003F49C7"/>
    <w:rsid w:val="003F4A78"/>
    <w:rsid w:val="003F530A"/>
    <w:rsid w:val="003F5FCF"/>
    <w:rsid w:val="003F688D"/>
    <w:rsid w:val="003F78C1"/>
    <w:rsid w:val="003F7BDD"/>
    <w:rsid w:val="003F7D16"/>
    <w:rsid w:val="00400B28"/>
    <w:rsid w:val="00402092"/>
    <w:rsid w:val="00402C12"/>
    <w:rsid w:val="00403864"/>
    <w:rsid w:val="00403941"/>
    <w:rsid w:val="0040406F"/>
    <w:rsid w:val="00404C89"/>
    <w:rsid w:val="00407D70"/>
    <w:rsid w:val="004103FB"/>
    <w:rsid w:val="0041178B"/>
    <w:rsid w:val="00411F19"/>
    <w:rsid w:val="0041384D"/>
    <w:rsid w:val="0041427F"/>
    <w:rsid w:val="00414503"/>
    <w:rsid w:val="004153BF"/>
    <w:rsid w:val="00415C5E"/>
    <w:rsid w:val="0041672C"/>
    <w:rsid w:val="00416BE0"/>
    <w:rsid w:val="004172B6"/>
    <w:rsid w:val="00417EFE"/>
    <w:rsid w:val="00417F50"/>
    <w:rsid w:val="00420275"/>
    <w:rsid w:val="004210F7"/>
    <w:rsid w:val="00421331"/>
    <w:rsid w:val="004227E9"/>
    <w:rsid w:val="004229EE"/>
    <w:rsid w:val="00425BCE"/>
    <w:rsid w:val="00427A25"/>
    <w:rsid w:val="00427DCD"/>
    <w:rsid w:val="0043094C"/>
    <w:rsid w:val="00431796"/>
    <w:rsid w:val="00431B97"/>
    <w:rsid w:val="00431F42"/>
    <w:rsid w:val="00432679"/>
    <w:rsid w:val="00432D4C"/>
    <w:rsid w:val="00432F71"/>
    <w:rsid w:val="004339B0"/>
    <w:rsid w:val="00435725"/>
    <w:rsid w:val="0043589D"/>
    <w:rsid w:val="00435A10"/>
    <w:rsid w:val="004360E8"/>
    <w:rsid w:val="004366BF"/>
    <w:rsid w:val="0043706B"/>
    <w:rsid w:val="0043753E"/>
    <w:rsid w:val="00440AE2"/>
    <w:rsid w:val="00440B94"/>
    <w:rsid w:val="004415CF"/>
    <w:rsid w:val="0044180E"/>
    <w:rsid w:val="004418DD"/>
    <w:rsid w:val="00442915"/>
    <w:rsid w:val="0044311B"/>
    <w:rsid w:val="004432C0"/>
    <w:rsid w:val="0044358B"/>
    <w:rsid w:val="00444430"/>
    <w:rsid w:val="00444E15"/>
    <w:rsid w:val="00445757"/>
    <w:rsid w:val="004464C2"/>
    <w:rsid w:val="00446A91"/>
    <w:rsid w:val="004509E5"/>
    <w:rsid w:val="0045214E"/>
    <w:rsid w:val="00453454"/>
    <w:rsid w:val="004537A8"/>
    <w:rsid w:val="00454491"/>
    <w:rsid w:val="00454C15"/>
    <w:rsid w:val="0045500E"/>
    <w:rsid w:val="00455DCF"/>
    <w:rsid w:val="00455FD8"/>
    <w:rsid w:val="00456CA0"/>
    <w:rsid w:val="00457391"/>
    <w:rsid w:val="0045752B"/>
    <w:rsid w:val="0045781F"/>
    <w:rsid w:val="00461332"/>
    <w:rsid w:val="00461B78"/>
    <w:rsid w:val="0046213C"/>
    <w:rsid w:val="00462B5E"/>
    <w:rsid w:val="00462D20"/>
    <w:rsid w:val="00464B87"/>
    <w:rsid w:val="004652E9"/>
    <w:rsid w:val="00466052"/>
    <w:rsid w:val="00466580"/>
    <w:rsid w:val="0046666A"/>
    <w:rsid w:val="00466DA0"/>
    <w:rsid w:val="0046766D"/>
    <w:rsid w:val="004677D2"/>
    <w:rsid w:val="0046787D"/>
    <w:rsid w:val="004704CC"/>
    <w:rsid w:val="004704FA"/>
    <w:rsid w:val="00470757"/>
    <w:rsid w:val="00471713"/>
    <w:rsid w:val="00472469"/>
    <w:rsid w:val="00472661"/>
    <w:rsid w:val="00472799"/>
    <w:rsid w:val="00474DB8"/>
    <w:rsid w:val="004754B8"/>
    <w:rsid w:val="00475C3E"/>
    <w:rsid w:val="004764C6"/>
    <w:rsid w:val="00477B66"/>
    <w:rsid w:val="004815CF"/>
    <w:rsid w:val="00481AE2"/>
    <w:rsid w:val="00483360"/>
    <w:rsid w:val="00483EBF"/>
    <w:rsid w:val="00483FB8"/>
    <w:rsid w:val="00485993"/>
    <w:rsid w:val="004859B7"/>
    <w:rsid w:val="00486936"/>
    <w:rsid w:val="00486F00"/>
    <w:rsid w:val="00486FB9"/>
    <w:rsid w:val="00487AE9"/>
    <w:rsid w:val="0049048D"/>
    <w:rsid w:val="00490A2D"/>
    <w:rsid w:val="00490A8B"/>
    <w:rsid w:val="00490E2C"/>
    <w:rsid w:val="00490EBA"/>
    <w:rsid w:val="004920D2"/>
    <w:rsid w:val="00492719"/>
    <w:rsid w:val="00492961"/>
    <w:rsid w:val="00492B35"/>
    <w:rsid w:val="00492E10"/>
    <w:rsid w:val="004933EA"/>
    <w:rsid w:val="004944DD"/>
    <w:rsid w:val="00495FEE"/>
    <w:rsid w:val="004964A2"/>
    <w:rsid w:val="004965AF"/>
    <w:rsid w:val="0049755B"/>
    <w:rsid w:val="00497DD7"/>
    <w:rsid w:val="004A22D5"/>
    <w:rsid w:val="004A4567"/>
    <w:rsid w:val="004A47CD"/>
    <w:rsid w:val="004A7A5E"/>
    <w:rsid w:val="004A7F7A"/>
    <w:rsid w:val="004B0766"/>
    <w:rsid w:val="004B180B"/>
    <w:rsid w:val="004B192C"/>
    <w:rsid w:val="004B19C8"/>
    <w:rsid w:val="004B2AD2"/>
    <w:rsid w:val="004B3BD9"/>
    <w:rsid w:val="004B3C7B"/>
    <w:rsid w:val="004B3DDD"/>
    <w:rsid w:val="004B422A"/>
    <w:rsid w:val="004B5B05"/>
    <w:rsid w:val="004C0312"/>
    <w:rsid w:val="004C170F"/>
    <w:rsid w:val="004C1CD2"/>
    <w:rsid w:val="004C212A"/>
    <w:rsid w:val="004C2DC3"/>
    <w:rsid w:val="004C3EB8"/>
    <w:rsid w:val="004C4C3F"/>
    <w:rsid w:val="004C4E7F"/>
    <w:rsid w:val="004C69C3"/>
    <w:rsid w:val="004C73FA"/>
    <w:rsid w:val="004C7822"/>
    <w:rsid w:val="004D0B6C"/>
    <w:rsid w:val="004D18DC"/>
    <w:rsid w:val="004D235A"/>
    <w:rsid w:val="004D2DD2"/>
    <w:rsid w:val="004D3A2E"/>
    <w:rsid w:val="004D3BBC"/>
    <w:rsid w:val="004D420A"/>
    <w:rsid w:val="004D67F3"/>
    <w:rsid w:val="004D706E"/>
    <w:rsid w:val="004D70CC"/>
    <w:rsid w:val="004D72F6"/>
    <w:rsid w:val="004E00CB"/>
    <w:rsid w:val="004E054E"/>
    <w:rsid w:val="004E0699"/>
    <w:rsid w:val="004E0745"/>
    <w:rsid w:val="004E1206"/>
    <w:rsid w:val="004E3094"/>
    <w:rsid w:val="004E34F0"/>
    <w:rsid w:val="004E40C3"/>
    <w:rsid w:val="004E40F5"/>
    <w:rsid w:val="004E529F"/>
    <w:rsid w:val="004E55BA"/>
    <w:rsid w:val="004E65DF"/>
    <w:rsid w:val="004E7771"/>
    <w:rsid w:val="004E79B7"/>
    <w:rsid w:val="004F0770"/>
    <w:rsid w:val="004F0A50"/>
    <w:rsid w:val="004F0B78"/>
    <w:rsid w:val="004F0D47"/>
    <w:rsid w:val="004F1B00"/>
    <w:rsid w:val="004F3068"/>
    <w:rsid w:val="004F4BE0"/>
    <w:rsid w:val="004F4F22"/>
    <w:rsid w:val="004F6DC1"/>
    <w:rsid w:val="005001E9"/>
    <w:rsid w:val="00500232"/>
    <w:rsid w:val="00502640"/>
    <w:rsid w:val="00504668"/>
    <w:rsid w:val="00504F4B"/>
    <w:rsid w:val="00505C6E"/>
    <w:rsid w:val="00505F29"/>
    <w:rsid w:val="00506440"/>
    <w:rsid w:val="0050688E"/>
    <w:rsid w:val="00506A2C"/>
    <w:rsid w:val="00506F26"/>
    <w:rsid w:val="00510CF8"/>
    <w:rsid w:val="00511737"/>
    <w:rsid w:val="00511C0A"/>
    <w:rsid w:val="00511D1D"/>
    <w:rsid w:val="00511F46"/>
    <w:rsid w:val="005127EC"/>
    <w:rsid w:val="005128A5"/>
    <w:rsid w:val="00512920"/>
    <w:rsid w:val="00512DD5"/>
    <w:rsid w:val="0051326E"/>
    <w:rsid w:val="0051426E"/>
    <w:rsid w:val="0051469C"/>
    <w:rsid w:val="00514FAC"/>
    <w:rsid w:val="00515E21"/>
    <w:rsid w:val="00516B99"/>
    <w:rsid w:val="00516DB8"/>
    <w:rsid w:val="00516E85"/>
    <w:rsid w:val="00517511"/>
    <w:rsid w:val="00517B8E"/>
    <w:rsid w:val="005204D2"/>
    <w:rsid w:val="00521F1B"/>
    <w:rsid w:val="00522988"/>
    <w:rsid w:val="00522AE2"/>
    <w:rsid w:val="005236F0"/>
    <w:rsid w:val="00523BC1"/>
    <w:rsid w:val="00523C1F"/>
    <w:rsid w:val="00523FB6"/>
    <w:rsid w:val="00524023"/>
    <w:rsid w:val="005244C2"/>
    <w:rsid w:val="005246AE"/>
    <w:rsid w:val="00524A82"/>
    <w:rsid w:val="00525347"/>
    <w:rsid w:val="00525AFF"/>
    <w:rsid w:val="00525C65"/>
    <w:rsid w:val="00526227"/>
    <w:rsid w:val="00526721"/>
    <w:rsid w:val="00526BE6"/>
    <w:rsid w:val="005275C3"/>
    <w:rsid w:val="00531599"/>
    <w:rsid w:val="00531C70"/>
    <w:rsid w:val="0053282C"/>
    <w:rsid w:val="0053478B"/>
    <w:rsid w:val="00534E53"/>
    <w:rsid w:val="00535ED5"/>
    <w:rsid w:val="005363B4"/>
    <w:rsid w:val="00536E7A"/>
    <w:rsid w:val="005374D1"/>
    <w:rsid w:val="0054052F"/>
    <w:rsid w:val="00540B81"/>
    <w:rsid w:val="00542BB8"/>
    <w:rsid w:val="005435B3"/>
    <w:rsid w:val="00544A84"/>
    <w:rsid w:val="005450D6"/>
    <w:rsid w:val="005455E1"/>
    <w:rsid w:val="00546CA0"/>
    <w:rsid w:val="00547613"/>
    <w:rsid w:val="00547F7C"/>
    <w:rsid w:val="00550190"/>
    <w:rsid w:val="00550274"/>
    <w:rsid w:val="005502BD"/>
    <w:rsid w:val="00554E79"/>
    <w:rsid w:val="00556787"/>
    <w:rsid w:val="005572E4"/>
    <w:rsid w:val="00557664"/>
    <w:rsid w:val="00561275"/>
    <w:rsid w:val="00563435"/>
    <w:rsid w:val="005639D0"/>
    <w:rsid w:val="0056404F"/>
    <w:rsid w:val="00565483"/>
    <w:rsid w:val="0056563F"/>
    <w:rsid w:val="00565B9D"/>
    <w:rsid w:val="005673C5"/>
    <w:rsid w:val="0057049A"/>
    <w:rsid w:val="00570528"/>
    <w:rsid w:val="005714DC"/>
    <w:rsid w:val="0057167A"/>
    <w:rsid w:val="00571983"/>
    <w:rsid w:val="00571B7E"/>
    <w:rsid w:val="00572455"/>
    <w:rsid w:val="00572CD1"/>
    <w:rsid w:val="0057311D"/>
    <w:rsid w:val="005735FB"/>
    <w:rsid w:val="00573D54"/>
    <w:rsid w:val="005743FD"/>
    <w:rsid w:val="0057483A"/>
    <w:rsid w:val="00574994"/>
    <w:rsid w:val="0057503F"/>
    <w:rsid w:val="005764A4"/>
    <w:rsid w:val="00577FF9"/>
    <w:rsid w:val="0058015F"/>
    <w:rsid w:val="00581BA3"/>
    <w:rsid w:val="00581E2F"/>
    <w:rsid w:val="00582340"/>
    <w:rsid w:val="00584514"/>
    <w:rsid w:val="005850B9"/>
    <w:rsid w:val="00586F5A"/>
    <w:rsid w:val="00587C8B"/>
    <w:rsid w:val="005912C5"/>
    <w:rsid w:val="005915FD"/>
    <w:rsid w:val="005916BE"/>
    <w:rsid w:val="00591896"/>
    <w:rsid w:val="00592842"/>
    <w:rsid w:val="00592BFD"/>
    <w:rsid w:val="00594B7A"/>
    <w:rsid w:val="00596B93"/>
    <w:rsid w:val="00596F5B"/>
    <w:rsid w:val="00597454"/>
    <w:rsid w:val="0059791D"/>
    <w:rsid w:val="005A070E"/>
    <w:rsid w:val="005A1B65"/>
    <w:rsid w:val="005A21BF"/>
    <w:rsid w:val="005A2B62"/>
    <w:rsid w:val="005A3A9C"/>
    <w:rsid w:val="005A3EBE"/>
    <w:rsid w:val="005A3EDA"/>
    <w:rsid w:val="005A3F91"/>
    <w:rsid w:val="005A422D"/>
    <w:rsid w:val="005A4CD2"/>
    <w:rsid w:val="005A5380"/>
    <w:rsid w:val="005A5B23"/>
    <w:rsid w:val="005A5B95"/>
    <w:rsid w:val="005A633A"/>
    <w:rsid w:val="005A6A67"/>
    <w:rsid w:val="005A6FD5"/>
    <w:rsid w:val="005B2FB3"/>
    <w:rsid w:val="005B4745"/>
    <w:rsid w:val="005B4855"/>
    <w:rsid w:val="005B5172"/>
    <w:rsid w:val="005B6060"/>
    <w:rsid w:val="005B681A"/>
    <w:rsid w:val="005B6FDF"/>
    <w:rsid w:val="005C05F3"/>
    <w:rsid w:val="005C0ACF"/>
    <w:rsid w:val="005C1531"/>
    <w:rsid w:val="005C1B97"/>
    <w:rsid w:val="005C2560"/>
    <w:rsid w:val="005C2BC8"/>
    <w:rsid w:val="005C57F7"/>
    <w:rsid w:val="005C59FD"/>
    <w:rsid w:val="005C65DB"/>
    <w:rsid w:val="005C6D8D"/>
    <w:rsid w:val="005C7301"/>
    <w:rsid w:val="005C7B07"/>
    <w:rsid w:val="005C7FBF"/>
    <w:rsid w:val="005D00DE"/>
    <w:rsid w:val="005D06ED"/>
    <w:rsid w:val="005D099B"/>
    <w:rsid w:val="005D0BCB"/>
    <w:rsid w:val="005D123A"/>
    <w:rsid w:val="005D190F"/>
    <w:rsid w:val="005D23FD"/>
    <w:rsid w:val="005D34C1"/>
    <w:rsid w:val="005D589C"/>
    <w:rsid w:val="005D6655"/>
    <w:rsid w:val="005D680E"/>
    <w:rsid w:val="005D6C60"/>
    <w:rsid w:val="005D6DC8"/>
    <w:rsid w:val="005D788E"/>
    <w:rsid w:val="005D7A03"/>
    <w:rsid w:val="005E0486"/>
    <w:rsid w:val="005E123D"/>
    <w:rsid w:val="005E1928"/>
    <w:rsid w:val="005E2A1B"/>
    <w:rsid w:val="005E3286"/>
    <w:rsid w:val="005E33C5"/>
    <w:rsid w:val="005E3970"/>
    <w:rsid w:val="005E404D"/>
    <w:rsid w:val="005E42BC"/>
    <w:rsid w:val="005E5236"/>
    <w:rsid w:val="005E52D0"/>
    <w:rsid w:val="005E58EE"/>
    <w:rsid w:val="005E6489"/>
    <w:rsid w:val="005F09D1"/>
    <w:rsid w:val="005F1929"/>
    <w:rsid w:val="005F2D90"/>
    <w:rsid w:val="005F2F56"/>
    <w:rsid w:val="005F435B"/>
    <w:rsid w:val="005F4BFB"/>
    <w:rsid w:val="005F52DA"/>
    <w:rsid w:val="005F5645"/>
    <w:rsid w:val="005F5D7E"/>
    <w:rsid w:val="005F73F2"/>
    <w:rsid w:val="005F7585"/>
    <w:rsid w:val="005F7613"/>
    <w:rsid w:val="005F790F"/>
    <w:rsid w:val="0060038B"/>
    <w:rsid w:val="0060080C"/>
    <w:rsid w:val="00600A26"/>
    <w:rsid w:val="00601EE2"/>
    <w:rsid w:val="00602B43"/>
    <w:rsid w:val="0060311B"/>
    <w:rsid w:val="00604D74"/>
    <w:rsid w:val="00604EEE"/>
    <w:rsid w:val="00605E07"/>
    <w:rsid w:val="006068EF"/>
    <w:rsid w:val="00606D98"/>
    <w:rsid w:val="00611088"/>
    <w:rsid w:val="00611480"/>
    <w:rsid w:val="00611D3B"/>
    <w:rsid w:val="006121C8"/>
    <w:rsid w:val="00612E09"/>
    <w:rsid w:val="006136BE"/>
    <w:rsid w:val="00613EBC"/>
    <w:rsid w:val="00615485"/>
    <w:rsid w:val="00616077"/>
    <w:rsid w:val="006166E7"/>
    <w:rsid w:val="00620D4A"/>
    <w:rsid w:val="00621116"/>
    <w:rsid w:val="00621F4B"/>
    <w:rsid w:val="006227F3"/>
    <w:rsid w:val="00622F9C"/>
    <w:rsid w:val="00624914"/>
    <w:rsid w:val="00624B24"/>
    <w:rsid w:val="0062616A"/>
    <w:rsid w:val="0063084F"/>
    <w:rsid w:val="006322ED"/>
    <w:rsid w:val="00632F9A"/>
    <w:rsid w:val="006331DC"/>
    <w:rsid w:val="0063354D"/>
    <w:rsid w:val="00634492"/>
    <w:rsid w:val="00636054"/>
    <w:rsid w:val="00636E78"/>
    <w:rsid w:val="0063797D"/>
    <w:rsid w:val="00640147"/>
    <w:rsid w:val="006409BE"/>
    <w:rsid w:val="00640D10"/>
    <w:rsid w:val="0064205D"/>
    <w:rsid w:val="00642192"/>
    <w:rsid w:val="00642501"/>
    <w:rsid w:val="006425CD"/>
    <w:rsid w:val="00643039"/>
    <w:rsid w:val="006440C7"/>
    <w:rsid w:val="00644E7A"/>
    <w:rsid w:val="00644ECF"/>
    <w:rsid w:val="0064574A"/>
    <w:rsid w:val="00645B69"/>
    <w:rsid w:val="00645E64"/>
    <w:rsid w:val="00646399"/>
    <w:rsid w:val="00646A5F"/>
    <w:rsid w:val="00646EC8"/>
    <w:rsid w:val="006504E4"/>
    <w:rsid w:val="00650905"/>
    <w:rsid w:val="00650C6C"/>
    <w:rsid w:val="00650F87"/>
    <w:rsid w:val="00651347"/>
    <w:rsid w:val="00651FB0"/>
    <w:rsid w:val="00652FE6"/>
    <w:rsid w:val="00653936"/>
    <w:rsid w:val="00654832"/>
    <w:rsid w:val="00654EA8"/>
    <w:rsid w:val="00655668"/>
    <w:rsid w:val="00655CC3"/>
    <w:rsid w:val="00656006"/>
    <w:rsid w:val="006561EC"/>
    <w:rsid w:val="00656276"/>
    <w:rsid w:val="006568B8"/>
    <w:rsid w:val="006569D7"/>
    <w:rsid w:val="006570FA"/>
    <w:rsid w:val="006603C3"/>
    <w:rsid w:val="00661FE6"/>
    <w:rsid w:val="0066370F"/>
    <w:rsid w:val="00663CD2"/>
    <w:rsid w:val="0066450A"/>
    <w:rsid w:val="006645D8"/>
    <w:rsid w:val="0066465A"/>
    <w:rsid w:val="00665555"/>
    <w:rsid w:val="00665A0A"/>
    <w:rsid w:val="00665F37"/>
    <w:rsid w:val="006665FB"/>
    <w:rsid w:val="006675D4"/>
    <w:rsid w:val="0066782F"/>
    <w:rsid w:val="006701DF"/>
    <w:rsid w:val="00670468"/>
    <w:rsid w:val="006705FB"/>
    <w:rsid w:val="00670DE3"/>
    <w:rsid w:val="00671050"/>
    <w:rsid w:val="00671DDE"/>
    <w:rsid w:val="00671E20"/>
    <w:rsid w:val="006720BD"/>
    <w:rsid w:val="0067280B"/>
    <w:rsid w:val="00672E04"/>
    <w:rsid w:val="00673750"/>
    <w:rsid w:val="00673B51"/>
    <w:rsid w:val="006754C5"/>
    <w:rsid w:val="00675507"/>
    <w:rsid w:val="00675815"/>
    <w:rsid w:val="0067654B"/>
    <w:rsid w:val="00676718"/>
    <w:rsid w:val="006770CD"/>
    <w:rsid w:val="0067725F"/>
    <w:rsid w:val="00677CB4"/>
    <w:rsid w:val="00677D23"/>
    <w:rsid w:val="006814CA"/>
    <w:rsid w:val="00681AE3"/>
    <w:rsid w:val="0068260C"/>
    <w:rsid w:val="0068336F"/>
    <w:rsid w:val="00684128"/>
    <w:rsid w:val="00684E47"/>
    <w:rsid w:val="00685138"/>
    <w:rsid w:val="00685DBF"/>
    <w:rsid w:val="00686118"/>
    <w:rsid w:val="006867B7"/>
    <w:rsid w:val="00687A53"/>
    <w:rsid w:val="006905BB"/>
    <w:rsid w:val="00691285"/>
    <w:rsid w:val="00691F19"/>
    <w:rsid w:val="00691F5B"/>
    <w:rsid w:val="0069230D"/>
    <w:rsid w:val="0069259D"/>
    <w:rsid w:val="00692FD8"/>
    <w:rsid w:val="006940C5"/>
    <w:rsid w:val="006954C2"/>
    <w:rsid w:val="006963F6"/>
    <w:rsid w:val="00697B7B"/>
    <w:rsid w:val="006A01AC"/>
    <w:rsid w:val="006A0F0D"/>
    <w:rsid w:val="006A1513"/>
    <w:rsid w:val="006A1A61"/>
    <w:rsid w:val="006A1A70"/>
    <w:rsid w:val="006A264F"/>
    <w:rsid w:val="006A33B2"/>
    <w:rsid w:val="006A4C75"/>
    <w:rsid w:val="006A5250"/>
    <w:rsid w:val="006A6B7D"/>
    <w:rsid w:val="006A7831"/>
    <w:rsid w:val="006A78CC"/>
    <w:rsid w:val="006B02FB"/>
    <w:rsid w:val="006B0508"/>
    <w:rsid w:val="006B0AA0"/>
    <w:rsid w:val="006B1CD1"/>
    <w:rsid w:val="006B2936"/>
    <w:rsid w:val="006B2E3B"/>
    <w:rsid w:val="006B2E4B"/>
    <w:rsid w:val="006B3295"/>
    <w:rsid w:val="006B4821"/>
    <w:rsid w:val="006B5692"/>
    <w:rsid w:val="006B578A"/>
    <w:rsid w:val="006B5ADD"/>
    <w:rsid w:val="006B60B5"/>
    <w:rsid w:val="006B696A"/>
    <w:rsid w:val="006B76C5"/>
    <w:rsid w:val="006B76CC"/>
    <w:rsid w:val="006B7788"/>
    <w:rsid w:val="006C0001"/>
    <w:rsid w:val="006C01C8"/>
    <w:rsid w:val="006C099D"/>
    <w:rsid w:val="006C1A62"/>
    <w:rsid w:val="006C200A"/>
    <w:rsid w:val="006C2FBC"/>
    <w:rsid w:val="006C3448"/>
    <w:rsid w:val="006C48D7"/>
    <w:rsid w:val="006C544F"/>
    <w:rsid w:val="006C6854"/>
    <w:rsid w:val="006C68D8"/>
    <w:rsid w:val="006D04EF"/>
    <w:rsid w:val="006D05FB"/>
    <w:rsid w:val="006D0A14"/>
    <w:rsid w:val="006D0B7B"/>
    <w:rsid w:val="006D0C1A"/>
    <w:rsid w:val="006D0CE8"/>
    <w:rsid w:val="006D12E1"/>
    <w:rsid w:val="006D1ABD"/>
    <w:rsid w:val="006D1D29"/>
    <w:rsid w:val="006D2342"/>
    <w:rsid w:val="006D241D"/>
    <w:rsid w:val="006D309E"/>
    <w:rsid w:val="006D3BC6"/>
    <w:rsid w:val="006D3E30"/>
    <w:rsid w:val="006D3E3E"/>
    <w:rsid w:val="006D42C7"/>
    <w:rsid w:val="006D4811"/>
    <w:rsid w:val="006D5B97"/>
    <w:rsid w:val="006D5C2A"/>
    <w:rsid w:val="006D6244"/>
    <w:rsid w:val="006D7D5A"/>
    <w:rsid w:val="006E0C62"/>
    <w:rsid w:val="006E1847"/>
    <w:rsid w:val="006E1BC8"/>
    <w:rsid w:val="006E268E"/>
    <w:rsid w:val="006E2982"/>
    <w:rsid w:val="006E2ADA"/>
    <w:rsid w:val="006E2FB0"/>
    <w:rsid w:val="006E4313"/>
    <w:rsid w:val="006E480E"/>
    <w:rsid w:val="006E5591"/>
    <w:rsid w:val="006E5F34"/>
    <w:rsid w:val="006E655C"/>
    <w:rsid w:val="006E6D83"/>
    <w:rsid w:val="006E7F34"/>
    <w:rsid w:val="006F06DC"/>
    <w:rsid w:val="006F1A1E"/>
    <w:rsid w:val="006F208D"/>
    <w:rsid w:val="006F2A74"/>
    <w:rsid w:val="006F5903"/>
    <w:rsid w:val="006F6934"/>
    <w:rsid w:val="006F69B1"/>
    <w:rsid w:val="006F6F40"/>
    <w:rsid w:val="006F7E4A"/>
    <w:rsid w:val="007001CD"/>
    <w:rsid w:val="00700332"/>
    <w:rsid w:val="00700944"/>
    <w:rsid w:val="00700BB8"/>
    <w:rsid w:val="00701313"/>
    <w:rsid w:val="00703D76"/>
    <w:rsid w:val="0070452A"/>
    <w:rsid w:val="0070455B"/>
    <w:rsid w:val="00704E8F"/>
    <w:rsid w:val="00705F8B"/>
    <w:rsid w:val="00706101"/>
    <w:rsid w:val="00706FA2"/>
    <w:rsid w:val="0070716E"/>
    <w:rsid w:val="007071DE"/>
    <w:rsid w:val="007071EA"/>
    <w:rsid w:val="007102D2"/>
    <w:rsid w:val="007103F0"/>
    <w:rsid w:val="0071132D"/>
    <w:rsid w:val="007115CC"/>
    <w:rsid w:val="00711D37"/>
    <w:rsid w:val="0071212E"/>
    <w:rsid w:val="0071215D"/>
    <w:rsid w:val="0071301E"/>
    <w:rsid w:val="00713948"/>
    <w:rsid w:val="00713CCB"/>
    <w:rsid w:val="00713E60"/>
    <w:rsid w:val="007152C6"/>
    <w:rsid w:val="007154BE"/>
    <w:rsid w:val="00715776"/>
    <w:rsid w:val="00715EBB"/>
    <w:rsid w:val="0071712B"/>
    <w:rsid w:val="00720EB6"/>
    <w:rsid w:val="00721746"/>
    <w:rsid w:val="0072365B"/>
    <w:rsid w:val="00724951"/>
    <w:rsid w:val="00724D3F"/>
    <w:rsid w:val="007251F4"/>
    <w:rsid w:val="00726BFE"/>
    <w:rsid w:val="00727291"/>
    <w:rsid w:val="0073036E"/>
    <w:rsid w:val="00730EA9"/>
    <w:rsid w:val="00731ACB"/>
    <w:rsid w:val="00731B1D"/>
    <w:rsid w:val="00731C26"/>
    <w:rsid w:val="0073350F"/>
    <w:rsid w:val="007345DF"/>
    <w:rsid w:val="00735F01"/>
    <w:rsid w:val="00735FD5"/>
    <w:rsid w:val="007360C4"/>
    <w:rsid w:val="0073651B"/>
    <w:rsid w:val="00736C5F"/>
    <w:rsid w:val="00736E94"/>
    <w:rsid w:val="0073784E"/>
    <w:rsid w:val="00737B2B"/>
    <w:rsid w:val="00737EA9"/>
    <w:rsid w:val="0074001E"/>
    <w:rsid w:val="00740E39"/>
    <w:rsid w:val="007416E0"/>
    <w:rsid w:val="00741913"/>
    <w:rsid w:val="00741F6A"/>
    <w:rsid w:val="00743A4A"/>
    <w:rsid w:val="00743C12"/>
    <w:rsid w:val="00743D08"/>
    <w:rsid w:val="007440E4"/>
    <w:rsid w:val="00744497"/>
    <w:rsid w:val="00744B23"/>
    <w:rsid w:val="00744E89"/>
    <w:rsid w:val="007450A1"/>
    <w:rsid w:val="007456B6"/>
    <w:rsid w:val="0074664B"/>
    <w:rsid w:val="00746805"/>
    <w:rsid w:val="007471A1"/>
    <w:rsid w:val="00747326"/>
    <w:rsid w:val="00747C42"/>
    <w:rsid w:val="0075083B"/>
    <w:rsid w:val="007509D8"/>
    <w:rsid w:val="007510C9"/>
    <w:rsid w:val="00751434"/>
    <w:rsid w:val="00752DD4"/>
    <w:rsid w:val="007530BA"/>
    <w:rsid w:val="007536DB"/>
    <w:rsid w:val="00753A27"/>
    <w:rsid w:val="00753E37"/>
    <w:rsid w:val="00754BA5"/>
    <w:rsid w:val="00756447"/>
    <w:rsid w:val="00756E71"/>
    <w:rsid w:val="00757850"/>
    <w:rsid w:val="007605BD"/>
    <w:rsid w:val="00761CD6"/>
    <w:rsid w:val="007630DA"/>
    <w:rsid w:val="007633AA"/>
    <w:rsid w:val="00764369"/>
    <w:rsid w:val="00765752"/>
    <w:rsid w:val="00766B6C"/>
    <w:rsid w:val="00767B8B"/>
    <w:rsid w:val="00770106"/>
    <w:rsid w:val="007701C7"/>
    <w:rsid w:val="00770437"/>
    <w:rsid w:val="00770C11"/>
    <w:rsid w:val="0077125A"/>
    <w:rsid w:val="00771BAC"/>
    <w:rsid w:val="00772382"/>
    <w:rsid w:val="00773329"/>
    <w:rsid w:val="00773791"/>
    <w:rsid w:val="00773D1F"/>
    <w:rsid w:val="007742BF"/>
    <w:rsid w:val="007751E0"/>
    <w:rsid w:val="007758E6"/>
    <w:rsid w:val="00776773"/>
    <w:rsid w:val="0077698F"/>
    <w:rsid w:val="00776F65"/>
    <w:rsid w:val="00776F90"/>
    <w:rsid w:val="00777579"/>
    <w:rsid w:val="00777659"/>
    <w:rsid w:val="00777F7F"/>
    <w:rsid w:val="00780496"/>
    <w:rsid w:val="007805B3"/>
    <w:rsid w:val="0078201F"/>
    <w:rsid w:val="007836FA"/>
    <w:rsid w:val="00783B0B"/>
    <w:rsid w:val="00783DA0"/>
    <w:rsid w:val="007848B9"/>
    <w:rsid w:val="00786DC1"/>
    <w:rsid w:val="007878A9"/>
    <w:rsid w:val="00790211"/>
    <w:rsid w:val="00790291"/>
    <w:rsid w:val="007904E8"/>
    <w:rsid w:val="007911B0"/>
    <w:rsid w:val="00791526"/>
    <w:rsid w:val="00791A37"/>
    <w:rsid w:val="007923CF"/>
    <w:rsid w:val="00792771"/>
    <w:rsid w:val="0079342A"/>
    <w:rsid w:val="00793768"/>
    <w:rsid w:val="007937EC"/>
    <w:rsid w:val="0079388F"/>
    <w:rsid w:val="0079410C"/>
    <w:rsid w:val="00795BA7"/>
    <w:rsid w:val="00797706"/>
    <w:rsid w:val="0079792C"/>
    <w:rsid w:val="007A0FA8"/>
    <w:rsid w:val="007A14B5"/>
    <w:rsid w:val="007A190D"/>
    <w:rsid w:val="007A2691"/>
    <w:rsid w:val="007A37B0"/>
    <w:rsid w:val="007A3A9B"/>
    <w:rsid w:val="007A427B"/>
    <w:rsid w:val="007A498D"/>
    <w:rsid w:val="007A5350"/>
    <w:rsid w:val="007A5C0B"/>
    <w:rsid w:val="007A6C8D"/>
    <w:rsid w:val="007A6D77"/>
    <w:rsid w:val="007A6E78"/>
    <w:rsid w:val="007A77FF"/>
    <w:rsid w:val="007A7BE8"/>
    <w:rsid w:val="007A7FF6"/>
    <w:rsid w:val="007B0246"/>
    <w:rsid w:val="007B1002"/>
    <w:rsid w:val="007B11B2"/>
    <w:rsid w:val="007B31DC"/>
    <w:rsid w:val="007B3FB7"/>
    <w:rsid w:val="007B4949"/>
    <w:rsid w:val="007B5220"/>
    <w:rsid w:val="007B5A7A"/>
    <w:rsid w:val="007B7405"/>
    <w:rsid w:val="007B7636"/>
    <w:rsid w:val="007C0441"/>
    <w:rsid w:val="007C08FA"/>
    <w:rsid w:val="007C1811"/>
    <w:rsid w:val="007C18FE"/>
    <w:rsid w:val="007C2AA7"/>
    <w:rsid w:val="007C3EDA"/>
    <w:rsid w:val="007C3FCF"/>
    <w:rsid w:val="007C42DC"/>
    <w:rsid w:val="007C5FC9"/>
    <w:rsid w:val="007C62F0"/>
    <w:rsid w:val="007C64C7"/>
    <w:rsid w:val="007C679A"/>
    <w:rsid w:val="007C6926"/>
    <w:rsid w:val="007C69DF"/>
    <w:rsid w:val="007C6C6B"/>
    <w:rsid w:val="007C73F5"/>
    <w:rsid w:val="007C7873"/>
    <w:rsid w:val="007C78E5"/>
    <w:rsid w:val="007C7B1B"/>
    <w:rsid w:val="007C7DCE"/>
    <w:rsid w:val="007D0D68"/>
    <w:rsid w:val="007D1B04"/>
    <w:rsid w:val="007D1C3F"/>
    <w:rsid w:val="007D200D"/>
    <w:rsid w:val="007D28BC"/>
    <w:rsid w:val="007D37EC"/>
    <w:rsid w:val="007D3C0F"/>
    <w:rsid w:val="007D4A1A"/>
    <w:rsid w:val="007D5575"/>
    <w:rsid w:val="007D6151"/>
    <w:rsid w:val="007D7BB5"/>
    <w:rsid w:val="007E0783"/>
    <w:rsid w:val="007E11AA"/>
    <w:rsid w:val="007E2369"/>
    <w:rsid w:val="007E35D4"/>
    <w:rsid w:val="007E3723"/>
    <w:rsid w:val="007E3755"/>
    <w:rsid w:val="007E483B"/>
    <w:rsid w:val="007E4C41"/>
    <w:rsid w:val="007E4DF8"/>
    <w:rsid w:val="007E4E54"/>
    <w:rsid w:val="007E5387"/>
    <w:rsid w:val="007E55DE"/>
    <w:rsid w:val="007E5E81"/>
    <w:rsid w:val="007E742B"/>
    <w:rsid w:val="007E78A4"/>
    <w:rsid w:val="007E78FC"/>
    <w:rsid w:val="007E7D50"/>
    <w:rsid w:val="007E7F1C"/>
    <w:rsid w:val="007F0146"/>
    <w:rsid w:val="007F0591"/>
    <w:rsid w:val="007F0B59"/>
    <w:rsid w:val="007F0BC6"/>
    <w:rsid w:val="007F0CE9"/>
    <w:rsid w:val="007F10AF"/>
    <w:rsid w:val="007F1EEB"/>
    <w:rsid w:val="007F21CA"/>
    <w:rsid w:val="007F2912"/>
    <w:rsid w:val="007F2CB2"/>
    <w:rsid w:val="007F3205"/>
    <w:rsid w:val="007F4121"/>
    <w:rsid w:val="007F4879"/>
    <w:rsid w:val="007F4905"/>
    <w:rsid w:val="007F5A5A"/>
    <w:rsid w:val="007F5C69"/>
    <w:rsid w:val="007F5DDB"/>
    <w:rsid w:val="007F6845"/>
    <w:rsid w:val="007F6A45"/>
    <w:rsid w:val="007F7DF0"/>
    <w:rsid w:val="007F7FAA"/>
    <w:rsid w:val="0080042C"/>
    <w:rsid w:val="0080044E"/>
    <w:rsid w:val="008004D6"/>
    <w:rsid w:val="008008D6"/>
    <w:rsid w:val="00803B62"/>
    <w:rsid w:val="00804BBC"/>
    <w:rsid w:val="008058B8"/>
    <w:rsid w:val="008071A1"/>
    <w:rsid w:val="008108F2"/>
    <w:rsid w:val="00810EB0"/>
    <w:rsid w:val="0081117C"/>
    <w:rsid w:val="00811470"/>
    <w:rsid w:val="00811ABD"/>
    <w:rsid w:val="008124B3"/>
    <w:rsid w:val="008130C1"/>
    <w:rsid w:val="00814D94"/>
    <w:rsid w:val="00814E95"/>
    <w:rsid w:val="0081548A"/>
    <w:rsid w:val="00815808"/>
    <w:rsid w:val="0081594E"/>
    <w:rsid w:val="00816950"/>
    <w:rsid w:val="008169B6"/>
    <w:rsid w:val="0081795D"/>
    <w:rsid w:val="00820379"/>
    <w:rsid w:val="008203F7"/>
    <w:rsid w:val="00822AC9"/>
    <w:rsid w:val="00822BD0"/>
    <w:rsid w:val="00822C99"/>
    <w:rsid w:val="00822FD3"/>
    <w:rsid w:val="00824075"/>
    <w:rsid w:val="00824368"/>
    <w:rsid w:val="00824D9A"/>
    <w:rsid w:val="00825F91"/>
    <w:rsid w:val="0082688C"/>
    <w:rsid w:val="0082759F"/>
    <w:rsid w:val="00827AF9"/>
    <w:rsid w:val="00827B6B"/>
    <w:rsid w:val="00827F6C"/>
    <w:rsid w:val="00830197"/>
    <w:rsid w:val="0083097F"/>
    <w:rsid w:val="00830F25"/>
    <w:rsid w:val="008311DA"/>
    <w:rsid w:val="00831374"/>
    <w:rsid w:val="008326FD"/>
    <w:rsid w:val="00832BF6"/>
    <w:rsid w:val="00833A4C"/>
    <w:rsid w:val="008355E8"/>
    <w:rsid w:val="00837090"/>
    <w:rsid w:val="008371C4"/>
    <w:rsid w:val="00840A0B"/>
    <w:rsid w:val="008410E9"/>
    <w:rsid w:val="008413A4"/>
    <w:rsid w:val="00842F89"/>
    <w:rsid w:val="0084313E"/>
    <w:rsid w:val="00843473"/>
    <w:rsid w:val="00843B6A"/>
    <w:rsid w:val="00843EEE"/>
    <w:rsid w:val="008449C4"/>
    <w:rsid w:val="0084562D"/>
    <w:rsid w:val="00845BA2"/>
    <w:rsid w:val="00846196"/>
    <w:rsid w:val="00846DCD"/>
    <w:rsid w:val="00846F11"/>
    <w:rsid w:val="008479C8"/>
    <w:rsid w:val="00850CD3"/>
    <w:rsid w:val="008511C0"/>
    <w:rsid w:val="0085166F"/>
    <w:rsid w:val="00851BB3"/>
    <w:rsid w:val="008528D7"/>
    <w:rsid w:val="00853BB3"/>
    <w:rsid w:val="00855961"/>
    <w:rsid w:val="00857580"/>
    <w:rsid w:val="00860484"/>
    <w:rsid w:val="008610DC"/>
    <w:rsid w:val="008614ED"/>
    <w:rsid w:val="008618FC"/>
    <w:rsid w:val="00861A35"/>
    <w:rsid w:val="008622BE"/>
    <w:rsid w:val="0086282F"/>
    <w:rsid w:val="008637AB"/>
    <w:rsid w:val="00864B75"/>
    <w:rsid w:val="00865238"/>
    <w:rsid w:val="00865508"/>
    <w:rsid w:val="008660E3"/>
    <w:rsid w:val="0086620B"/>
    <w:rsid w:val="008664B6"/>
    <w:rsid w:val="008667BF"/>
    <w:rsid w:val="0086699E"/>
    <w:rsid w:val="008669C8"/>
    <w:rsid w:val="00867985"/>
    <w:rsid w:val="0087036E"/>
    <w:rsid w:val="00871343"/>
    <w:rsid w:val="0087161E"/>
    <w:rsid w:val="00871EEB"/>
    <w:rsid w:val="00875023"/>
    <w:rsid w:val="008755AF"/>
    <w:rsid w:val="00875B76"/>
    <w:rsid w:val="008763D5"/>
    <w:rsid w:val="008815F3"/>
    <w:rsid w:val="00881740"/>
    <w:rsid w:val="00881DA4"/>
    <w:rsid w:val="008823F4"/>
    <w:rsid w:val="008826EE"/>
    <w:rsid w:val="00882B7E"/>
    <w:rsid w:val="00882CE8"/>
    <w:rsid w:val="00882D9C"/>
    <w:rsid w:val="0088380D"/>
    <w:rsid w:val="0088394E"/>
    <w:rsid w:val="00884E30"/>
    <w:rsid w:val="00885391"/>
    <w:rsid w:val="008854F1"/>
    <w:rsid w:val="00885686"/>
    <w:rsid w:val="0088580C"/>
    <w:rsid w:val="008867D1"/>
    <w:rsid w:val="008868F5"/>
    <w:rsid w:val="00886F26"/>
    <w:rsid w:val="00887204"/>
    <w:rsid w:val="008872AC"/>
    <w:rsid w:val="00887E52"/>
    <w:rsid w:val="00890CAB"/>
    <w:rsid w:val="00890F4E"/>
    <w:rsid w:val="00891FCD"/>
    <w:rsid w:val="008925AD"/>
    <w:rsid w:val="00892C11"/>
    <w:rsid w:val="008933F2"/>
    <w:rsid w:val="00893482"/>
    <w:rsid w:val="00893E33"/>
    <w:rsid w:val="00894237"/>
    <w:rsid w:val="008944AA"/>
    <w:rsid w:val="00894D34"/>
    <w:rsid w:val="00895645"/>
    <w:rsid w:val="00895D11"/>
    <w:rsid w:val="00896C6C"/>
    <w:rsid w:val="00896DF4"/>
    <w:rsid w:val="00896E9A"/>
    <w:rsid w:val="00897F85"/>
    <w:rsid w:val="008A102B"/>
    <w:rsid w:val="008A1294"/>
    <w:rsid w:val="008A1D3E"/>
    <w:rsid w:val="008A27CF"/>
    <w:rsid w:val="008A381E"/>
    <w:rsid w:val="008A53FB"/>
    <w:rsid w:val="008A54B7"/>
    <w:rsid w:val="008A55B2"/>
    <w:rsid w:val="008A71F6"/>
    <w:rsid w:val="008B0335"/>
    <w:rsid w:val="008B039B"/>
    <w:rsid w:val="008B03F4"/>
    <w:rsid w:val="008B11C9"/>
    <w:rsid w:val="008B1934"/>
    <w:rsid w:val="008B2437"/>
    <w:rsid w:val="008B3C17"/>
    <w:rsid w:val="008B3E5A"/>
    <w:rsid w:val="008B4787"/>
    <w:rsid w:val="008B4B85"/>
    <w:rsid w:val="008B65B6"/>
    <w:rsid w:val="008B6F9A"/>
    <w:rsid w:val="008C058A"/>
    <w:rsid w:val="008C1437"/>
    <w:rsid w:val="008C1439"/>
    <w:rsid w:val="008C15A5"/>
    <w:rsid w:val="008C1C71"/>
    <w:rsid w:val="008C2649"/>
    <w:rsid w:val="008C2F9F"/>
    <w:rsid w:val="008C35D4"/>
    <w:rsid w:val="008C36E7"/>
    <w:rsid w:val="008C3704"/>
    <w:rsid w:val="008C3782"/>
    <w:rsid w:val="008C3FEA"/>
    <w:rsid w:val="008C48D1"/>
    <w:rsid w:val="008C4F16"/>
    <w:rsid w:val="008C553E"/>
    <w:rsid w:val="008C5C10"/>
    <w:rsid w:val="008C6FF5"/>
    <w:rsid w:val="008C7DAC"/>
    <w:rsid w:val="008C7EBF"/>
    <w:rsid w:val="008D01F0"/>
    <w:rsid w:val="008D1376"/>
    <w:rsid w:val="008D157E"/>
    <w:rsid w:val="008D30EB"/>
    <w:rsid w:val="008D4A32"/>
    <w:rsid w:val="008D52DC"/>
    <w:rsid w:val="008D54CD"/>
    <w:rsid w:val="008D593A"/>
    <w:rsid w:val="008D622D"/>
    <w:rsid w:val="008D6C44"/>
    <w:rsid w:val="008D795A"/>
    <w:rsid w:val="008D7BC5"/>
    <w:rsid w:val="008E0D65"/>
    <w:rsid w:val="008E13B1"/>
    <w:rsid w:val="008E1F0F"/>
    <w:rsid w:val="008E1FBB"/>
    <w:rsid w:val="008E2A9E"/>
    <w:rsid w:val="008E2ED0"/>
    <w:rsid w:val="008E40A0"/>
    <w:rsid w:val="008E50B6"/>
    <w:rsid w:val="008E5289"/>
    <w:rsid w:val="008E6CD3"/>
    <w:rsid w:val="008E7760"/>
    <w:rsid w:val="008E7C12"/>
    <w:rsid w:val="008F0EB2"/>
    <w:rsid w:val="008F0F0C"/>
    <w:rsid w:val="008F11FB"/>
    <w:rsid w:val="008F1ED4"/>
    <w:rsid w:val="008F2077"/>
    <w:rsid w:val="008F21BA"/>
    <w:rsid w:val="008F2830"/>
    <w:rsid w:val="008F29E4"/>
    <w:rsid w:val="008F33B7"/>
    <w:rsid w:val="008F3A58"/>
    <w:rsid w:val="008F6482"/>
    <w:rsid w:val="008F683C"/>
    <w:rsid w:val="008F6A4B"/>
    <w:rsid w:val="008F713C"/>
    <w:rsid w:val="008F76AB"/>
    <w:rsid w:val="008F791D"/>
    <w:rsid w:val="008F7D46"/>
    <w:rsid w:val="0090072E"/>
    <w:rsid w:val="00900963"/>
    <w:rsid w:val="009009D8"/>
    <w:rsid w:val="00900D98"/>
    <w:rsid w:val="00903BC1"/>
    <w:rsid w:val="00904748"/>
    <w:rsid w:val="00904A9B"/>
    <w:rsid w:val="00905014"/>
    <w:rsid w:val="009064B5"/>
    <w:rsid w:val="00906959"/>
    <w:rsid w:val="009077BE"/>
    <w:rsid w:val="00907AA2"/>
    <w:rsid w:val="0091005A"/>
    <w:rsid w:val="00911125"/>
    <w:rsid w:val="009113EF"/>
    <w:rsid w:val="00911699"/>
    <w:rsid w:val="0091336C"/>
    <w:rsid w:val="0091337B"/>
    <w:rsid w:val="0091394A"/>
    <w:rsid w:val="00914521"/>
    <w:rsid w:val="00914A4A"/>
    <w:rsid w:val="00915CAB"/>
    <w:rsid w:val="00916AF7"/>
    <w:rsid w:val="00917346"/>
    <w:rsid w:val="00920562"/>
    <w:rsid w:val="00920BF8"/>
    <w:rsid w:val="00922001"/>
    <w:rsid w:val="0092250B"/>
    <w:rsid w:val="00922575"/>
    <w:rsid w:val="009226B1"/>
    <w:rsid w:val="00922C17"/>
    <w:rsid w:val="00923A2A"/>
    <w:rsid w:val="00924450"/>
    <w:rsid w:val="009244C4"/>
    <w:rsid w:val="0092458C"/>
    <w:rsid w:val="00924843"/>
    <w:rsid w:val="00924BEB"/>
    <w:rsid w:val="00925430"/>
    <w:rsid w:val="00925827"/>
    <w:rsid w:val="00926396"/>
    <w:rsid w:val="009264C2"/>
    <w:rsid w:val="00927163"/>
    <w:rsid w:val="00927195"/>
    <w:rsid w:val="009271C4"/>
    <w:rsid w:val="00927A5B"/>
    <w:rsid w:val="00927F0D"/>
    <w:rsid w:val="009303FA"/>
    <w:rsid w:val="00930A93"/>
    <w:rsid w:val="009316B7"/>
    <w:rsid w:val="00931719"/>
    <w:rsid w:val="00932C79"/>
    <w:rsid w:val="00933040"/>
    <w:rsid w:val="0093341F"/>
    <w:rsid w:val="00933600"/>
    <w:rsid w:val="00934647"/>
    <w:rsid w:val="00934C88"/>
    <w:rsid w:val="00935536"/>
    <w:rsid w:val="009361D8"/>
    <w:rsid w:val="009400BA"/>
    <w:rsid w:val="0094042D"/>
    <w:rsid w:val="00940E51"/>
    <w:rsid w:val="00940F06"/>
    <w:rsid w:val="00942159"/>
    <w:rsid w:val="00942DDD"/>
    <w:rsid w:val="009433D0"/>
    <w:rsid w:val="00944868"/>
    <w:rsid w:val="0094599E"/>
    <w:rsid w:val="00945DFE"/>
    <w:rsid w:val="009468CF"/>
    <w:rsid w:val="00946E3C"/>
    <w:rsid w:val="00946F2F"/>
    <w:rsid w:val="00947689"/>
    <w:rsid w:val="009478C4"/>
    <w:rsid w:val="009505AD"/>
    <w:rsid w:val="009516A8"/>
    <w:rsid w:val="009522A3"/>
    <w:rsid w:val="0095303F"/>
    <w:rsid w:val="009531E5"/>
    <w:rsid w:val="0095390A"/>
    <w:rsid w:val="009539A6"/>
    <w:rsid w:val="0095412B"/>
    <w:rsid w:val="00955005"/>
    <w:rsid w:val="00955066"/>
    <w:rsid w:val="00956486"/>
    <w:rsid w:val="00961DAC"/>
    <w:rsid w:val="00962F27"/>
    <w:rsid w:val="009634B2"/>
    <w:rsid w:val="009636BC"/>
    <w:rsid w:val="0096406F"/>
    <w:rsid w:val="00964923"/>
    <w:rsid w:val="00966BFC"/>
    <w:rsid w:val="00966F84"/>
    <w:rsid w:val="00971C43"/>
    <w:rsid w:val="00972053"/>
    <w:rsid w:val="009721C6"/>
    <w:rsid w:val="00972A59"/>
    <w:rsid w:val="00974440"/>
    <w:rsid w:val="00974DD2"/>
    <w:rsid w:val="00975077"/>
    <w:rsid w:val="00975099"/>
    <w:rsid w:val="0097524A"/>
    <w:rsid w:val="0097524B"/>
    <w:rsid w:val="009756DD"/>
    <w:rsid w:val="00976171"/>
    <w:rsid w:val="0097705C"/>
    <w:rsid w:val="009803B0"/>
    <w:rsid w:val="00980FD2"/>
    <w:rsid w:val="00981736"/>
    <w:rsid w:val="00982402"/>
    <w:rsid w:val="009838D3"/>
    <w:rsid w:val="00983F80"/>
    <w:rsid w:val="009842B0"/>
    <w:rsid w:val="009850B6"/>
    <w:rsid w:val="00985852"/>
    <w:rsid w:val="00985A28"/>
    <w:rsid w:val="00985E61"/>
    <w:rsid w:val="00985E74"/>
    <w:rsid w:val="00987D9A"/>
    <w:rsid w:val="00990680"/>
    <w:rsid w:val="0099147A"/>
    <w:rsid w:val="009918A1"/>
    <w:rsid w:val="00992225"/>
    <w:rsid w:val="00992681"/>
    <w:rsid w:val="00993077"/>
    <w:rsid w:val="00993082"/>
    <w:rsid w:val="00995000"/>
    <w:rsid w:val="00995C19"/>
    <w:rsid w:val="00995E75"/>
    <w:rsid w:val="009965F0"/>
    <w:rsid w:val="00997838"/>
    <w:rsid w:val="009A03A8"/>
    <w:rsid w:val="009A1FC2"/>
    <w:rsid w:val="009A26BF"/>
    <w:rsid w:val="009A3368"/>
    <w:rsid w:val="009A3871"/>
    <w:rsid w:val="009A43CE"/>
    <w:rsid w:val="009A4EA9"/>
    <w:rsid w:val="009A4FBC"/>
    <w:rsid w:val="009A5642"/>
    <w:rsid w:val="009A5E16"/>
    <w:rsid w:val="009A60A0"/>
    <w:rsid w:val="009A6369"/>
    <w:rsid w:val="009A6735"/>
    <w:rsid w:val="009A68BB"/>
    <w:rsid w:val="009A68DF"/>
    <w:rsid w:val="009A78B8"/>
    <w:rsid w:val="009B0346"/>
    <w:rsid w:val="009B0D36"/>
    <w:rsid w:val="009B12B7"/>
    <w:rsid w:val="009B2031"/>
    <w:rsid w:val="009B238C"/>
    <w:rsid w:val="009B244C"/>
    <w:rsid w:val="009B265D"/>
    <w:rsid w:val="009B2879"/>
    <w:rsid w:val="009B3130"/>
    <w:rsid w:val="009B3653"/>
    <w:rsid w:val="009B49B3"/>
    <w:rsid w:val="009B4A80"/>
    <w:rsid w:val="009B4BDD"/>
    <w:rsid w:val="009B4C7A"/>
    <w:rsid w:val="009B4D1D"/>
    <w:rsid w:val="009B5202"/>
    <w:rsid w:val="009B553B"/>
    <w:rsid w:val="009B750F"/>
    <w:rsid w:val="009B7DC2"/>
    <w:rsid w:val="009C05E9"/>
    <w:rsid w:val="009C06C2"/>
    <w:rsid w:val="009C0776"/>
    <w:rsid w:val="009C0F2F"/>
    <w:rsid w:val="009C157C"/>
    <w:rsid w:val="009C2724"/>
    <w:rsid w:val="009C2E04"/>
    <w:rsid w:val="009C3417"/>
    <w:rsid w:val="009C3DD7"/>
    <w:rsid w:val="009C6C48"/>
    <w:rsid w:val="009C6C66"/>
    <w:rsid w:val="009C6F4A"/>
    <w:rsid w:val="009C767E"/>
    <w:rsid w:val="009C7C1F"/>
    <w:rsid w:val="009D0C6E"/>
    <w:rsid w:val="009D0FB3"/>
    <w:rsid w:val="009D1C81"/>
    <w:rsid w:val="009D3114"/>
    <w:rsid w:val="009D4661"/>
    <w:rsid w:val="009D5074"/>
    <w:rsid w:val="009D5651"/>
    <w:rsid w:val="009D5B6B"/>
    <w:rsid w:val="009D5F94"/>
    <w:rsid w:val="009D64ED"/>
    <w:rsid w:val="009D75D3"/>
    <w:rsid w:val="009E0727"/>
    <w:rsid w:val="009E17D1"/>
    <w:rsid w:val="009E2401"/>
    <w:rsid w:val="009E33A5"/>
    <w:rsid w:val="009E5053"/>
    <w:rsid w:val="009E6337"/>
    <w:rsid w:val="009E69B7"/>
    <w:rsid w:val="009E7FF5"/>
    <w:rsid w:val="009F0849"/>
    <w:rsid w:val="009F0953"/>
    <w:rsid w:val="009F1505"/>
    <w:rsid w:val="009F1E94"/>
    <w:rsid w:val="009F2AB0"/>
    <w:rsid w:val="009F3057"/>
    <w:rsid w:val="009F31DA"/>
    <w:rsid w:val="009F393D"/>
    <w:rsid w:val="009F4466"/>
    <w:rsid w:val="009F4B50"/>
    <w:rsid w:val="009F50CE"/>
    <w:rsid w:val="009F54FF"/>
    <w:rsid w:val="009F645C"/>
    <w:rsid w:val="009F7F46"/>
    <w:rsid w:val="00A000BF"/>
    <w:rsid w:val="00A0090B"/>
    <w:rsid w:val="00A00E31"/>
    <w:rsid w:val="00A02B0F"/>
    <w:rsid w:val="00A0587E"/>
    <w:rsid w:val="00A108C7"/>
    <w:rsid w:val="00A11DD2"/>
    <w:rsid w:val="00A140A7"/>
    <w:rsid w:val="00A1467F"/>
    <w:rsid w:val="00A156A3"/>
    <w:rsid w:val="00A15803"/>
    <w:rsid w:val="00A16125"/>
    <w:rsid w:val="00A1619F"/>
    <w:rsid w:val="00A17E05"/>
    <w:rsid w:val="00A20917"/>
    <w:rsid w:val="00A20F3D"/>
    <w:rsid w:val="00A21794"/>
    <w:rsid w:val="00A217FA"/>
    <w:rsid w:val="00A21D67"/>
    <w:rsid w:val="00A21EF6"/>
    <w:rsid w:val="00A25022"/>
    <w:rsid w:val="00A25E78"/>
    <w:rsid w:val="00A26740"/>
    <w:rsid w:val="00A26C1F"/>
    <w:rsid w:val="00A26CA6"/>
    <w:rsid w:val="00A26D0F"/>
    <w:rsid w:val="00A26E1A"/>
    <w:rsid w:val="00A275BC"/>
    <w:rsid w:val="00A30395"/>
    <w:rsid w:val="00A3087A"/>
    <w:rsid w:val="00A30EB1"/>
    <w:rsid w:val="00A318FF"/>
    <w:rsid w:val="00A31ECE"/>
    <w:rsid w:val="00A3320E"/>
    <w:rsid w:val="00A33593"/>
    <w:rsid w:val="00A337B2"/>
    <w:rsid w:val="00A34067"/>
    <w:rsid w:val="00A35CC9"/>
    <w:rsid w:val="00A361CC"/>
    <w:rsid w:val="00A370EE"/>
    <w:rsid w:val="00A37E81"/>
    <w:rsid w:val="00A37EE8"/>
    <w:rsid w:val="00A37FF8"/>
    <w:rsid w:val="00A403B1"/>
    <w:rsid w:val="00A40CFB"/>
    <w:rsid w:val="00A42191"/>
    <w:rsid w:val="00A42BBA"/>
    <w:rsid w:val="00A43021"/>
    <w:rsid w:val="00A43702"/>
    <w:rsid w:val="00A4459D"/>
    <w:rsid w:val="00A44B60"/>
    <w:rsid w:val="00A44CCA"/>
    <w:rsid w:val="00A460C3"/>
    <w:rsid w:val="00A460DF"/>
    <w:rsid w:val="00A464B4"/>
    <w:rsid w:val="00A46514"/>
    <w:rsid w:val="00A503F2"/>
    <w:rsid w:val="00A509D7"/>
    <w:rsid w:val="00A5203D"/>
    <w:rsid w:val="00A52891"/>
    <w:rsid w:val="00A52996"/>
    <w:rsid w:val="00A52BD7"/>
    <w:rsid w:val="00A535C5"/>
    <w:rsid w:val="00A53BE4"/>
    <w:rsid w:val="00A54E1B"/>
    <w:rsid w:val="00A54FE4"/>
    <w:rsid w:val="00A561CC"/>
    <w:rsid w:val="00A57960"/>
    <w:rsid w:val="00A604A2"/>
    <w:rsid w:val="00A606C7"/>
    <w:rsid w:val="00A60895"/>
    <w:rsid w:val="00A608D6"/>
    <w:rsid w:val="00A60B11"/>
    <w:rsid w:val="00A60D84"/>
    <w:rsid w:val="00A60FB3"/>
    <w:rsid w:val="00A6135C"/>
    <w:rsid w:val="00A61D9F"/>
    <w:rsid w:val="00A62175"/>
    <w:rsid w:val="00A63962"/>
    <w:rsid w:val="00A63D6B"/>
    <w:rsid w:val="00A651DD"/>
    <w:rsid w:val="00A656BF"/>
    <w:rsid w:val="00A66736"/>
    <w:rsid w:val="00A66B47"/>
    <w:rsid w:val="00A6723B"/>
    <w:rsid w:val="00A675DD"/>
    <w:rsid w:val="00A67720"/>
    <w:rsid w:val="00A67726"/>
    <w:rsid w:val="00A71351"/>
    <w:rsid w:val="00A71785"/>
    <w:rsid w:val="00A7186F"/>
    <w:rsid w:val="00A7399B"/>
    <w:rsid w:val="00A74575"/>
    <w:rsid w:val="00A745A5"/>
    <w:rsid w:val="00A75009"/>
    <w:rsid w:val="00A752FE"/>
    <w:rsid w:val="00A754ED"/>
    <w:rsid w:val="00A75988"/>
    <w:rsid w:val="00A7605F"/>
    <w:rsid w:val="00A760BC"/>
    <w:rsid w:val="00A7676C"/>
    <w:rsid w:val="00A76889"/>
    <w:rsid w:val="00A76948"/>
    <w:rsid w:val="00A77294"/>
    <w:rsid w:val="00A772BE"/>
    <w:rsid w:val="00A773ED"/>
    <w:rsid w:val="00A77559"/>
    <w:rsid w:val="00A77708"/>
    <w:rsid w:val="00A77CBD"/>
    <w:rsid w:val="00A80024"/>
    <w:rsid w:val="00A80186"/>
    <w:rsid w:val="00A80440"/>
    <w:rsid w:val="00A811D1"/>
    <w:rsid w:val="00A812C4"/>
    <w:rsid w:val="00A82653"/>
    <w:rsid w:val="00A82A11"/>
    <w:rsid w:val="00A82AE7"/>
    <w:rsid w:val="00A832E8"/>
    <w:rsid w:val="00A83601"/>
    <w:rsid w:val="00A84963"/>
    <w:rsid w:val="00A84B52"/>
    <w:rsid w:val="00A85AC1"/>
    <w:rsid w:val="00A86106"/>
    <w:rsid w:val="00A8660F"/>
    <w:rsid w:val="00A86E10"/>
    <w:rsid w:val="00A86F96"/>
    <w:rsid w:val="00A87116"/>
    <w:rsid w:val="00A872CA"/>
    <w:rsid w:val="00A87B39"/>
    <w:rsid w:val="00A9035E"/>
    <w:rsid w:val="00A90E3D"/>
    <w:rsid w:val="00A91824"/>
    <w:rsid w:val="00A91B8F"/>
    <w:rsid w:val="00A91BFA"/>
    <w:rsid w:val="00A93C8B"/>
    <w:rsid w:val="00A95BE8"/>
    <w:rsid w:val="00A95C48"/>
    <w:rsid w:val="00A96118"/>
    <w:rsid w:val="00A965CB"/>
    <w:rsid w:val="00A968A1"/>
    <w:rsid w:val="00A96DEE"/>
    <w:rsid w:val="00A971EC"/>
    <w:rsid w:val="00A9769C"/>
    <w:rsid w:val="00A9787E"/>
    <w:rsid w:val="00AA0080"/>
    <w:rsid w:val="00AA0B4D"/>
    <w:rsid w:val="00AA13DA"/>
    <w:rsid w:val="00AA17A2"/>
    <w:rsid w:val="00AA2A75"/>
    <w:rsid w:val="00AA2FFF"/>
    <w:rsid w:val="00AA3548"/>
    <w:rsid w:val="00AA3A64"/>
    <w:rsid w:val="00AA3B14"/>
    <w:rsid w:val="00AA4490"/>
    <w:rsid w:val="00AA4AA0"/>
    <w:rsid w:val="00AA4D36"/>
    <w:rsid w:val="00AA5842"/>
    <w:rsid w:val="00AA5CB1"/>
    <w:rsid w:val="00AA6172"/>
    <w:rsid w:val="00AA683E"/>
    <w:rsid w:val="00AA7056"/>
    <w:rsid w:val="00AA743A"/>
    <w:rsid w:val="00AA769C"/>
    <w:rsid w:val="00AB0477"/>
    <w:rsid w:val="00AB05C2"/>
    <w:rsid w:val="00AB12B0"/>
    <w:rsid w:val="00AB1C41"/>
    <w:rsid w:val="00AB2F50"/>
    <w:rsid w:val="00AB31C6"/>
    <w:rsid w:val="00AB3620"/>
    <w:rsid w:val="00AB43B6"/>
    <w:rsid w:val="00AB523B"/>
    <w:rsid w:val="00AB5E17"/>
    <w:rsid w:val="00AB6069"/>
    <w:rsid w:val="00AC079C"/>
    <w:rsid w:val="00AC14EC"/>
    <w:rsid w:val="00AC1999"/>
    <w:rsid w:val="00AC1EA3"/>
    <w:rsid w:val="00AC2CE3"/>
    <w:rsid w:val="00AC3B73"/>
    <w:rsid w:val="00AC4991"/>
    <w:rsid w:val="00AC5939"/>
    <w:rsid w:val="00AC5CC7"/>
    <w:rsid w:val="00AC6534"/>
    <w:rsid w:val="00AC68D6"/>
    <w:rsid w:val="00AC7276"/>
    <w:rsid w:val="00AC7519"/>
    <w:rsid w:val="00AC7F0F"/>
    <w:rsid w:val="00AD05E9"/>
    <w:rsid w:val="00AD18D6"/>
    <w:rsid w:val="00AD24B1"/>
    <w:rsid w:val="00AD26CF"/>
    <w:rsid w:val="00AD3F9F"/>
    <w:rsid w:val="00AD443B"/>
    <w:rsid w:val="00AD5567"/>
    <w:rsid w:val="00AD7117"/>
    <w:rsid w:val="00AD73FC"/>
    <w:rsid w:val="00AD79E8"/>
    <w:rsid w:val="00AD7E40"/>
    <w:rsid w:val="00AE039C"/>
    <w:rsid w:val="00AE079E"/>
    <w:rsid w:val="00AE1AE0"/>
    <w:rsid w:val="00AE53D2"/>
    <w:rsid w:val="00AE5E28"/>
    <w:rsid w:val="00AE5EDA"/>
    <w:rsid w:val="00AE6293"/>
    <w:rsid w:val="00AE67B8"/>
    <w:rsid w:val="00AE683A"/>
    <w:rsid w:val="00AE6E03"/>
    <w:rsid w:val="00AE733E"/>
    <w:rsid w:val="00AE7C11"/>
    <w:rsid w:val="00AF3364"/>
    <w:rsid w:val="00AF41A8"/>
    <w:rsid w:val="00AF431E"/>
    <w:rsid w:val="00AF460D"/>
    <w:rsid w:val="00AF4612"/>
    <w:rsid w:val="00AF4838"/>
    <w:rsid w:val="00AF5312"/>
    <w:rsid w:val="00AF55AB"/>
    <w:rsid w:val="00AF5ACE"/>
    <w:rsid w:val="00AF5B60"/>
    <w:rsid w:val="00AF6060"/>
    <w:rsid w:val="00AF65CC"/>
    <w:rsid w:val="00AF67F0"/>
    <w:rsid w:val="00AF6E71"/>
    <w:rsid w:val="00AF7273"/>
    <w:rsid w:val="00B00EDF"/>
    <w:rsid w:val="00B01758"/>
    <w:rsid w:val="00B01D32"/>
    <w:rsid w:val="00B0240A"/>
    <w:rsid w:val="00B033D0"/>
    <w:rsid w:val="00B03A9F"/>
    <w:rsid w:val="00B050D5"/>
    <w:rsid w:val="00B05107"/>
    <w:rsid w:val="00B05251"/>
    <w:rsid w:val="00B06A3D"/>
    <w:rsid w:val="00B0737C"/>
    <w:rsid w:val="00B07C4C"/>
    <w:rsid w:val="00B10552"/>
    <w:rsid w:val="00B1092F"/>
    <w:rsid w:val="00B10B47"/>
    <w:rsid w:val="00B10DF7"/>
    <w:rsid w:val="00B117B7"/>
    <w:rsid w:val="00B12092"/>
    <w:rsid w:val="00B1281E"/>
    <w:rsid w:val="00B140E2"/>
    <w:rsid w:val="00B1477A"/>
    <w:rsid w:val="00B15383"/>
    <w:rsid w:val="00B15643"/>
    <w:rsid w:val="00B15949"/>
    <w:rsid w:val="00B16181"/>
    <w:rsid w:val="00B16CC8"/>
    <w:rsid w:val="00B17F4C"/>
    <w:rsid w:val="00B202FF"/>
    <w:rsid w:val="00B20993"/>
    <w:rsid w:val="00B21E2F"/>
    <w:rsid w:val="00B221C6"/>
    <w:rsid w:val="00B22F44"/>
    <w:rsid w:val="00B233DB"/>
    <w:rsid w:val="00B238C7"/>
    <w:rsid w:val="00B24211"/>
    <w:rsid w:val="00B24E5D"/>
    <w:rsid w:val="00B25DA6"/>
    <w:rsid w:val="00B26D2B"/>
    <w:rsid w:val="00B27579"/>
    <w:rsid w:val="00B30E05"/>
    <w:rsid w:val="00B31277"/>
    <w:rsid w:val="00B3161B"/>
    <w:rsid w:val="00B33758"/>
    <w:rsid w:val="00B338F9"/>
    <w:rsid w:val="00B33AD3"/>
    <w:rsid w:val="00B33C6F"/>
    <w:rsid w:val="00B341F4"/>
    <w:rsid w:val="00B367AE"/>
    <w:rsid w:val="00B36EC5"/>
    <w:rsid w:val="00B37127"/>
    <w:rsid w:val="00B37183"/>
    <w:rsid w:val="00B37619"/>
    <w:rsid w:val="00B408AE"/>
    <w:rsid w:val="00B42E96"/>
    <w:rsid w:val="00B43670"/>
    <w:rsid w:val="00B43712"/>
    <w:rsid w:val="00B44280"/>
    <w:rsid w:val="00B446B7"/>
    <w:rsid w:val="00B44971"/>
    <w:rsid w:val="00B44E7A"/>
    <w:rsid w:val="00B45A33"/>
    <w:rsid w:val="00B45C20"/>
    <w:rsid w:val="00B4703A"/>
    <w:rsid w:val="00B47924"/>
    <w:rsid w:val="00B50EE6"/>
    <w:rsid w:val="00B516DC"/>
    <w:rsid w:val="00B51C97"/>
    <w:rsid w:val="00B52185"/>
    <w:rsid w:val="00B52236"/>
    <w:rsid w:val="00B52980"/>
    <w:rsid w:val="00B52AC7"/>
    <w:rsid w:val="00B52F6B"/>
    <w:rsid w:val="00B53D1F"/>
    <w:rsid w:val="00B54347"/>
    <w:rsid w:val="00B54366"/>
    <w:rsid w:val="00B54EB9"/>
    <w:rsid w:val="00B606EA"/>
    <w:rsid w:val="00B61C05"/>
    <w:rsid w:val="00B62225"/>
    <w:rsid w:val="00B62668"/>
    <w:rsid w:val="00B62BD6"/>
    <w:rsid w:val="00B63641"/>
    <w:rsid w:val="00B637D4"/>
    <w:rsid w:val="00B63E63"/>
    <w:rsid w:val="00B64D53"/>
    <w:rsid w:val="00B653FB"/>
    <w:rsid w:val="00B658E7"/>
    <w:rsid w:val="00B660D8"/>
    <w:rsid w:val="00B662D9"/>
    <w:rsid w:val="00B671BB"/>
    <w:rsid w:val="00B7188C"/>
    <w:rsid w:val="00B71C96"/>
    <w:rsid w:val="00B721B3"/>
    <w:rsid w:val="00B73BDC"/>
    <w:rsid w:val="00B740EB"/>
    <w:rsid w:val="00B748CD"/>
    <w:rsid w:val="00B74A90"/>
    <w:rsid w:val="00B75E64"/>
    <w:rsid w:val="00B7612C"/>
    <w:rsid w:val="00B77224"/>
    <w:rsid w:val="00B774F1"/>
    <w:rsid w:val="00B77EAF"/>
    <w:rsid w:val="00B803E7"/>
    <w:rsid w:val="00B803F1"/>
    <w:rsid w:val="00B809A5"/>
    <w:rsid w:val="00B80ACA"/>
    <w:rsid w:val="00B81E8A"/>
    <w:rsid w:val="00B824A1"/>
    <w:rsid w:val="00B82552"/>
    <w:rsid w:val="00B8324A"/>
    <w:rsid w:val="00B83737"/>
    <w:rsid w:val="00B83A1A"/>
    <w:rsid w:val="00B85389"/>
    <w:rsid w:val="00B8662E"/>
    <w:rsid w:val="00B86BBC"/>
    <w:rsid w:val="00B87B81"/>
    <w:rsid w:val="00B90755"/>
    <w:rsid w:val="00B90D60"/>
    <w:rsid w:val="00B93467"/>
    <w:rsid w:val="00B93BFD"/>
    <w:rsid w:val="00B943A1"/>
    <w:rsid w:val="00B94A20"/>
    <w:rsid w:val="00B94D25"/>
    <w:rsid w:val="00B95C69"/>
    <w:rsid w:val="00B967DA"/>
    <w:rsid w:val="00B96DD0"/>
    <w:rsid w:val="00B9753A"/>
    <w:rsid w:val="00B977D3"/>
    <w:rsid w:val="00BA01D6"/>
    <w:rsid w:val="00BA02F5"/>
    <w:rsid w:val="00BA18AE"/>
    <w:rsid w:val="00BA18BA"/>
    <w:rsid w:val="00BA19E3"/>
    <w:rsid w:val="00BA26CC"/>
    <w:rsid w:val="00BA2FB9"/>
    <w:rsid w:val="00BA2FED"/>
    <w:rsid w:val="00BA4D5C"/>
    <w:rsid w:val="00BA561F"/>
    <w:rsid w:val="00BA6F86"/>
    <w:rsid w:val="00BA77B7"/>
    <w:rsid w:val="00BB151B"/>
    <w:rsid w:val="00BB2210"/>
    <w:rsid w:val="00BB22D9"/>
    <w:rsid w:val="00BB247F"/>
    <w:rsid w:val="00BB30A2"/>
    <w:rsid w:val="00BB479C"/>
    <w:rsid w:val="00BB4C84"/>
    <w:rsid w:val="00BB4CDA"/>
    <w:rsid w:val="00BB4CDE"/>
    <w:rsid w:val="00BB5751"/>
    <w:rsid w:val="00BB57EF"/>
    <w:rsid w:val="00BB5CFF"/>
    <w:rsid w:val="00BB6F65"/>
    <w:rsid w:val="00BB6FD2"/>
    <w:rsid w:val="00BB7944"/>
    <w:rsid w:val="00BB7E04"/>
    <w:rsid w:val="00BC0725"/>
    <w:rsid w:val="00BC1219"/>
    <w:rsid w:val="00BC1406"/>
    <w:rsid w:val="00BC1C80"/>
    <w:rsid w:val="00BC1E46"/>
    <w:rsid w:val="00BC25AE"/>
    <w:rsid w:val="00BC2938"/>
    <w:rsid w:val="00BC2A2F"/>
    <w:rsid w:val="00BC2C52"/>
    <w:rsid w:val="00BC2E34"/>
    <w:rsid w:val="00BC2FC1"/>
    <w:rsid w:val="00BC3E64"/>
    <w:rsid w:val="00BC40C8"/>
    <w:rsid w:val="00BC4233"/>
    <w:rsid w:val="00BC5354"/>
    <w:rsid w:val="00BC576A"/>
    <w:rsid w:val="00BC6706"/>
    <w:rsid w:val="00BC745F"/>
    <w:rsid w:val="00BD0051"/>
    <w:rsid w:val="00BD318E"/>
    <w:rsid w:val="00BD3D17"/>
    <w:rsid w:val="00BD49CC"/>
    <w:rsid w:val="00BD4D0D"/>
    <w:rsid w:val="00BD603D"/>
    <w:rsid w:val="00BD6D18"/>
    <w:rsid w:val="00BD758C"/>
    <w:rsid w:val="00BD75A2"/>
    <w:rsid w:val="00BD77FA"/>
    <w:rsid w:val="00BE0F2E"/>
    <w:rsid w:val="00BE100F"/>
    <w:rsid w:val="00BE1052"/>
    <w:rsid w:val="00BE1455"/>
    <w:rsid w:val="00BE21F5"/>
    <w:rsid w:val="00BE289E"/>
    <w:rsid w:val="00BE2B55"/>
    <w:rsid w:val="00BE376B"/>
    <w:rsid w:val="00BE4751"/>
    <w:rsid w:val="00BE4FAA"/>
    <w:rsid w:val="00BE6DE5"/>
    <w:rsid w:val="00BF1402"/>
    <w:rsid w:val="00BF194D"/>
    <w:rsid w:val="00BF258D"/>
    <w:rsid w:val="00BF2F9C"/>
    <w:rsid w:val="00BF559C"/>
    <w:rsid w:val="00BF5EB1"/>
    <w:rsid w:val="00BF7616"/>
    <w:rsid w:val="00C003B3"/>
    <w:rsid w:val="00C0069B"/>
    <w:rsid w:val="00C00A15"/>
    <w:rsid w:val="00C00B8F"/>
    <w:rsid w:val="00C00D0A"/>
    <w:rsid w:val="00C00E94"/>
    <w:rsid w:val="00C01DB8"/>
    <w:rsid w:val="00C0223D"/>
    <w:rsid w:val="00C02F1A"/>
    <w:rsid w:val="00C033FF"/>
    <w:rsid w:val="00C03823"/>
    <w:rsid w:val="00C03D21"/>
    <w:rsid w:val="00C044D4"/>
    <w:rsid w:val="00C04701"/>
    <w:rsid w:val="00C04759"/>
    <w:rsid w:val="00C05107"/>
    <w:rsid w:val="00C05194"/>
    <w:rsid w:val="00C07048"/>
    <w:rsid w:val="00C071FF"/>
    <w:rsid w:val="00C12168"/>
    <w:rsid w:val="00C125E3"/>
    <w:rsid w:val="00C12F4B"/>
    <w:rsid w:val="00C14F75"/>
    <w:rsid w:val="00C15751"/>
    <w:rsid w:val="00C17246"/>
    <w:rsid w:val="00C2017A"/>
    <w:rsid w:val="00C20470"/>
    <w:rsid w:val="00C21805"/>
    <w:rsid w:val="00C21BBE"/>
    <w:rsid w:val="00C22B95"/>
    <w:rsid w:val="00C23680"/>
    <w:rsid w:val="00C24D6E"/>
    <w:rsid w:val="00C252C5"/>
    <w:rsid w:val="00C25526"/>
    <w:rsid w:val="00C263F3"/>
    <w:rsid w:val="00C267E3"/>
    <w:rsid w:val="00C30A17"/>
    <w:rsid w:val="00C30CAD"/>
    <w:rsid w:val="00C313CF"/>
    <w:rsid w:val="00C31560"/>
    <w:rsid w:val="00C33227"/>
    <w:rsid w:val="00C33A21"/>
    <w:rsid w:val="00C33C12"/>
    <w:rsid w:val="00C3436F"/>
    <w:rsid w:val="00C34B2F"/>
    <w:rsid w:val="00C356F5"/>
    <w:rsid w:val="00C36716"/>
    <w:rsid w:val="00C367D9"/>
    <w:rsid w:val="00C376EA"/>
    <w:rsid w:val="00C37AFF"/>
    <w:rsid w:val="00C409F6"/>
    <w:rsid w:val="00C41480"/>
    <w:rsid w:val="00C4183B"/>
    <w:rsid w:val="00C41B97"/>
    <w:rsid w:val="00C42C6C"/>
    <w:rsid w:val="00C4308A"/>
    <w:rsid w:val="00C43553"/>
    <w:rsid w:val="00C455CC"/>
    <w:rsid w:val="00C4641B"/>
    <w:rsid w:val="00C4700D"/>
    <w:rsid w:val="00C509D5"/>
    <w:rsid w:val="00C50C31"/>
    <w:rsid w:val="00C5108B"/>
    <w:rsid w:val="00C53264"/>
    <w:rsid w:val="00C53A63"/>
    <w:rsid w:val="00C53DEE"/>
    <w:rsid w:val="00C5474E"/>
    <w:rsid w:val="00C55209"/>
    <w:rsid w:val="00C55371"/>
    <w:rsid w:val="00C56142"/>
    <w:rsid w:val="00C56CA1"/>
    <w:rsid w:val="00C56E3B"/>
    <w:rsid w:val="00C572C9"/>
    <w:rsid w:val="00C57A08"/>
    <w:rsid w:val="00C6056A"/>
    <w:rsid w:val="00C60ABF"/>
    <w:rsid w:val="00C60CAF"/>
    <w:rsid w:val="00C620C3"/>
    <w:rsid w:val="00C62489"/>
    <w:rsid w:val="00C64F74"/>
    <w:rsid w:val="00C66191"/>
    <w:rsid w:val="00C66299"/>
    <w:rsid w:val="00C6690E"/>
    <w:rsid w:val="00C670C2"/>
    <w:rsid w:val="00C67B89"/>
    <w:rsid w:val="00C70344"/>
    <w:rsid w:val="00C703C5"/>
    <w:rsid w:val="00C707D6"/>
    <w:rsid w:val="00C7088D"/>
    <w:rsid w:val="00C7106F"/>
    <w:rsid w:val="00C7107B"/>
    <w:rsid w:val="00C71E54"/>
    <w:rsid w:val="00C738C0"/>
    <w:rsid w:val="00C744ED"/>
    <w:rsid w:val="00C747FD"/>
    <w:rsid w:val="00C74D2F"/>
    <w:rsid w:val="00C74D7E"/>
    <w:rsid w:val="00C764CF"/>
    <w:rsid w:val="00C764D0"/>
    <w:rsid w:val="00C76E92"/>
    <w:rsid w:val="00C76F4E"/>
    <w:rsid w:val="00C7722E"/>
    <w:rsid w:val="00C77BB3"/>
    <w:rsid w:val="00C77CEB"/>
    <w:rsid w:val="00C77D7C"/>
    <w:rsid w:val="00C80374"/>
    <w:rsid w:val="00C805F2"/>
    <w:rsid w:val="00C81344"/>
    <w:rsid w:val="00C81D63"/>
    <w:rsid w:val="00C81DDB"/>
    <w:rsid w:val="00C82754"/>
    <w:rsid w:val="00C827D0"/>
    <w:rsid w:val="00C828DF"/>
    <w:rsid w:val="00C83265"/>
    <w:rsid w:val="00C83716"/>
    <w:rsid w:val="00C83A4E"/>
    <w:rsid w:val="00C84004"/>
    <w:rsid w:val="00C84338"/>
    <w:rsid w:val="00C86025"/>
    <w:rsid w:val="00C872A3"/>
    <w:rsid w:val="00C87E56"/>
    <w:rsid w:val="00C902E0"/>
    <w:rsid w:val="00C903F3"/>
    <w:rsid w:val="00C906FA"/>
    <w:rsid w:val="00C9077E"/>
    <w:rsid w:val="00C90877"/>
    <w:rsid w:val="00C90EC4"/>
    <w:rsid w:val="00C93497"/>
    <w:rsid w:val="00C94FD1"/>
    <w:rsid w:val="00C95AB5"/>
    <w:rsid w:val="00C95CE7"/>
    <w:rsid w:val="00C96351"/>
    <w:rsid w:val="00C96F63"/>
    <w:rsid w:val="00C96FF7"/>
    <w:rsid w:val="00C9718B"/>
    <w:rsid w:val="00C97DC5"/>
    <w:rsid w:val="00CA0215"/>
    <w:rsid w:val="00CA0AF1"/>
    <w:rsid w:val="00CA1EC8"/>
    <w:rsid w:val="00CA2589"/>
    <w:rsid w:val="00CA263F"/>
    <w:rsid w:val="00CA2914"/>
    <w:rsid w:val="00CA2C71"/>
    <w:rsid w:val="00CA37AD"/>
    <w:rsid w:val="00CA4CBD"/>
    <w:rsid w:val="00CA50E4"/>
    <w:rsid w:val="00CA5436"/>
    <w:rsid w:val="00CA5FBB"/>
    <w:rsid w:val="00CA639D"/>
    <w:rsid w:val="00CB0A98"/>
    <w:rsid w:val="00CB0E6A"/>
    <w:rsid w:val="00CB1E6C"/>
    <w:rsid w:val="00CB21B9"/>
    <w:rsid w:val="00CB235B"/>
    <w:rsid w:val="00CB3B69"/>
    <w:rsid w:val="00CB45CE"/>
    <w:rsid w:val="00CB4EBC"/>
    <w:rsid w:val="00CB5151"/>
    <w:rsid w:val="00CB605D"/>
    <w:rsid w:val="00CB69E1"/>
    <w:rsid w:val="00CB6E7F"/>
    <w:rsid w:val="00CB6FC9"/>
    <w:rsid w:val="00CB713C"/>
    <w:rsid w:val="00CC0BBE"/>
    <w:rsid w:val="00CC136B"/>
    <w:rsid w:val="00CC152B"/>
    <w:rsid w:val="00CC28AC"/>
    <w:rsid w:val="00CC2D78"/>
    <w:rsid w:val="00CC36B2"/>
    <w:rsid w:val="00CC40E9"/>
    <w:rsid w:val="00CC4DF4"/>
    <w:rsid w:val="00CC4F1C"/>
    <w:rsid w:val="00CC50F2"/>
    <w:rsid w:val="00CC575A"/>
    <w:rsid w:val="00CC57EC"/>
    <w:rsid w:val="00CC5C5C"/>
    <w:rsid w:val="00CC5CF1"/>
    <w:rsid w:val="00CC5E40"/>
    <w:rsid w:val="00CC61FA"/>
    <w:rsid w:val="00CC685D"/>
    <w:rsid w:val="00CC6E16"/>
    <w:rsid w:val="00CC72FF"/>
    <w:rsid w:val="00CD05C8"/>
    <w:rsid w:val="00CD16B4"/>
    <w:rsid w:val="00CD1821"/>
    <w:rsid w:val="00CD262A"/>
    <w:rsid w:val="00CD29D3"/>
    <w:rsid w:val="00CD2C42"/>
    <w:rsid w:val="00CD40B5"/>
    <w:rsid w:val="00CD4247"/>
    <w:rsid w:val="00CD427C"/>
    <w:rsid w:val="00CD4754"/>
    <w:rsid w:val="00CD5198"/>
    <w:rsid w:val="00CD519E"/>
    <w:rsid w:val="00CD5F7A"/>
    <w:rsid w:val="00CD7BA4"/>
    <w:rsid w:val="00CE26C8"/>
    <w:rsid w:val="00CE2F6A"/>
    <w:rsid w:val="00CE3448"/>
    <w:rsid w:val="00CE64A3"/>
    <w:rsid w:val="00CE6809"/>
    <w:rsid w:val="00CE6B7E"/>
    <w:rsid w:val="00CE7033"/>
    <w:rsid w:val="00CE7C1F"/>
    <w:rsid w:val="00CF32FB"/>
    <w:rsid w:val="00CF3730"/>
    <w:rsid w:val="00CF3BF4"/>
    <w:rsid w:val="00CF54BC"/>
    <w:rsid w:val="00CF6BE1"/>
    <w:rsid w:val="00CF6EC9"/>
    <w:rsid w:val="00CF75AF"/>
    <w:rsid w:val="00D0041A"/>
    <w:rsid w:val="00D0077D"/>
    <w:rsid w:val="00D00C18"/>
    <w:rsid w:val="00D00FAD"/>
    <w:rsid w:val="00D01C86"/>
    <w:rsid w:val="00D01C8C"/>
    <w:rsid w:val="00D01FFF"/>
    <w:rsid w:val="00D032E5"/>
    <w:rsid w:val="00D039C4"/>
    <w:rsid w:val="00D0447D"/>
    <w:rsid w:val="00D06872"/>
    <w:rsid w:val="00D07285"/>
    <w:rsid w:val="00D072BF"/>
    <w:rsid w:val="00D0744B"/>
    <w:rsid w:val="00D07AF2"/>
    <w:rsid w:val="00D07E8F"/>
    <w:rsid w:val="00D10879"/>
    <w:rsid w:val="00D116F2"/>
    <w:rsid w:val="00D11F07"/>
    <w:rsid w:val="00D1387E"/>
    <w:rsid w:val="00D14D99"/>
    <w:rsid w:val="00D14E8F"/>
    <w:rsid w:val="00D1532B"/>
    <w:rsid w:val="00D1540D"/>
    <w:rsid w:val="00D15441"/>
    <w:rsid w:val="00D1569F"/>
    <w:rsid w:val="00D17F9E"/>
    <w:rsid w:val="00D20330"/>
    <w:rsid w:val="00D20936"/>
    <w:rsid w:val="00D20982"/>
    <w:rsid w:val="00D20A1B"/>
    <w:rsid w:val="00D20B1E"/>
    <w:rsid w:val="00D20C4B"/>
    <w:rsid w:val="00D21951"/>
    <w:rsid w:val="00D21A12"/>
    <w:rsid w:val="00D2205A"/>
    <w:rsid w:val="00D22246"/>
    <w:rsid w:val="00D22462"/>
    <w:rsid w:val="00D22DE5"/>
    <w:rsid w:val="00D230AC"/>
    <w:rsid w:val="00D27485"/>
    <w:rsid w:val="00D277ED"/>
    <w:rsid w:val="00D27DA5"/>
    <w:rsid w:val="00D31B84"/>
    <w:rsid w:val="00D31C0E"/>
    <w:rsid w:val="00D320FA"/>
    <w:rsid w:val="00D3228A"/>
    <w:rsid w:val="00D32489"/>
    <w:rsid w:val="00D34848"/>
    <w:rsid w:val="00D34A24"/>
    <w:rsid w:val="00D34FF9"/>
    <w:rsid w:val="00D35169"/>
    <w:rsid w:val="00D35493"/>
    <w:rsid w:val="00D36E4C"/>
    <w:rsid w:val="00D37FE5"/>
    <w:rsid w:val="00D408EE"/>
    <w:rsid w:val="00D41415"/>
    <w:rsid w:val="00D42157"/>
    <w:rsid w:val="00D42F5D"/>
    <w:rsid w:val="00D43401"/>
    <w:rsid w:val="00D43C2B"/>
    <w:rsid w:val="00D43D26"/>
    <w:rsid w:val="00D44427"/>
    <w:rsid w:val="00D44868"/>
    <w:rsid w:val="00D448C8"/>
    <w:rsid w:val="00D4515C"/>
    <w:rsid w:val="00D45A73"/>
    <w:rsid w:val="00D463BE"/>
    <w:rsid w:val="00D466BE"/>
    <w:rsid w:val="00D46972"/>
    <w:rsid w:val="00D46AA4"/>
    <w:rsid w:val="00D46D72"/>
    <w:rsid w:val="00D47028"/>
    <w:rsid w:val="00D47231"/>
    <w:rsid w:val="00D50870"/>
    <w:rsid w:val="00D508FD"/>
    <w:rsid w:val="00D510CE"/>
    <w:rsid w:val="00D51323"/>
    <w:rsid w:val="00D515F6"/>
    <w:rsid w:val="00D51A2C"/>
    <w:rsid w:val="00D52A58"/>
    <w:rsid w:val="00D53998"/>
    <w:rsid w:val="00D53AAD"/>
    <w:rsid w:val="00D5572F"/>
    <w:rsid w:val="00D55E7A"/>
    <w:rsid w:val="00D5786A"/>
    <w:rsid w:val="00D57E19"/>
    <w:rsid w:val="00D606E1"/>
    <w:rsid w:val="00D61834"/>
    <w:rsid w:val="00D6290D"/>
    <w:rsid w:val="00D642A7"/>
    <w:rsid w:val="00D6494F"/>
    <w:rsid w:val="00D660DB"/>
    <w:rsid w:val="00D6659E"/>
    <w:rsid w:val="00D66F80"/>
    <w:rsid w:val="00D67550"/>
    <w:rsid w:val="00D67F3C"/>
    <w:rsid w:val="00D70563"/>
    <w:rsid w:val="00D71A17"/>
    <w:rsid w:val="00D720C2"/>
    <w:rsid w:val="00D7262E"/>
    <w:rsid w:val="00D73224"/>
    <w:rsid w:val="00D73483"/>
    <w:rsid w:val="00D73C2F"/>
    <w:rsid w:val="00D73CB8"/>
    <w:rsid w:val="00D742E9"/>
    <w:rsid w:val="00D7445B"/>
    <w:rsid w:val="00D747EC"/>
    <w:rsid w:val="00D7519B"/>
    <w:rsid w:val="00D757EC"/>
    <w:rsid w:val="00D75DA9"/>
    <w:rsid w:val="00D767AC"/>
    <w:rsid w:val="00D82385"/>
    <w:rsid w:val="00D82A1E"/>
    <w:rsid w:val="00D83BAC"/>
    <w:rsid w:val="00D84207"/>
    <w:rsid w:val="00D850DB"/>
    <w:rsid w:val="00D852DA"/>
    <w:rsid w:val="00D856DC"/>
    <w:rsid w:val="00D856F4"/>
    <w:rsid w:val="00D86623"/>
    <w:rsid w:val="00D86C0D"/>
    <w:rsid w:val="00D86D40"/>
    <w:rsid w:val="00D8737E"/>
    <w:rsid w:val="00D873F9"/>
    <w:rsid w:val="00D876F0"/>
    <w:rsid w:val="00D87755"/>
    <w:rsid w:val="00D90087"/>
    <w:rsid w:val="00D9072E"/>
    <w:rsid w:val="00D91928"/>
    <w:rsid w:val="00D91B8B"/>
    <w:rsid w:val="00D92FA8"/>
    <w:rsid w:val="00D932F5"/>
    <w:rsid w:val="00D94D2A"/>
    <w:rsid w:val="00D9546B"/>
    <w:rsid w:val="00D95CBE"/>
    <w:rsid w:val="00D963C7"/>
    <w:rsid w:val="00D96C83"/>
    <w:rsid w:val="00D978AB"/>
    <w:rsid w:val="00DA165B"/>
    <w:rsid w:val="00DA1718"/>
    <w:rsid w:val="00DA331D"/>
    <w:rsid w:val="00DA3647"/>
    <w:rsid w:val="00DA3ED0"/>
    <w:rsid w:val="00DA507E"/>
    <w:rsid w:val="00DA59F4"/>
    <w:rsid w:val="00DA64FF"/>
    <w:rsid w:val="00DA6A2F"/>
    <w:rsid w:val="00DA7518"/>
    <w:rsid w:val="00DA7591"/>
    <w:rsid w:val="00DB037B"/>
    <w:rsid w:val="00DB07A2"/>
    <w:rsid w:val="00DB3B73"/>
    <w:rsid w:val="00DB4B02"/>
    <w:rsid w:val="00DB50F0"/>
    <w:rsid w:val="00DB5213"/>
    <w:rsid w:val="00DB57E4"/>
    <w:rsid w:val="00DB6113"/>
    <w:rsid w:val="00DB6AC0"/>
    <w:rsid w:val="00DB7877"/>
    <w:rsid w:val="00DC1865"/>
    <w:rsid w:val="00DC19F2"/>
    <w:rsid w:val="00DC1DA7"/>
    <w:rsid w:val="00DC23C1"/>
    <w:rsid w:val="00DC242C"/>
    <w:rsid w:val="00DC2661"/>
    <w:rsid w:val="00DC28A3"/>
    <w:rsid w:val="00DC2CCD"/>
    <w:rsid w:val="00DC2E29"/>
    <w:rsid w:val="00DC30C4"/>
    <w:rsid w:val="00DC32F9"/>
    <w:rsid w:val="00DC3A43"/>
    <w:rsid w:val="00DC3CAC"/>
    <w:rsid w:val="00DC3D40"/>
    <w:rsid w:val="00DC3DDA"/>
    <w:rsid w:val="00DC52ED"/>
    <w:rsid w:val="00DC711A"/>
    <w:rsid w:val="00DC78FD"/>
    <w:rsid w:val="00DD0828"/>
    <w:rsid w:val="00DD0CCF"/>
    <w:rsid w:val="00DD0DAB"/>
    <w:rsid w:val="00DD2546"/>
    <w:rsid w:val="00DD30E5"/>
    <w:rsid w:val="00DD379F"/>
    <w:rsid w:val="00DD3A64"/>
    <w:rsid w:val="00DD3BCE"/>
    <w:rsid w:val="00DD3DE3"/>
    <w:rsid w:val="00DD430C"/>
    <w:rsid w:val="00DD5A58"/>
    <w:rsid w:val="00DD7403"/>
    <w:rsid w:val="00DD7465"/>
    <w:rsid w:val="00DD74C8"/>
    <w:rsid w:val="00DD7EB7"/>
    <w:rsid w:val="00DE1CA8"/>
    <w:rsid w:val="00DE1CED"/>
    <w:rsid w:val="00DE2F91"/>
    <w:rsid w:val="00DE3D70"/>
    <w:rsid w:val="00DE62F1"/>
    <w:rsid w:val="00DE6D20"/>
    <w:rsid w:val="00DE706C"/>
    <w:rsid w:val="00DE733A"/>
    <w:rsid w:val="00DE7951"/>
    <w:rsid w:val="00DE7EF3"/>
    <w:rsid w:val="00DF07A8"/>
    <w:rsid w:val="00DF1CBA"/>
    <w:rsid w:val="00DF248B"/>
    <w:rsid w:val="00DF24FC"/>
    <w:rsid w:val="00DF2CB2"/>
    <w:rsid w:val="00DF433A"/>
    <w:rsid w:val="00DF50E7"/>
    <w:rsid w:val="00DF53A3"/>
    <w:rsid w:val="00DF6224"/>
    <w:rsid w:val="00DF6357"/>
    <w:rsid w:val="00DF714D"/>
    <w:rsid w:val="00DF73EF"/>
    <w:rsid w:val="00DF7A92"/>
    <w:rsid w:val="00DF7CC1"/>
    <w:rsid w:val="00E0204A"/>
    <w:rsid w:val="00E02AFA"/>
    <w:rsid w:val="00E03968"/>
    <w:rsid w:val="00E04792"/>
    <w:rsid w:val="00E0492D"/>
    <w:rsid w:val="00E04BE3"/>
    <w:rsid w:val="00E054A7"/>
    <w:rsid w:val="00E060BB"/>
    <w:rsid w:val="00E067A8"/>
    <w:rsid w:val="00E0697C"/>
    <w:rsid w:val="00E11439"/>
    <w:rsid w:val="00E11B8C"/>
    <w:rsid w:val="00E11F22"/>
    <w:rsid w:val="00E128E3"/>
    <w:rsid w:val="00E15637"/>
    <w:rsid w:val="00E157B6"/>
    <w:rsid w:val="00E1731D"/>
    <w:rsid w:val="00E17BC4"/>
    <w:rsid w:val="00E20F36"/>
    <w:rsid w:val="00E21206"/>
    <w:rsid w:val="00E21F51"/>
    <w:rsid w:val="00E22286"/>
    <w:rsid w:val="00E2316E"/>
    <w:rsid w:val="00E2393E"/>
    <w:rsid w:val="00E25B4C"/>
    <w:rsid w:val="00E25FA8"/>
    <w:rsid w:val="00E273B0"/>
    <w:rsid w:val="00E27DCD"/>
    <w:rsid w:val="00E30201"/>
    <w:rsid w:val="00E3051F"/>
    <w:rsid w:val="00E30624"/>
    <w:rsid w:val="00E30CC0"/>
    <w:rsid w:val="00E316B7"/>
    <w:rsid w:val="00E31E07"/>
    <w:rsid w:val="00E32798"/>
    <w:rsid w:val="00E33ADE"/>
    <w:rsid w:val="00E343C7"/>
    <w:rsid w:val="00E35478"/>
    <w:rsid w:val="00E35EF8"/>
    <w:rsid w:val="00E36249"/>
    <w:rsid w:val="00E37137"/>
    <w:rsid w:val="00E37523"/>
    <w:rsid w:val="00E3792E"/>
    <w:rsid w:val="00E37A66"/>
    <w:rsid w:val="00E412BE"/>
    <w:rsid w:val="00E41B76"/>
    <w:rsid w:val="00E41E97"/>
    <w:rsid w:val="00E437C1"/>
    <w:rsid w:val="00E43DDC"/>
    <w:rsid w:val="00E4478F"/>
    <w:rsid w:val="00E451FA"/>
    <w:rsid w:val="00E454AE"/>
    <w:rsid w:val="00E45B38"/>
    <w:rsid w:val="00E4682C"/>
    <w:rsid w:val="00E4704B"/>
    <w:rsid w:val="00E4724B"/>
    <w:rsid w:val="00E473A8"/>
    <w:rsid w:val="00E5010C"/>
    <w:rsid w:val="00E5085B"/>
    <w:rsid w:val="00E51116"/>
    <w:rsid w:val="00E51993"/>
    <w:rsid w:val="00E51C91"/>
    <w:rsid w:val="00E521D9"/>
    <w:rsid w:val="00E54320"/>
    <w:rsid w:val="00E54612"/>
    <w:rsid w:val="00E54D3F"/>
    <w:rsid w:val="00E55D5A"/>
    <w:rsid w:val="00E56A88"/>
    <w:rsid w:val="00E57F91"/>
    <w:rsid w:val="00E60A32"/>
    <w:rsid w:val="00E60E63"/>
    <w:rsid w:val="00E61BC5"/>
    <w:rsid w:val="00E6272B"/>
    <w:rsid w:val="00E628E7"/>
    <w:rsid w:val="00E62A8B"/>
    <w:rsid w:val="00E62CA1"/>
    <w:rsid w:val="00E62E44"/>
    <w:rsid w:val="00E63B61"/>
    <w:rsid w:val="00E6483E"/>
    <w:rsid w:val="00E650F5"/>
    <w:rsid w:val="00E65A65"/>
    <w:rsid w:val="00E65AB2"/>
    <w:rsid w:val="00E66160"/>
    <w:rsid w:val="00E66597"/>
    <w:rsid w:val="00E66754"/>
    <w:rsid w:val="00E667C1"/>
    <w:rsid w:val="00E673C4"/>
    <w:rsid w:val="00E6797E"/>
    <w:rsid w:val="00E7106F"/>
    <w:rsid w:val="00E716F2"/>
    <w:rsid w:val="00E72B70"/>
    <w:rsid w:val="00E72B96"/>
    <w:rsid w:val="00E731CF"/>
    <w:rsid w:val="00E7368F"/>
    <w:rsid w:val="00E743C3"/>
    <w:rsid w:val="00E75100"/>
    <w:rsid w:val="00E75228"/>
    <w:rsid w:val="00E752B9"/>
    <w:rsid w:val="00E76393"/>
    <w:rsid w:val="00E7656B"/>
    <w:rsid w:val="00E76754"/>
    <w:rsid w:val="00E76FEB"/>
    <w:rsid w:val="00E77590"/>
    <w:rsid w:val="00E806ED"/>
    <w:rsid w:val="00E81226"/>
    <w:rsid w:val="00E82C5F"/>
    <w:rsid w:val="00E83AAF"/>
    <w:rsid w:val="00E8403E"/>
    <w:rsid w:val="00E84B15"/>
    <w:rsid w:val="00E85319"/>
    <w:rsid w:val="00E86044"/>
    <w:rsid w:val="00E8751F"/>
    <w:rsid w:val="00E87977"/>
    <w:rsid w:val="00E9210A"/>
    <w:rsid w:val="00E9256C"/>
    <w:rsid w:val="00E929B2"/>
    <w:rsid w:val="00E95309"/>
    <w:rsid w:val="00E95390"/>
    <w:rsid w:val="00E953F2"/>
    <w:rsid w:val="00E9585C"/>
    <w:rsid w:val="00E97B3C"/>
    <w:rsid w:val="00EA1C7D"/>
    <w:rsid w:val="00EA228F"/>
    <w:rsid w:val="00EA231F"/>
    <w:rsid w:val="00EA40C1"/>
    <w:rsid w:val="00EA40D7"/>
    <w:rsid w:val="00EA41F7"/>
    <w:rsid w:val="00EA4FA2"/>
    <w:rsid w:val="00EA586C"/>
    <w:rsid w:val="00EA60C4"/>
    <w:rsid w:val="00EA69DC"/>
    <w:rsid w:val="00EA6C25"/>
    <w:rsid w:val="00EA7EE7"/>
    <w:rsid w:val="00EB048B"/>
    <w:rsid w:val="00EB0524"/>
    <w:rsid w:val="00EB0552"/>
    <w:rsid w:val="00EB05B2"/>
    <w:rsid w:val="00EB083A"/>
    <w:rsid w:val="00EB09FF"/>
    <w:rsid w:val="00EB1AAD"/>
    <w:rsid w:val="00EB1EB7"/>
    <w:rsid w:val="00EB28F0"/>
    <w:rsid w:val="00EB2F3B"/>
    <w:rsid w:val="00EB372C"/>
    <w:rsid w:val="00EB37DB"/>
    <w:rsid w:val="00EB3AB6"/>
    <w:rsid w:val="00EB4457"/>
    <w:rsid w:val="00EB451A"/>
    <w:rsid w:val="00EB5276"/>
    <w:rsid w:val="00EB6130"/>
    <w:rsid w:val="00EC18CB"/>
    <w:rsid w:val="00EC1A6E"/>
    <w:rsid w:val="00EC331A"/>
    <w:rsid w:val="00EC3F88"/>
    <w:rsid w:val="00EC4AFF"/>
    <w:rsid w:val="00EC5361"/>
    <w:rsid w:val="00EC665E"/>
    <w:rsid w:val="00EC6A4D"/>
    <w:rsid w:val="00EC6EF4"/>
    <w:rsid w:val="00EC7021"/>
    <w:rsid w:val="00EC7290"/>
    <w:rsid w:val="00EC7899"/>
    <w:rsid w:val="00ED0A97"/>
    <w:rsid w:val="00ED0FAA"/>
    <w:rsid w:val="00ED1EA0"/>
    <w:rsid w:val="00ED33DE"/>
    <w:rsid w:val="00ED3431"/>
    <w:rsid w:val="00ED36D8"/>
    <w:rsid w:val="00ED3816"/>
    <w:rsid w:val="00ED3AC8"/>
    <w:rsid w:val="00ED425E"/>
    <w:rsid w:val="00ED4C31"/>
    <w:rsid w:val="00ED527E"/>
    <w:rsid w:val="00ED5B17"/>
    <w:rsid w:val="00ED6128"/>
    <w:rsid w:val="00ED7197"/>
    <w:rsid w:val="00ED761F"/>
    <w:rsid w:val="00ED7EA0"/>
    <w:rsid w:val="00EE0D73"/>
    <w:rsid w:val="00EE0D95"/>
    <w:rsid w:val="00EE2BF4"/>
    <w:rsid w:val="00EE3CBC"/>
    <w:rsid w:val="00EE3DD8"/>
    <w:rsid w:val="00EE67E2"/>
    <w:rsid w:val="00EE6871"/>
    <w:rsid w:val="00EE6B53"/>
    <w:rsid w:val="00EE6BD7"/>
    <w:rsid w:val="00EE7FB7"/>
    <w:rsid w:val="00EF0279"/>
    <w:rsid w:val="00EF0368"/>
    <w:rsid w:val="00EF05D8"/>
    <w:rsid w:val="00EF0E28"/>
    <w:rsid w:val="00EF20C4"/>
    <w:rsid w:val="00EF23BB"/>
    <w:rsid w:val="00EF295F"/>
    <w:rsid w:val="00EF30E9"/>
    <w:rsid w:val="00EF32B3"/>
    <w:rsid w:val="00EF34CC"/>
    <w:rsid w:val="00EF433A"/>
    <w:rsid w:val="00EF495D"/>
    <w:rsid w:val="00EF5AE1"/>
    <w:rsid w:val="00EF69AF"/>
    <w:rsid w:val="00EF69B8"/>
    <w:rsid w:val="00EF70A6"/>
    <w:rsid w:val="00EF7C18"/>
    <w:rsid w:val="00EF7D10"/>
    <w:rsid w:val="00F00DD4"/>
    <w:rsid w:val="00F01A2C"/>
    <w:rsid w:val="00F033E8"/>
    <w:rsid w:val="00F0354A"/>
    <w:rsid w:val="00F04A24"/>
    <w:rsid w:val="00F04B3D"/>
    <w:rsid w:val="00F04BA6"/>
    <w:rsid w:val="00F04CA4"/>
    <w:rsid w:val="00F059FD"/>
    <w:rsid w:val="00F06286"/>
    <w:rsid w:val="00F0689D"/>
    <w:rsid w:val="00F06A77"/>
    <w:rsid w:val="00F0768E"/>
    <w:rsid w:val="00F07826"/>
    <w:rsid w:val="00F105D4"/>
    <w:rsid w:val="00F10693"/>
    <w:rsid w:val="00F10BF7"/>
    <w:rsid w:val="00F10E9E"/>
    <w:rsid w:val="00F11C73"/>
    <w:rsid w:val="00F1231F"/>
    <w:rsid w:val="00F13C2A"/>
    <w:rsid w:val="00F151AD"/>
    <w:rsid w:val="00F151E2"/>
    <w:rsid w:val="00F15585"/>
    <w:rsid w:val="00F15C80"/>
    <w:rsid w:val="00F160D3"/>
    <w:rsid w:val="00F1624B"/>
    <w:rsid w:val="00F17E32"/>
    <w:rsid w:val="00F17EEC"/>
    <w:rsid w:val="00F21A2E"/>
    <w:rsid w:val="00F21E6D"/>
    <w:rsid w:val="00F23F3C"/>
    <w:rsid w:val="00F23FC8"/>
    <w:rsid w:val="00F24E07"/>
    <w:rsid w:val="00F25121"/>
    <w:rsid w:val="00F260A6"/>
    <w:rsid w:val="00F27429"/>
    <w:rsid w:val="00F27592"/>
    <w:rsid w:val="00F33736"/>
    <w:rsid w:val="00F34C96"/>
    <w:rsid w:val="00F35C92"/>
    <w:rsid w:val="00F3601E"/>
    <w:rsid w:val="00F36D4D"/>
    <w:rsid w:val="00F404CF"/>
    <w:rsid w:val="00F414D8"/>
    <w:rsid w:val="00F41CE7"/>
    <w:rsid w:val="00F436BF"/>
    <w:rsid w:val="00F447ED"/>
    <w:rsid w:val="00F44F81"/>
    <w:rsid w:val="00F456A2"/>
    <w:rsid w:val="00F4676D"/>
    <w:rsid w:val="00F500C7"/>
    <w:rsid w:val="00F50875"/>
    <w:rsid w:val="00F519B0"/>
    <w:rsid w:val="00F52FD4"/>
    <w:rsid w:val="00F546F6"/>
    <w:rsid w:val="00F54C72"/>
    <w:rsid w:val="00F55058"/>
    <w:rsid w:val="00F5556A"/>
    <w:rsid w:val="00F55E52"/>
    <w:rsid w:val="00F56949"/>
    <w:rsid w:val="00F57296"/>
    <w:rsid w:val="00F57E4A"/>
    <w:rsid w:val="00F60274"/>
    <w:rsid w:val="00F6056B"/>
    <w:rsid w:val="00F610B8"/>
    <w:rsid w:val="00F61499"/>
    <w:rsid w:val="00F61C39"/>
    <w:rsid w:val="00F6242E"/>
    <w:rsid w:val="00F629EB"/>
    <w:rsid w:val="00F62BD0"/>
    <w:rsid w:val="00F62E49"/>
    <w:rsid w:val="00F63CBF"/>
    <w:rsid w:val="00F65462"/>
    <w:rsid w:val="00F65DCB"/>
    <w:rsid w:val="00F660BA"/>
    <w:rsid w:val="00F668E7"/>
    <w:rsid w:val="00F66F82"/>
    <w:rsid w:val="00F6701A"/>
    <w:rsid w:val="00F671CB"/>
    <w:rsid w:val="00F67393"/>
    <w:rsid w:val="00F67E9D"/>
    <w:rsid w:val="00F70282"/>
    <w:rsid w:val="00F706AD"/>
    <w:rsid w:val="00F70AB7"/>
    <w:rsid w:val="00F70DDC"/>
    <w:rsid w:val="00F71082"/>
    <w:rsid w:val="00F7123F"/>
    <w:rsid w:val="00F718B5"/>
    <w:rsid w:val="00F71AC2"/>
    <w:rsid w:val="00F722ED"/>
    <w:rsid w:val="00F72576"/>
    <w:rsid w:val="00F72C73"/>
    <w:rsid w:val="00F74462"/>
    <w:rsid w:val="00F74863"/>
    <w:rsid w:val="00F755C6"/>
    <w:rsid w:val="00F75F5D"/>
    <w:rsid w:val="00F760BD"/>
    <w:rsid w:val="00F7645E"/>
    <w:rsid w:val="00F76535"/>
    <w:rsid w:val="00F76F5C"/>
    <w:rsid w:val="00F816F6"/>
    <w:rsid w:val="00F81D79"/>
    <w:rsid w:val="00F82343"/>
    <w:rsid w:val="00F82CAA"/>
    <w:rsid w:val="00F83F87"/>
    <w:rsid w:val="00F854A9"/>
    <w:rsid w:val="00F85911"/>
    <w:rsid w:val="00F8610A"/>
    <w:rsid w:val="00F86FDC"/>
    <w:rsid w:val="00F86FE0"/>
    <w:rsid w:val="00F86FE4"/>
    <w:rsid w:val="00F878F5"/>
    <w:rsid w:val="00F87FBF"/>
    <w:rsid w:val="00F90B60"/>
    <w:rsid w:val="00F91900"/>
    <w:rsid w:val="00F93125"/>
    <w:rsid w:val="00F9393B"/>
    <w:rsid w:val="00F93C6E"/>
    <w:rsid w:val="00F94AC6"/>
    <w:rsid w:val="00F953EE"/>
    <w:rsid w:val="00F955FE"/>
    <w:rsid w:val="00F9673A"/>
    <w:rsid w:val="00F96FB0"/>
    <w:rsid w:val="00F9729F"/>
    <w:rsid w:val="00F972CA"/>
    <w:rsid w:val="00F978A1"/>
    <w:rsid w:val="00F97AEF"/>
    <w:rsid w:val="00FA039E"/>
    <w:rsid w:val="00FA0FB9"/>
    <w:rsid w:val="00FA1618"/>
    <w:rsid w:val="00FA22B6"/>
    <w:rsid w:val="00FA2532"/>
    <w:rsid w:val="00FA28E6"/>
    <w:rsid w:val="00FA2AF3"/>
    <w:rsid w:val="00FA2BC9"/>
    <w:rsid w:val="00FA3785"/>
    <w:rsid w:val="00FA4009"/>
    <w:rsid w:val="00FA4A6A"/>
    <w:rsid w:val="00FA5C17"/>
    <w:rsid w:val="00FA6737"/>
    <w:rsid w:val="00FA703A"/>
    <w:rsid w:val="00FB01B5"/>
    <w:rsid w:val="00FB1A23"/>
    <w:rsid w:val="00FB1E7A"/>
    <w:rsid w:val="00FB1F1A"/>
    <w:rsid w:val="00FB2192"/>
    <w:rsid w:val="00FB23F9"/>
    <w:rsid w:val="00FB267C"/>
    <w:rsid w:val="00FB28C5"/>
    <w:rsid w:val="00FB2A71"/>
    <w:rsid w:val="00FB2CC1"/>
    <w:rsid w:val="00FB3214"/>
    <w:rsid w:val="00FB3C71"/>
    <w:rsid w:val="00FB4031"/>
    <w:rsid w:val="00FB47B4"/>
    <w:rsid w:val="00FB5650"/>
    <w:rsid w:val="00FB5C01"/>
    <w:rsid w:val="00FB6152"/>
    <w:rsid w:val="00FB671A"/>
    <w:rsid w:val="00FB76DF"/>
    <w:rsid w:val="00FB77DF"/>
    <w:rsid w:val="00FB7F82"/>
    <w:rsid w:val="00FC150C"/>
    <w:rsid w:val="00FC1B78"/>
    <w:rsid w:val="00FC2A35"/>
    <w:rsid w:val="00FC2D1F"/>
    <w:rsid w:val="00FC4365"/>
    <w:rsid w:val="00FC46F9"/>
    <w:rsid w:val="00FC4BCC"/>
    <w:rsid w:val="00FC660F"/>
    <w:rsid w:val="00FC7067"/>
    <w:rsid w:val="00FC7161"/>
    <w:rsid w:val="00FC7A4C"/>
    <w:rsid w:val="00FC7B77"/>
    <w:rsid w:val="00FD1D06"/>
    <w:rsid w:val="00FD224B"/>
    <w:rsid w:val="00FD26FE"/>
    <w:rsid w:val="00FD281E"/>
    <w:rsid w:val="00FD3D20"/>
    <w:rsid w:val="00FD4669"/>
    <w:rsid w:val="00FD4B1C"/>
    <w:rsid w:val="00FD554F"/>
    <w:rsid w:val="00FD5616"/>
    <w:rsid w:val="00FD5BE3"/>
    <w:rsid w:val="00FD6087"/>
    <w:rsid w:val="00FD6727"/>
    <w:rsid w:val="00FD6A2F"/>
    <w:rsid w:val="00FD78EC"/>
    <w:rsid w:val="00FD7FFC"/>
    <w:rsid w:val="00FE2488"/>
    <w:rsid w:val="00FE3CEB"/>
    <w:rsid w:val="00FE3CF1"/>
    <w:rsid w:val="00FE46D4"/>
    <w:rsid w:val="00FE6025"/>
    <w:rsid w:val="00FE6868"/>
    <w:rsid w:val="00FE7049"/>
    <w:rsid w:val="00FE76C2"/>
    <w:rsid w:val="00FE7A15"/>
    <w:rsid w:val="00FE7B70"/>
    <w:rsid w:val="00FF0293"/>
    <w:rsid w:val="00FF258C"/>
    <w:rsid w:val="00FF2C8B"/>
    <w:rsid w:val="00FF2F23"/>
    <w:rsid w:val="00FF3092"/>
    <w:rsid w:val="00FF3BDA"/>
    <w:rsid w:val="00FF4301"/>
    <w:rsid w:val="00FF4481"/>
    <w:rsid w:val="00FF48EC"/>
    <w:rsid w:val="00FF5139"/>
    <w:rsid w:val="00FF5B86"/>
    <w:rsid w:val="00FF5CC0"/>
    <w:rsid w:val="00FF6141"/>
    <w:rsid w:val="00FF67AF"/>
    <w:rsid w:val="00FF71D5"/>
    <w:rsid w:val="00FF73BD"/>
    <w:rsid w:val="00FF7414"/>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96961"/>
    <o:shapelayout v:ext="edit">
      <o:idmap v:ext="edit" data="1"/>
    </o:shapelayout>
  </w:shapeDefaults>
  <w:decimalSymbol w:val=","/>
  <w:listSeparator w:val=";"/>
  <w14:docId w14:val="7CB47802"/>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7"/>
    <w:lsdException w:name="heading 2" w:semiHidden="1" w:uiPriority="7" w:unhideWhenUsed="1"/>
    <w:lsdException w:name="heading 3" w:semiHidden="1" w:uiPriority="7" w:unhideWhenUsed="1"/>
    <w:lsdException w:name="heading 4" w:semiHidden="1" w:uiPriority="7" w:unhideWhenUsed="1"/>
    <w:lsdException w:name="heading 5" w:semiHidden="1" w:uiPriority="7" w:unhideWhenUsed="1"/>
    <w:lsdException w:name="heading 6" w:semiHidden="1" w:uiPriority="7" w:unhideWhenUsed="1"/>
    <w:lsdException w:name="heading 7" w:semiHidden="1" w:uiPriority="7" w:unhideWhenUsed="1"/>
    <w:lsdException w:name="heading 8" w:semiHidden="1" w:uiPriority="7" w:unhideWhenUsed="1"/>
    <w:lsdException w:name="heading 9" w:semiHidden="1" w:uiPriority="7"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qFormat="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7"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Number" w:qFormat="1"/>
    <w:lsdException w:name="List 2" w:semiHidden="1" w:unhideWhenUsed="1"/>
    <w:lsdException w:name="List 3" w:semiHidden="1" w:unhideWhenUsed="1"/>
    <w:lsdException w:name="List 4" w:semiHidden="1" w:unhideWhenUsed="1"/>
    <w:lsdException w:name="List 5" w:semiHidden="1" w:unhideWhenUsed="1"/>
    <w:lsdException w:name="List Bullet 3" w:semiHidden="1" w:unhideWhenUsed="1"/>
    <w:lsdException w:name="List Bullet 4" w:semiHidden="1" w:unhideWhenUsed="1"/>
    <w:lsdException w:name="List Bullet 5" w:semiHidden="1" w:unhideWhenUsed="1"/>
    <w:lsdException w:name="List Number 2" w:qFormat="1"/>
    <w:lsdException w:name="List Number 3" w:qFormat="1"/>
    <w:lsdException w:name="List Number 4" w:qFormat="1"/>
    <w:lsdException w:name="List Number 5" w:qFormat="1"/>
    <w:lsdException w:name="Title" w:uiPriority="10"/>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semiHidden="1" w:unhideWhenUsed="1" w:qFormat="1"/>
    <w:lsdException w:name="Bibliography" w:semiHidden="1" w:uiPriority="38"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aliases w:val="HS_Normální"/>
    <w:qFormat/>
    <w:rsid w:val="00D45A73"/>
    <w:pPr>
      <w:spacing w:after="60" w:line="240" w:lineRule="auto"/>
      <w:jc w:val="both"/>
    </w:pPr>
    <w:rPr>
      <w:color w:val="000000" w:themeColor="text1"/>
    </w:rPr>
  </w:style>
  <w:style w:type="paragraph" w:styleId="Nadpis1">
    <w:name w:val="heading 1"/>
    <w:aliases w:val="HS_Nadpis_1"/>
    <w:basedOn w:val="Normln"/>
    <w:next w:val="HSNadpis2bezslovn"/>
    <w:link w:val="Nadpis1Char"/>
    <w:autoRedefine/>
    <w:uiPriority w:val="7"/>
    <w:rsid w:val="00D45A73"/>
    <w:pPr>
      <w:keepNext/>
      <w:keepLines/>
      <w:pageBreakBefore/>
      <w:numPr>
        <w:numId w:val="12"/>
      </w:numPr>
      <w:spacing w:before="120"/>
      <w:ind w:left="851" w:hanging="851"/>
      <w:outlineLvl w:val="0"/>
    </w:pPr>
    <w:rPr>
      <w:rFonts w:eastAsiaTheme="majorEastAsia" w:cstheme="majorBidi"/>
      <w:b/>
      <w:color w:val="004B8D" w:themeColor="text2"/>
      <w:sz w:val="48"/>
      <w:szCs w:val="32"/>
    </w:rPr>
  </w:style>
  <w:style w:type="paragraph" w:styleId="Nadpis2">
    <w:name w:val="heading 2"/>
    <w:basedOn w:val="Normln"/>
    <w:next w:val="Normln"/>
    <w:link w:val="Nadpis2Char"/>
    <w:uiPriority w:val="7"/>
    <w:unhideWhenUsed/>
    <w:rsid w:val="00F610B8"/>
    <w:pPr>
      <w:keepNext/>
      <w:keepLines/>
      <w:numPr>
        <w:ilvl w:val="1"/>
        <w:numId w:val="9"/>
      </w:numPr>
      <w:spacing w:before="80" w:after="0"/>
      <w:outlineLvl w:val="1"/>
    </w:pPr>
    <w:rPr>
      <w:rFonts w:asciiTheme="majorHAnsi" w:eastAsiaTheme="majorEastAsia" w:hAnsiTheme="majorHAnsi" w:cstheme="majorBidi"/>
      <w:b/>
      <w:color w:val="004B8D" w:themeColor="text2"/>
      <w:sz w:val="28"/>
      <w:szCs w:val="26"/>
    </w:rPr>
  </w:style>
  <w:style w:type="paragraph" w:styleId="Nadpis3">
    <w:name w:val="heading 3"/>
    <w:basedOn w:val="Normln"/>
    <w:next w:val="Normln"/>
    <w:link w:val="Nadpis3Char"/>
    <w:uiPriority w:val="7"/>
    <w:unhideWhenUsed/>
    <w:rsid w:val="007251F4"/>
    <w:pPr>
      <w:keepNext/>
      <w:keepLines/>
      <w:numPr>
        <w:ilvl w:val="2"/>
        <w:numId w:val="9"/>
      </w:numPr>
      <w:spacing w:before="40" w:after="0"/>
      <w:outlineLvl w:val="2"/>
    </w:pPr>
    <w:rPr>
      <w:rFonts w:asciiTheme="majorHAnsi" w:eastAsiaTheme="majorEastAsia" w:hAnsiTheme="majorHAnsi" w:cstheme="majorBidi"/>
      <w:b/>
      <w:color w:val="004B8D" w:themeColor="text2"/>
      <w:sz w:val="24"/>
      <w:szCs w:val="24"/>
    </w:rPr>
  </w:style>
  <w:style w:type="paragraph" w:styleId="Nadpis4">
    <w:name w:val="heading 4"/>
    <w:basedOn w:val="Normln"/>
    <w:next w:val="Normln"/>
    <w:link w:val="Nadpis4Char"/>
    <w:uiPriority w:val="7"/>
    <w:unhideWhenUsed/>
    <w:rsid w:val="00C6690E"/>
    <w:pPr>
      <w:keepNext/>
      <w:keepLines/>
      <w:numPr>
        <w:ilvl w:val="3"/>
        <w:numId w:val="9"/>
      </w:numPr>
      <w:spacing w:before="40" w:after="0"/>
      <w:outlineLvl w:val="3"/>
    </w:pPr>
    <w:rPr>
      <w:rFonts w:asciiTheme="majorHAnsi" w:eastAsiaTheme="majorEastAsia" w:hAnsiTheme="majorHAnsi" w:cstheme="majorBidi"/>
      <w:i/>
      <w:iCs/>
      <w:sz w:val="24"/>
    </w:rPr>
  </w:style>
  <w:style w:type="paragraph" w:styleId="Nadpis5">
    <w:name w:val="heading 5"/>
    <w:basedOn w:val="Normln"/>
    <w:next w:val="Normln"/>
    <w:link w:val="Nadpis5Char"/>
    <w:uiPriority w:val="7"/>
    <w:unhideWhenUsed/>
    <w:rsid w:val="00C6690E"/>
    <w:pPr>
      <w:keepNext/>
      <w:keepLines/>
      <w:numPr>
        <w:ilvl w:val="4"/>
        <w:numId w:val="9"/>
      </w:numPr>
      <w:spacing w:before="40" w:after="0"/>
      <w:outlineLvl w:val="4"/>
    </w:pPr>
    <w:rPr>
      <w:rFonts w:asciiTheme="majorHAnsi" w:eastAsiaTheme="majorEastAsia" w:hAnsiTheme="majorHAnsi" w:cstheme="majorBidi"/>
      <w:b/>
    </w:rPr>
  </w:style>
  <w:style w:type="paragraph" w:styleId="Nadpis6">
    <w:name w:val="heading 6"/>
    <w:basedOn w:val="Normln"/>
    <w:next w:val="Normln"/>
    <w:link w:val="Nadpis6Char"/>
    <w:uiPriority w:val="7"/>
    <w:unhideWhenUsed/>
    <w:rsid w:val="00C6690E"/>
    <w:pPr>
      <w:keepNext/>
      <w:keepLines/>
      <w:numPr>
        <w:ilvl w:val="5"/>
        <w:numId w:val="9"/>
      </w:numPr>
      <w:spacing w:before="40" w:after="0"/>
      <w:outlineLvl w:val="5"/>
    </w:pPr>
    <w:rPr>
      <w:rFonts w:asciiTheme="majorHAnsi" w:eastAsiaTheme="majorEastAsia" w:hAnsiTheme="majorHAnsi" w:cstheme="majorBidi"/>
      <w:i/>
    </w:rPr>
  </w:style>
  <w:style w:type="paragraph" w:styleId="Nadpis7">
    <w:name w:val="heading 7"/>
    <w:basedOn w:val="Normln"/>
    <w:next w:val="Normln"/>
    <w:link w:val="Nadpis7Char"/>
    <w:uiPriority w:val="7"/>
    <w:unhideWhenUsed/>
    <w:rsid w:val="00C6690E"/>
    <w:pPr>
      <w:keepNext/>
      <w:keepLines/>
      <w:numPr>
        <w:ilvl w:val="6"/>
        <w:numId w:val="9"/>
      </w:numPr>
      <w:spacing w:before="40" w:after="0"/>
      <w:outlineLvl w:val="6"/>
    </w:pPr>
    <w:rPr>
      <w:rFonts w:asciiTheme="majorHAnsi" w:eastAsiaTheme="majorEastAsia" w:hAnsiTheme="majorHAnsi" w:cstheme="majorBidi"/>
      <w:iCs/>
    </w:rPr>
  </w:style>
  <w:style w:type="paragraph" w:styleId="Nadpis8">
    <w:name w:val="heading 8"/>
    <w:basedOn w:val="Normln"/>
    <w:next w:val="Normln"/>
    <w:link w:val="Nadpis8Char"/>
    <w:uiPriority w:val="7"/>
    <w:unhideWhenUsed/>
    <w:rsid w:val="00A95C48"/>
    <w:pPr>
      <w:keepNext/>
      <w:keepLines/>
      <w:numPr>
        <w:ilvl w:val="7"/>
        <w:numId w:val="9"/>
      </w:numPr>
      <w:spacing w:before="40" w:after="0"/>
      <w:outlineLvl w:val="7"/>
    </w:pPr>
    <w:rPr>
      <w:rFonts w:asciiTheme="majorHAnsi" w:eastAsiaTheme="majorEastAsia" w:hAnsiTheme="majorHAnsi" w:cstheme="majorBidi"/>
      <w:b/>
      <w:color w:val="272727" w:themeColor="text1" w:themeTint="D8"/>
      <w:szCs w:val="21"/>
    </w:rPr>
  </w:style>
  <w:style w:type="paragraph" w:styleId="Nadpis9">
    <w:name w:val="heading 9"/>
    <w:basedOn w:val="Normln"/>
    <w:next w:val="Normln"/>
    <w:link w:val="Nadpis9Char"/>
    <w:uiPriority w:val="7"/>
    <w:unhideWhenUsed/>
    <w:rsid w:val="00A95C48"/>
    <w:pPr>
      <w:keepNext/>
      <w:keepLines/>
      <w:numPr>
        <w:ilvl w:val="8"/>
        <w:numId w:val="9"/>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HSvodnstrnkarok">
    <w:name w:val="HS_Úvodní_stránka_rok"/>
    <w:basedOn w:val="HSvodnstrnka"/>
    <w:autoRedefine/>
    <w:qFormat/>
    <w:rsid w:val="00F21E6D"/>
    <w:pPr>
      <w:spacing w:before="4320" w:line="240" w:lineRule="auto"/>
    </w:pPr>
    <w:rPr>
      <w:sz w:val="52"/>
    </w:rPr>
  </w:style>
  <w:style w:type="numbering" w:customStyle="1" w:styleId="VariantaB-odrky">
    <w:name w:val="Varianta B - odrážky"/>
    <w:uiPriority w:val="99"/>
    <w:rsid w:val="007102D2"/>
    <w:pPr>
      <w:numPr>
        <w:numId w:val="1"/>
      </w:numPr>
    </w:pPr>
  </w:style>
  <w:style w:type="character" w:customStyle="1" w:styleId="Nadpis1Char">
    <w:name w:val="Nadpis 1 Char"/>
    <w:aliases w:val="HS_Nadpis_1 Char"/>
    <w:basedOn w:val="Standardnpsmoodstavce"/>
    <w:link w:val="Nadpis1"/>
    <w:uiPriority w:val="7"/>
    <w:rsid w:val="00D45A73"/>
    <w:rPr>
      <w:rFonts w:eastAsiaTheme="majorEastAsia" w:cstheme="majorBidi"/>
      <w:b/>
      <w:color w:val="004B8D" w:themeColor="text2"/>
      <w:sz w:val="48"/>
      <w:szCs w:val="32"/>
    </w:rPr>
  </w:style>
  <w:style w:type="numbering" w:customStyle="1" w:styleId="VariantaA-odrky">
    <w:name w:val="Varianta A - odrážky"/>
    <w:uiPriority w:val="99"/>
    <w:rsid w:val="00262DAF"/>
    <w:pPr>
      <w:numPr>
        <w:numId w:val="2"/>
      </w:numPr>
    </w:pPr>
  </w:style>
  <w:style w:type="character" w:customStyle="1" w:styleId="Nadpis2Char">
    <w:name w:val="Nadpis 2 Char"/>
    <w:basedOn w:val="Standardnpsmoodstavce"/>
    <w:link w:val="Nadpis2"/>
    <w:uiPriority w:val="7"/>
    <w:rsid w:val="00F610B8"/>
    <w:rPr>
      <w:rFonts w:asciiTheme="majorHAnsi" w:eastAsiaTheme="majorEastAsia" w:hAnsiTheme="majorHAnsi" w:cstheme="majorBidi"/>
      <w:b/>
      <w:color w:val="004B8D" w:themeColor="text2"/>
      <w:sz w:val="28"/>
      <w:szCs w:val="26"/>
    </w:rPr>
  </w:style>
  <w:style w:type="numbering" w:customStyle="1" w:styleId="VariantaA-sla">
    <w:name w:val="Varianta A - čísla"/>
    <w:uiPriority w:val="99"/>
    <w:rsid w:val="00B50EE6"/>
    <w:pPr>
      <w:numPr>
        <w:numId w:val="4"/>
      </w:numPr>
    </w:pPr>
  </w:style>
  <w:style w:type="numbering" w:customStyle="1" w:styleId="VariantaB-sla">
    <w:name w:val="Varianta B - čísla"/>
    <w:uiPriority w:val="99"/>
    <w:rsid w:val="009F7F46"/>
    <w:pPr>
      <w:numPr>
        <w:numId w:val="3"/>
      </w:numPr>
    </w:pPr>
  </w:style>
  <w:style w:type="character" w:customStyle="1" w:styleId="Nadpis3Char">
    <w:name w:val="Nadpis 3 Char"/>
    <w:basedOn w:val="Standardnpsmoodstavce"/>
    <w:link w:val="Nadpis3"/>
    <w:uiPriority w:val="7"/>
    <w:rsid w:val="007251F4"/>
    <w:rPr>
      <w:rFonts w:asciiTheme="majorHAnsi" w:eastAsiaTheme="majorEastAsia" w:hAnsiTheme="majorHAnsi" w:cstheme="majorBidi"/>
      <w:b/>
      <w:color w:val="004B8D" w:themeColor="text2"/>
      <w:sz w:val="24"/>
      <w:szCs w:val="24"/>
    </w:rPr>
  </w:style>
  <w:style w:type="character" w:customStyle="1" w:styleId="Nadpis4Char">
    <w:name w:val="Nadpis 4 Char"/>
    <w:basedOn w:val="Standardnpsmoodstavce"/>
    <w:link w:val="Nadpis4"/>
    <w:uiPriority w:val="7"/>
    <w:rsid w:val="003250CB"/>
    <w:rPr>
      <w:rFonts w:asciiTheme="majorHAnsi" w:eastAsiaTheme="majorEastAsia" w:hAnsiTheme="majorHAnsi" w:cstheme="majorBidi"/>
      <w:i/>
      <w:iCs/>
      <w:color w:val="000000" w:themeColor="text1"/>
      <w:sz w:val="24"/>
    </w:rPr>
  </w:style>
  <w:style w:type="character" w:customStyle="1" w:styleId="Nadpis5Char">
    <w:name w:val="Nadpis 5 Char"/>
    <w:basedOn w:val="Standardnpsmoodstavce"/>
    <w:link w:val="Nadpis5"/>
    <w:uiPriority w:val="7"/>
    <w:rsid w:val="003250CB"/>
    <w:rPr>
      <w:rFonts w:asciiTheme="majorHAnsi" w:eastAsiaTheme="majorEastAsia" w:hAnsiTheme="majorHAnsi" w:cstheme="majorBidi"/>
      <w:b/>
      <w:color w:val="000000" w:themeColor="text1"/>
    </w:rPr>
  </w:style>
  <w:style w:type="character" w:customStyle="1" w:styleId="Nadpis6Char">
    <w:name w:val="Nadpis 6 Char"/>
    <w:basedOn w:val="Standardnpsmoodstavce"/>
    <w:link w:val="Nadpis6"/>
    <w:uiPriority w:val="7"/>
    <w:rsid w:val="003250CB"/>
    <w:rPr>
      <w:rFonts w:asciiTheme="majorHAnsi" w:eastAsiaTheme="majorEastAsia" w:hAnsiTheme="majorHAnsi" w:cstheme="majorBidi"/>
      <w:i/>
      <w:color w:val="000000" w:themeColor="text1"/>
    </w:rPr>
  </w:style>
  <w:style w:type="character" w:customStyle="1" w:styleId="Nadpis7Char">
    <w:name w:val="Nadpis 7 Char"/>
    <w:basedOn w:val="Standardnpsmoodstavce"/>
    <w:link w:val="Nadpis7"/>
    <w:uiPriority w:val="7"/>
    <w:rsid w:val="003250CB"/>
    <w:rPr>
      <w:rFonts w:asciiTheme="majorHAnsi" w:eastAsiaTheme="majorEastAsia" w:hAnsiTheme="majorHAnsi" w:cstheme="majorBidi"/>
      <w:iCs/>
      <w:color w:val="000000" w:themeColor="text1"/>
    </w:rPr>
  </w:style>
  <w:style w:type="character" w:customStyle="1" w:styleId="Nadpis8Char">
    <w:name w:val="Nadpis 8 Char"/>
    <w:basedOn w:val="Standardnpsmoodstavce"/>
    <w:link w:val="Nadpis8"/>
    <w:uiPriority w:val="7"/>
    <w:rsid w:val="003250CB"/>
    <w:rPr>
      <w:rFonts w:asciiTheme="majorHAnsi" w:eastAsiaTheme="majorEastAsia" w:hAnsiTheme="majorHAnsi" w:cstheme="majorBidi"/>
      <w:b/>
      <w:color w:val="272727" w:themeColor="text1" w:themeTint="D8"/>
      <w:szCs w:val="21"/>
    </w:rPr>
  </w:style>
  <w:style w:type="character" w:customStyle="1" w:styleId="Nadpis9Char">
    <w:name w:val="Nadpis 9 Char"/>
    <w:basedOn w:val="Standardnpsmoodstavce"/>
    <w:link w:val="Nadpis9"/>
    <w:uiPriority w:val="7"/>
    <w:rsid w:val="003250CB"/>
    <w:rPr>
      <w:rFonts w:asciiTheme="majorHAnsi" w:eastAsiaTheme="majorEastAsia" w:hAnsiTheme="majorHAnsi" w:cstheme="majorBidi"/>
      <w:i/>
      <w:iCs/>
      <w:color w:val="272727" w:themeColor="text1" w:themeTint="D8"/>
      <w:sz w:val="21"/>
      <w:szCs w:val="21"/>
    </w:rPr>
  </w:style>
  <w:style w:type="paragraph" w:styleId="Nzev">
    <w:name w:val="Title"/>
    <w:basedOn w:val="Normln"/>
    <w:next w:val="Normln"/>
    <w:link w:val="NzevChar"/>
    <w:uiPriority w:val="4"/>
    <w:rsid w:val="00C55371"/>
    <w:pPr>
      <w:keepNext/>
      <w:keepLines/>
      <w:spacing w:after="0"/>
      <w:contextualSpacing/>
    </w:pPr>
    <w:rPr>
      <w:rFonts w:asciiTheme="majorHAnsi" w:eastAsiaTheme="majorEastAsia" w:hAnsiTheme="majorHAnsi" w:cstheme="majorBidi"/>
      <w:color w:val="004B8D" w:themeColor="text2"/>
      <w:spacing w:val="-10"/>
      <w:kern w:val="28"/>
      <w:sz w:val="48"/>
      <w:szCs w:val="56"/>
    </w:rPr>
  </w:style>
  <w:style w:type="character" w:customStyle="1" w:styleId="NzevChar">
    <w:name w:val="Název Char"/>
    <w:basedOn w:val="Standardnpsmoodstavce"/>
    <w:link w:val="Nzev"/>
    <w:uiPriority w:val="4"/>
    <w:rsid w:val="00C55371"/>
    <w:rPr>
      <w:rFonts w:asciiTheme="majorHAnsi" w:eastAsiaTheme="majorEastAsia" w:hAnsiTheme="majorHAnsi" w:cstheme="majorBidi"/>
      <w:color w:val="004B8D" w:themeColor="text2"/>
      <w:spacing w:val="-10"/>
      <w:kern w:val="28"/>
      <w:sz w:val="48"/>
      <w:szCs w:val="56"/>
    </w:rPr>
  </w:style>
  <w:style w:type="paragraph" w:styleId="Vrazncitt">
    <w:name w:val="Intense Quote"/>
    <w:basedOn w:val="Normln"/>
    <w:next w:val="Normln"/>
    <w:link w:val="VrazncittChar"/>
    <w:uiPriority w:val="28"/>
    <w:rsid w:val="00C55371"/>
    <w:pPr>
      <w:keepLines/>
      <w:pBdr>
        <w:top w:val="single" w:sz="4" w:space="10" w:color="004B8D" w:themeColor="accent2"/>
        <w:bottom w:val="single" w:sz="4" w:space="10" w:color="004B8D" w:themeColor="accent2"/>
      </w:pBdr>
      <w:spacing w:before="240" w:after="240"/>
      <w:ind w:left="357" w:right="357"/>
    </w:pPr>
    <w:rPr>
      <w:i/>
      <w:iCs/>
      <w:color w:val="004B8D" w:themeColor="text2"/>
    </w:rPr>
  </w:style>
  <w:style w:type="character" w:customStyle="1" w:styleId="VrazncittChar">
    <w:name w:val="Výrazný citát Char"/>
    <w:basedOn w:val="Standardnpsmoodstavce"/>
    <w:link w:val="Vrazncitt"/>
    <w:uiPriority w:val="28"/>
    <w:rsid w:val="00C55371"/>
    <w:rPr>
      <w:i/>
      <w:iCs/>
      <w:color w:val="004B8D" w:themeColor="text2"/>
    </w:rPr>
  </w:style>
  <w:style w:type="character" w:styleId="Odkazintenzivn">
    <w:name w:val="Intense Reference"/>
    <w:basedOn w:val="Standardnpsmoodstavce"/>
    <w:uiPriority w:val="24"/>
    <w:rsid w:val="0039063C"/>
    <w:rPr>
      <w:b/>
      <w:bCs/>
      <w:smallCaps/>
      <w:color w:val="000000" w:themeColor="text1"/>
      <w:spacing w:val="5"/>
    </w:rPr>
  </w:style>
  <w:style w:type="paragraph" w:styleId="slovanseznam">
    <w:name w:val="List Number"/>
    <w:aliases w:val="Číslovaný seznam A"/>
    <w:basedOn w:val="Normln"/>
    <w:uiPriority w:val="15"/>
    <w:qFormat/>
    <w:rsid w:val="001B1E4A"/>
    <w:pPr>
      <w:numPr>
        <w:numId w:val="7"/>
      </w:numPr>
      <w:spacing w:after="0"/>
    </w:pPr>
  </w:style>
  <w:style w:type="paragraph" w:styleId="slovanseznam2">
    <w:name w:val="List Number 2"/>
    <w:aliases w:val="Číslovaný seznam A 2"/>
    <w:basedOn w:val="Normln"/>
    <w:uiPriority w:val="15"/>
    <w:qFormat/>
    <w:rsid w:val="001B1E4A"/>
    <w:pPr>
      <w:numPr>
        <w:ilvl w:val="1"/>
        <w:numId w:val="7"/>
      </w:numPr>
      <w:spacing w:after="0"/>
      <w:contextualSpacing/>
    </w:pPr>
  </w:style>
  <w:style w:type="paragraph" w:styleId="slovanseznam3">
    <w:name w:val="List Number 3"/>
    <w:aliases w:val="Číslovaný seznam A 3"/>
    <w:basedOn w:val="Normln"/>
    <w:uiPriority w:val="15"/>
    <w:qFormat/>
    <w:rsid w:val="001B1E4A"/>
    <w:pPr>
      <w:numPr>
        <w:ilvl w:val="2"/>
        <w:numId w:val="7"/>
      </w:numPr>
      <w:spacing w:after="0"/>
      <w:contextualSpacing/>
    </w:pPr>
  </w:style>
  <w:style w:type="paragraph" w:styleId="slovanseznam4">
    <w:name w:val="List Number 4"/>
    <w:aliases w:val="Číslovaný seznam A 4"/>
    <w:basedOn w:val="Normln"/>
    <w:uiPriority w:val="15"/>
    <w:qFormat/>
    <w:rsid w:val="001B1E4A"/>
    <w:pPr>
      <w:numPr>
        <w:ilvl w:val="3"/>
        <w:numId w:val="7"/>
      </w:numPr>
      <w:spacing w:after="0"/>
      <w:contextualSpacing/>
    </w:pPr>
  </w:style>
  <w:style w:type="paragraph" w:styleId="slovanseznam5">
    <w:name w:val="List Number 5"/>
    <w:aliases w:val="Číslovaný seznam A 5"/>
    <w:basedOn w:val="Normln"/>
    <w:uiPriority w:val="15"/>
    <w:qFormat/>
    <w:rsid w:val="001B1E4A"/>
    <w:pPr>
      <w:numPr>
        <w:ilvl w:val="4"/>
        <w:numId w:val="7"/>
      </w:numPr>
      <w:spacing w:after="0"/>
      <w:contextualSpacing/>
    </w:pPr>
  </w:style>
  <w:style w:type="paragraph" w:customStyle="1" w:styleId="slovanseznamB">
    <w:name w:val="Číslovaný seznam B"/>
    <w:basedOn w:val="Normln"/>
    <w:uiPriority w:val="16"/>
    <w:rsid w:val="009F7F46"/>
    <w:pPr>
      <w:numPr>
        <w:numId w:val="5"/>
      </w:numPr>
      <w:spacing w:after="0"/>
    </w:pPr>
  </w:style>
  <w:style w:type="paragraph" w:customStyle="1" w:styleId="slovanseznamB2">
    <w:name w:val="Číslovaný seznam B 2"/>
    <w:basedOn w:val="Normln"/>
    <w:uiPriority w:val="16"/>
    <w:rsid w:val="009F7F46"/>
    <w:pPr>
      <w:numPr>
        <w:ilvl w:val="1"/>
        <w:numId w:val="5"/>
      </w:numPr>
      <w:spacing w:after="0"/>
    </w:pPr>
  </w:style>
  <w:style w:type="paragraph" w:customStyle="1" w:styleId="slovanseznamB3">
    <w:name w:val="Číslovaný seznam B 3"/>
    <w:basedOn w:val="Normln"/>
    <w:uiPriority w:val="16"/>
    <w:rsid w:val="009F7F46"/>
    <w:pPr>
      <w:numPr>
        <w:ilvl w:val="2"/>
        <w:numId w:val="5"/>
      </w:numPr>
      <w:spacing w:after="0"/>
    </w:pPr>
  </w:style>
  <w:style w:type="paragraph" w:customStyle="1" w:styleId="slovanseznamB4">
    <w:name w:val="Číslovaný seznam B 4"/>
    <w:basedOn w:val="Normln"/>
    <w:uiPriority w:val="16"/>
    <w:rsid w:val="009F7F46"/>
    <w:pPr>
      <w:numPr>
        <w:ilvl w:val="3"/>
        <w:numId w:val="5"/>
      </w:numPr>
      <w:spacing w:after="0"/>
    </w:pPr>
  </w:style>
  <w:style w:type="paragraph" w:customStyle="1" w:styleId="slovanseznamB5">
    <w:name w:val="Číslovaný seznam B 5"/>
    <w:basedOn w:val="Normln"/>
    <w:uiPriority w:val="16"/>
    <w:rsid w:val="009F7F46"/>
    <w:pPr>
      <w:numPr>
        <w:ilvl w:val="4"/>
        <w:numId w:val="5"/>
      </w:numPr>
      <w:spacing w:after="0"/>
    </w:pPr>
  </w:style>
  <w:style w:type="paragraph" w:styleId="Seznamsodrkami3">
    <w:name w:val="List Bullet 3"/>
    <w:aliases w:val="Seznam s odrážkami A 3"/>
    <w:basedOn w:val="Normln"/>
    <w:uiPriority w:val="10"/>
    <w:rsid w:val="00262DAF"/>
    <w:pPr>
      <w:numPr>
        <w:ilvl w:val="2"/>
        <w:numId w:val="6"/>
      </w:numPr>
      <w:spacing w:after="0"/>
      <w:contextualSpacing/>
    </w:pPr>
  </w:style>
  <w:style w:type="paragraph" w:styleId="Seznamsodrkami4">
    <w:name w:val="List Bullet 4"/>
    <w:aliases w:val="Seznam s odrážkami A 4"/>
    <w:basedOn w:val="Normln"/>
    <w:uiPriority w:val="10"/>
    <w:rsid w:val="00262DAF"/>
    <w:pPr>
      <w:numPr>
        <w:ilvl w:val="3"/>
        <w:numId w:val="6"/>
      </w:numPr>
      <w:spacing w:after="0"/>
      <w:contextualSpacing/>
    </w:pPr>
  </w:style>
  <w:style w:type="paragraph" w:styleId="Seznamsodrkami5">
    <w:name w:val="List Bullet 5"/>
    <w:aliases w:val="Seznam s odrážkami A 5"/>
    <w:basedOn w:val="Normln"/>
    <w:uiPriority w:val="10"/>
    <w:rsid w:val="00262DAF"/>
    <w:pPr>
      <w:numPr>
        <w:ilvl w:val="4"/>
        <w:numId w:val="6"/>
      </w:numPr>
      <w:spacing w:after="0"/>
    </w:pPr>
  </w:style>
  <w:style w:type="paragraph" w:styleId="Seznamsodrkami">
    <w:name w:val="List Bullet"/>
    <w:aliases w:val="Seznam s odrážkami A"/>
    <w:basedOn w:val="Normln"/>
    <w:uiPriority w:val="10"/>
    <w:rsid w:val="00262DAF"/>
    <w:pPr>
      <w:numPr>
        <w:numId w:val="6"/>
      </w:numPr>
      <w:spacing w:after="0"/>
      <w:contextualSpacing/>
    </w:pPr>
  </w:style>
  <w:style w:type="paragraph" w:styleId="Seznamsodrkami2">
    <w:name w:val="List Bullet 2"/>
    <w:aliases w:val="Seznam s odrážkami A 2"/>
    <w:basedOn w:val="Normln"/>
    <w:uiPriority w:val="10"/>
    <w:rsid w:val="00262DAF"/>
    <w:pPr>
      <w:numPr>
        <w:ilvl w:val="1"/>
        <w:numId w:val="6"/>
      </w:numPr>
      <w:spacing w:after="0"/>
      <w:contextualSpacing/>
    </w:pPr>
  </w:style>
  <w:style w:type="paragraph" w:customStyle="1" w:styleId="Nadpis1-mimoobsah">
    <w:name w:val="Nadpis 1 - mimo obsah"/>
    <w:basedOn w:val="Normln"/>
    <w:next w:val="Normln"/>
    <w:uiPriority w:val="8"/>
    <w:rsid w:val="00C55371"/>
    <w:pPr>
      <w:keepNext/>
      <w:keepLines/>
      <w:spacing w:before="160" w:after="0"/>
    </w:pPr>
    <w:rPr>
      <w:rFonts w:asciiTheme="majorHAnsi" w:hAnsiTheme="majorHAnsi"/>
      <w:b/>
      <w:color w:val="004B8D" w:themeColor="text2"/>
      <w:sz w:val="28"/>
    </w:rPr>
  </w:style>
  <w:style w:type="paragraph" w:customStyle="1" w:styleId="Nadpis2-mimoobsah">
    <w:name w:val="Nadpis 2 - mimo obsah"/>
    <w:basedOn w:val="Normln"/>
    <w:next w:val="Normln"/>
    <w:uiPriority w:val="8"/>
    <w:rsid w:val="00AB523B"/>
    <w:pPr>
      <w:keepNext/>
      <w:keepLines/>
      <w:spacing w:before="80" w:after="0"/>
    </w:pPr>
    <w:rPr>
      <w:rFonts w:asciiTheme="majorHAnsi" w:hAnsiTheme="majorHAnsi"/>
      <w:b/>
      <w:sz w:val="26"/>
    </w:rPr>
  </w:style>
  <w:style w:type="paragraph" w:customStyle="1" w:styleId="Nadpis3-mimoobsah">
    <w:name w:val="Nadpis 3 - mimo obsah"/>
    <w:basedOn w:val="Normln"/>
    <w:next w:val="Normln"/>
    <w:uiPriority w:val="8"/>
    <w:qFormat/>
    <w:rsid w:val="00BB479C"/>
    <w:pPr>
      <w:keepNext/>
      <w:keepLines/>
      <w:spacing w:before="40" w:after="0"/>
    </w:pPr>
    <w:rPr>
      <w:rFonts w:asciiTheme="majorHAnsi" w:hAnsiTheme="majorHAnsi"/>
      <w:b/>
      <w:sz w:val="24"/>
    </w:rPr>
  </w:style>
  <w:style w:type="paragraph" w:customStyle="1" w:styleId="Nadpis4-mimoobsah">
    <w:name w:val="Nadpis 4 - mimo obsah"/>
    <w:basedOn w:val="Normln"/>
    <w:next w:val="Normln"/>
    <w:uiPriority w:val="8"/>
    <w:rsid w:val="00BB479C"/>
    <w:pPr>
      <w:keepNext/>
      <w:keepLines/>
      <w:spacing w:before="40" w:after="0"/>
    </w:pPr>
    <w:rPr>
      <w:rFonts w:asciiTheme="majorHAnsi" w:hAnsiTheme="majorHAnsi"/>
      <w:i/>
      <w:sz w:val="24"/>
    </w:rPr>
  </w:style>
  <w:style w:type="paragraph" w:customStyle="1" w:styleId="Nadpis5-mimoobsah">
    <w:name w:val="Nadpis 5 - mimo obsah"/>
    <w:basedOn w:val="Normln"/>
    <w:next w:val="Normln"/>
    <w:uiPriority w:val="8"/>
    <w:rsid w:val="00BB479C"/>
    <w:pPr>
      <w:keepNext/>
      <w:keepLines/>
      <w:spacing w:before="40" w:after="0"/>
    </w:pPr>
    <w:rPr>
      <w:rFonts w:asciiTheme="majorHAnsi" w:hAnsiTheme="majorHAnsi"/>
      <w:b/>
    </w:rPr>
  </w:style>
  <w:style w:type="paragraph" w:customStyle="1" w:styleId="Nadpis7mimoobsah">
    <w:name w:val="Nadpis 7 mimo obsah"/>
    <w:basedOn w:val="Normln"/>
    <w:next w:val="Normln"/>
    <w:uiPriority w:val="8"/>
    <w:rsid w:val="00BB479C"/>
    <w:pPr>
      <w:keepNext/>
      <w:keepLines/>
      <w:spacing w:before="40" w:after="0"/>
    </w:pPr>
    <w:rPr>
      <w:rFonts w:asciiTheme="majorHAnsi" w:hAnsiTheme="majorHAnsi"/>
    </w:rPr>
  </w:style>
  <w:style w:type="paragraph" w:customStyle="1" w:styleId="Nadpis6mimoobsah">
    <w:name w:val="Nadpis 6 mimo obsah"/>
    <w:basedOn w:val="Normln"/>
    <w:next w:val="Normln"/>
    <w:uiPriority w:val="8"/>
    <w:rsid w:val="00A95C48"/>
    <w:pPr>
      <w:keepNext/>
      <w:keepLines/>
      <w:spacing w:before="40" w:after="0"/>
    </w:pPr>
    <w:rPr>
      <w:rFonts w:asciiTheme="majorHAnsi" w:hAnsiTheme="majorHAnsi"/>
      <w:i/>
    </w:rPr>
  </w:style>
  <w:style w:type="paragraph" w:customStyle="1" w:styleId="Nadpis8mimoobsah">
    <w:name w:val="Nadpis 8 mimo obsah"/>
    <w:basedOn w:val="Normln"/>
    <w:next w:val="Normln"/>
    <w:uiPriority w:val="8"/>
    <w:rsid w:val="00A95C48"/>
    <w:pPr>
      <w:keepNext/>
      <w:keepLines/>
      <w:spacing w:before="40" w:after="0"/>
    </w:pPr>
    <w:rPr>
      <w:rFonts w:asciiTheme="majorHAnsi" w:hAnsiTheme="majorHAnsi"/>
      <w:b/>
      <w:sz w:val="21"/>
      <w:szCs w:val="21"/>
    </w:rPr>
  </w:style>
  <w:style w:type="paragraph" w:customStyle="1" w:styleId="Nadpis9mimoobsah">
    <w:name w:val="Nadpis 9 mimo obsah"/>
    <w:basedOn w:val="Normln"/>
    <w:next w:val="Normln"/>
    <w:uiPriority w:val="8"/>
    <w:rsid w:val="00A95C48"/>
    <w:pPr>
      <w:keepNext/>
      <w:keepLines/>
      <w:spacing w:before="40" w:after="0"/>
    </w:pPr>
    <w:rPr>
      <w:rFonts w:asciiTheme="majorHAnsi" w:hAnsiTheme="majorHAnsi"/>
      <w:i/>
      <w:sz w:val="21"/>
      <w:szCs w:val="21"/>
    </w:rPr>
  </w:style>
  <w:style w:type="paragraph" w:styleId="Podnadpis">
    <w:name w:val="Subtitle"/>
    <w:basedOn w:val="Normln"/>
    <w:next w:val="Normln"/>
    <w:link w:val="PodnadpisChar"/>
    <w:uiPriority w:val="5"/>
    <w:rsid w:val="008D4A32"/>
    <w:pPr>
      <w:numPr>
        <w:ilvl w:val="1"/>
      </w:numPr>
    </w:pPr>
    <w:rPr>
      <w:rFonts w:eastAsiaTheme="minorEastAsia"/>
      <w:color w:val="595959" w:themeColor="text1" w:themeTint="A6"/>
      <w:spacing w:val="15"/>
      <w:sz w:val="28"/>
    </w:rPr>
  </w:style>
  <w:style w:type="character" w:customStyle="1" w:styleId="PodnadpisChar">
    <w:name w:val="Podnadpis Char"/>
    <w:basedOn w:val="Standardnpsmoodstavce"/>
    <w:link w:val="Podnadpis"/>
    <w:uiPriority w:val="5"/>
    <w:rsid w:val="003250CB"/>
    <w:rPr>
      <w:rFonts w:eastAsiaTheme="minorEastAsia"/>
      <w:color w:val="595959" w:themeColor="text1" w:themeTint="A6"/>
      <w:spacing w:val="15"/>
      <w:sz w:val="28"/>
    </w:rPr>
  </w:style>
  <w:style w:type="paragraph" w:styleId="Obsah1">
    <w:name w:val="toc 1"/>
    <w:basedOn w:val="Normln"/>
    <w:next w:val="Normln"/>
    <w:autoRedefine/>
    <w:uiPriority w:val="39"/>
    <w:unhideWhenUsed/>
    <w:rsid w:val="0025686D"/>
    <w:pPr>
      <w:tabs>
        <w:tab w:val="left" w:pos="567"/>
        <w:tab w:val="right" w:leader="dot" w:pos="9912"/>
      </w:tabs>
      <w:spacing w:after="0"/>
    </w:pPr>
  </w:style>
  <w:style w:type="paragraph" w:styleId="Obsah2">
    <w:name w:val="toc 2"/>
    <w:basedOn w:val="Normln"/>
    <w:next w:val="Normln"/>
    <w:autoRedefine/>
    <w:uiPriority w:val="39"/>
    <w:unhideWhenUsed/>
    <w:rsid w:val="00C96FF7"/>
    <w:pPr>
      <w:tabs>
        <w:tab w:val="left" w:pos="1276"/>
        <w:tab w:val="right" w:leader="dot" w:pos="9912"/>
      </w:tabs>
      <w:spacing w:after="100"/>
    </w:pPr>
  </w:style>
  <w:style w:type="paragraph" w:styleId="Obsah3">
    <w:name w:val="toc 3"/>
    <w:basedOn w:val="Normln"/>
    <w:next w:val="Normln"/>
    <w:autoRedefine/>
    <w:uiPriority w:val="39"/>
    <w:unhideWhenUsed/>
    <w:rsid w:val="00291C33"/>
    <w:pPr>
      <w:tabs>
        <w:tab w:val="left" w:pos="1320"/>
        <w:tab w:val="right" w:leader="dot" w:pos="9912"/>
      </w:tabs>
      <w:spacing w:after="100"/>
      <w:ind w:left="567"/>
    </w:pPr>
  </w:style>
  <w:style w:type="paragraph" w:styleId="Obsah4">
    <w:name w:val="toc 4"/>
    <w:basedOn w:val="Normln"/>
    <w:next w:val="Normln"/>
    <w:autoRedefine/>
    <w:uiPriority w:val="39"/>
    <w:unhideWhenUsed/>
    <w:rsid w:val="00D22462"/>
    <w:pPr>
      <w:spacing w:after="100"/>
      <w:ind w:left="660"/>
    </w:pPr>
  </w:style>
  <w:style w:type="paragraph" w:styleId="Obsah5">
    <w:name w:val="toc 5"/>
    <w:basedOn w:val="Normln"/>
    <w:next w:val="Normln"/>
    <w:autoRedefine/>
    <w:uiPriority w:val="39"/>
    <w:unhideWhenUsed/>
    <w:rsid w:val="00D22462"/>
    <w:pPr>
      <w:spacing w:after="100"/>
      <w:ind w:left="880"/>
    </w:pPr>
  </w:style>
  <w:style w:type="paragraph" w:styleId="Obsah6">
    <w:name w:val="toc 6"/>
    <w:basedOn w:val="Normln"/>
    <w:next w:val="Normln"/>
    <w:autoRedefine/>
    <w:uiPriority w:val="39"/>
    <w:unhideWhenUsed/>
    <w:rsid w:val="00D22462"/>
    <w:pPr>
      <w:spacing w:after="100"/>
      <w:ind w:left="1100"/>
    </w:pPr>
  </w:style>
  <w:style w:type="paragraph" w:styleId="Obsah7">
    <w:name w:val="toc 7"/>
    <w:basedOn w:val="Normln"/>
    <w:next w:val="Normln"/>
    <w:autoRedefine/>
    <w:uiPriority w:val="39"/>
    <w:unhideWhenUsed/>
    <w:rsid w:val="00D22462"/>
    <w:pPr>
      <w:spacing w:after="100"/>
      <w:ind w:left="1320"/>
    </w:pPr>
  </w:style>
  <w:style w:type="paragraph" w:styleId="Obsah8">
    <w:name w:val="toc 8"/>
    <w:basedOn w:val="Normln"/>
    <w:next w:val="Normln"/>
    <w:autoRedefine/>
    <w:uiPriority w:val="39"/>
    <w:unhideWhenUsed/>
    <w:rsid w:val="00D22462"/>
    <w:pPr>
      <w:spacing w:after="100"/>
      <w:ind w:left="1540"/>
    </w:pPr>
  </w:style>
  <w:style w:type="paragraph" w:styleId="Obsah9">
    <w:name w:val="toc 9"/>
    <w:basedOn w:val="Normln"/>
    <w:next w:val="Normln"/>
    <w:autoRedefine/>
    <w:uiPriority w:val="39"/>
    <w:unhideWhenUsed/>
    <w:rsid w:val="00D22462"/>
    <w:pPr>
      <w:spacing w:after="100"/>
      <w:ind w:left="1760"/>
    </w:pPr>
  </w:style>
  <w:style w:type="character" w:styleId="Hypertextovodkaz">
    <w:name w:val="Hyperlink"/>
    <w:aliases w:val="HS_Hypertextový odkaz"/>
    <w:basedOn w:val="Standardnpsmoodstavce"/>
    <w:uiPriority w:val="99"/>
    <w:unhideWhenUsed/>
    <w:rsid w:val="007C3EDA"/>
    <w:rPr>
      <w:rFonts w:asciiTheme="minorHAnsi" w:hAnsiTheme="minorHAnsi"/>
      <w:color w:val="004B8D" w:themeColor="hyperlink"/>
      <w:sz w:val="22"/>
      <w:u w:val="single"/>
    </w:rPr>
  </w:style>
  <w:style w:type="character" w:styleId="Odkazjemn">
    <w:name w:val="Subtle Reference"/>
    <w:basedOn w:val="Standardnpsmoodstavce"/>
    <w:uiPriority w:val="23"/>
    <w:rsid w:val="00A275BC"/>
    <w:rPr>
      <w:smallCaps/>
      <w:color w:val="5A5A5A" w:themeColor="text1" w:themeTint="A5"/>
    </w:rPr>
  </w:style>
  <w:style w:type="paragraph" w:styleId="Citt">
    <w:name w:val="Quote"/>
    <w:basedOn w:val="Normln"/>
    <w:next w:val="Normln"/>
    <w:link w:val="CittChar"/>
    <w:uiPriority w:val="27"/>
    <w:rsid w:val="00713948"/>
    <w:pPr>
      <w:keepLines/>
      <w:spacing w:before="240"/>
      <w:ind w:left="357" w:right="357"/>
    </w:pPr>
    <w:rPr>
      <w:i/>
      <w:iCs/>
      <w:color w:val="595959" w:themeColor="text1" w:themeTint="A6"/>
    </w:rPr>
  </w:style>
  <w:style w:type="character" w:customStyle="1" w:styleId="CittChar">
    <w:name w:val="Citát Char"/>
    <w:basedOn w:val="Standardnpsmoodstavce"/>
    <w:link w:val="Citt"/>
    <w:uiPriority w:val="27"/>
    <w:rsid w:val="00713948"/>
    <w:rPr>
      <w:i/>
      <w:iCs/>
      <w:color w:val="595959" w:themeColor="text1" w:themeTint="A6"/>
    </w:rPr>
  </w:style>
  <w:style w:type="character" w:styleId="Zdraznn">
    <w:name w:val="Emphasis"/>
    <w:basedOn w:val="Standardnpsmoodstavce"/>
    <w:uiPriority w:val="20"/>
    <w:qFormat/>
    <w:rsid w:val="00713948"/>
    <w:rPr>
      <w:i/>
      <w:iCs/>
    </w:rPr>
  </w:style>
  <w:style w:type="paragraph" w:styleId="Nadpisobsahu">
    <w:name w:val="TOC Heading"/>
    <w:aliases w:val="HS_Nadpis_OBSAH"/>
    <w:basedOn w:val="Nadpis1"/>
    <w:next w:val="Normln"/>
    <w:uiPriority w:val="39"/>
    <w:unhideWhenUsed/>
    <w:qFormat/>
    <w:rsid w:val="00011B6E"/>
    <w:pPr>
      <w:numPr>
        <w:numId w:val="0"/>
      </w:numPr>
      <w:outlineLvl w:val="9"/>
    </w:pPr>
  </w:style>
  <w:style w:type="paragraph" w:styleId="Datum">
    <w:name w:val="Date"/>
    <w:basedOn w:val="Normln"/>
    <w:next w:val="Normln"/>
    <w:link w:val="DatumChar"/>
    <w:uiPriority w:val="31"/>
    <w:unhideWhenUsed/>
    <w:rsid w:val="00486FB9"/>
  </w:style>
  <w:style w:type="character" w:customStyle="1" w:styleId="DatumChar">
    <w:name w:val="Datum Char"/>
    <w:basedOn w:val="Standardnpsmoodstavce"/>
    <w:link w:val="Datum"/>
    <w:uiPriority w:val="31"/>
    <w:rsid w:val="005455E1"/>
    <w:rPr>
      <w:color w:val="000000" w:themeColor="text1"/>
    </w:rPr>
  </w:style>
  <w:style w:type="paragraph" w:styleId="Textvbloku">
    <w:name w:val="Block Text"/>
    <w:aliases w:val="Text v bloku A"/>
    <w:basedOn w:val="Normln"/>
    <w:uiPriority w:val="29"/>
    <w:unhideWhenUsed/>
    <w:rsid w:val="00C55371"/>
    <w:pPr>
      <w:pBdr>
        <w:top w:val="single" w:sz="2" w:space="4" w:color="004B8D" w:themeColor="accent2"/>
        <w:left w:val="single" w:sz="2" w:space="8" w:color="004B8D" w:themeColor="accent2"/>
        <w:bottom w:val="single" w:sz="2" w:space="4" w:color="004B8D" w:themeColor="accent2"/>
        <w:right w:val="single" w:sz="2" w:space="8" w:color="004B8D" w:themeColor="accent2"/>
      </w:pBdr>
      <w:ind w:left="357" w:right="357"/>
    </w:pPr>
    <w:rPr>
      <w:rFonts w:eastAsiaTheme="minorEastAsia"/>
      <w:i/>
      <w:iCs/>
      <w:color w:val="004B8D" w:themeColor="accent2"/>
    </w:rPr>
  </w:style>
  <w:style w:type="character" w:styleId="Sledovanodkaz">
    <w:name w:val="FollowedHyperlink"/>
    <w:basedOn w:val="Standardnpsmoodstavce"/>
    <w:uiPriority w:val="34"/>
    <w:semiHidden/>
    <w:unhideWhenUsed/>
    <w:rsid w:val="00486FB9"/>
    <w:rPr>
      <w:color w:val="595959" w:themeColor="text1" w:themeTint="A6"/>
      <w:u w:val="single"/>
    </w:rPr>
  </w:style>
  <w:style w:type="paragraph" w:styleId="Zkladntext">
    <w:name w:val="Body Text"/>
    <w:basedOn w:val="Normln"/>
    <w:link w:val="ZkladntextChar"/>
    <w:uiPriority w:val="1"/>
    <w:rsid w:val="009F393D"/>
  </w:style>
  <w:style w:type="character" w:customStyle="1" w:styleId="ZkladntextChar">
    <w:name w:val="Základní text Char"/>
    <w:basedOn w:val="Standardnpsmoodstavce"/>
    <w:link w:val="Zkladntext"/>
    <w:uiPriority w:val="1"/>
    <w:rsid w:val="009F393D"/>
    <w:rPr>
      <w:color w:val="000000" w:themeColor="text1"/>
    </w:rPr>
  </w:style>
  <w:style w:type="paragraph" w:styleId="Zkladntext-prvnodsazen">
    <w:name w:val="Body Text First Indent"/>
    <w:basedOn w:val="Zkladntext"/>
    <w:link w:val="Zkladntext-prvnodsazenChar"/>
    <w:uiPriority w:val="1"/>
    <w:rsid w:val="009F393D"/>
    <w:pPr>
      <w:ind w:firstLine="357"/>
    </w:pPr>
  </w:style>
  <w:style w:type="character" w:customStyle="1" w:styleId="Zkladntext-prvnodsazenChar">
    <w:name w:val="Základní text - první odsazený Char"/>
    <w:basedOn w:val="ZkladntextChar"/>
    <w:link w:val="Zkladntext-prvnodsazen"/>
    <w:uiPriority w:val="1"/>
    <w:rsid w:val="009F393D"/>
    <w:rPr>
      <w:color w:val="000000" w:themeColor="text1"/>
    </w:rPr>
  </w:style>
  <w:style w:type="paragraph" w:customStyle="1" w:styleId="TextvblokuB">
    <w:name w:val="Text v bloku B"/>
    <w:basedOn w:val="Normln"/>
    <w:uiPriority w:val="29"/>
    <w:rsid w:val="00C55371"/>
    <w:pPr>
      <w:pBdr>
        <w:top w:val="single" w:sz="2" w:space="4" w:color="004B8D" w:themeColor="accent2"/>
        <w:left w:val="single" w:sz="2" w:space="8" w:color="004B8D" w:themeColor="accent2"/>
        <w:bottom w:val="single" w:sz="2" w:space="4" w:color="004B8D" w:themeColor="accent2"/>
        <w:right w:val="single" w:sz="2" w:space="8" w:color="004B8D" w:themeColor="accent2"/>
      </w:pBdr>
      <w:shd w:val="clear" w:color="auto" w:fill="004B8D" w:themeFill="accent2"/>
      <w:ind w:left="357" w:right="357"/>
    </w:pPr>
    <w:rPr>
      <w:color w:val="FFFFFF" w:themeColor="background1"/>
    </w:rPr>
  </w:style>
  <w:style w:type="paragraph" w:customStyle="1" w:styleId="SeznamsodrkamiB">
    <w:name w:val="Seznam s odrážkami B"/>
    <w:basedOn w:val="Normln"/>
    <w:uiPriority w:val="11"/>
    <w:rsid w:val="007102D2"/>
    <w:pPr>
      <w:numPr>
        <w:numId w:val="8"/>
      </w:numPr>
      <w:spacing w:after="0"/>
    </w:pPr>
  </w:style>
  <w:style w:type="paragraph" w:customStyle="1" w:styleId="SeznamsodrkamiB2">
    <w:name w:val="Seznam s odrážkami B 2"/>
    <w:basedOn w:val="Normln"/>
    <w:uiPriority w:val="11"/>
    <w:rsid w:val="007102D2"/>
    <w:pPr>
      <w:numPr>
        <w:ilvl w:val="1"/>
        <w:numId w:val="8"/>
      </w:numPr>
      <w:spacing w:after="0"/>
    </w:pPr>
  </w:style>
  <w:style w:type="paragraph" w:customStyle="1" w:styleId="SeznamsodrkamiB3">
    <w:name w:val="Seznam s odrážkami B 3"/>
    <w:basedOn w:val="Normln"/>
    <w:uiPriority w:val="11"/>
    <w:rsid w:val="007102D2"/>
    <w:pPr>
      <w:numPr>
        <w:ilvl w:val="2"/>
        <w:numId w:val="8"/>
      </w:numPr>
      <w:spacing w:after="0"/>
    </w:pPr>
  </w:style>
  <w:style w:type="paragraph" w:customStyle="1" w:styleId="SeznamsodrkamiB4">
    <w:name w:val="Seznam s odrážkami B 4"/>
    <w:basedOn w:val="Normln"/>
    <w:uiPriority w:val="11"/>
    <w:rsid w:val="007102D2"/>
    <w:pPr>
      <w:numPr>
        <w:ilvl w:val="3"/>
        <w:numId w:val="8"/>
      </w:numPr>
      <w:spacing w:after="0"/>
    </w:pPr>
  </w:style>
  <w:style w:type="paragraph" w:customStyle="1" w:styleId="SeznamsodrkamiB5">
    <w:name w:val="Seznam s odrážkami B 5"/>
    <w:basedOn w:val="Normln"/>
    <w:uiPriority w:val="11"/>
    <w:rsid w:val="007102D2"/>
    <w:pPr>
      <w:numPr>
        <w:ilvl w:val="4"/>
        <w:numId w:val="8"/>
      </w:numPr>
      <w:spacing w:after="0"/>
    </w:pPr>
  </w:style>
  <w:style w:type="paragraph" w:styleId="Zhlav">
    <w:name w:val="header"/>
    <w:basedOn w:val="Normln"/>
    <w:link w:val="ZhlavChar"/>
    <w:uiPriority w:val="99"/>
    <w:unhideWhenUsed/>
    <w:rsid w:val="007E4DF8"/>
    <w:pPr>
      <w:tabs>
        <w:tab w:val="center" w:pos="4536"/>
        <w:tab w:val="right" w:pos="9072"/>
      </w:tabs>
      <w:spacing w:after="0"/>
    </w:pPr>
  </w:style>
  <w:style w:type="character" w:customStyle="1" w:styleId="ZhlavChar">
    <w:name w:val="Záhlaví Char"/>
    <w:basedOn w:val="Standardnpsmoodstavce"/>
    <w:link w:val="Zhlav"/>
    <w:uiPriority w:val="99"/>
    <w:rsid w:val="007E4DF8"/>
    <w:rPr>
      <w:color w:val="000000" w:themeColor="text1"/>
    </w:rPr>
  </w:style>
  <w:style w:type="paragraph" w:styleId="Zpat">
    <w:name w:val="footer"/>
    <w:basedOn w:val="Normln"/>
    <w:link w:val="ZpatChar"/>
    <w:uiPriority w:val="99"/>
    <w:unhideWhenUsed/>
    <w:rsid w:val="007E4DF8"/>
    <w:pPr>
      <w:tabs>
        <w:tab w:val="center" w:pos="4536"/>
        <w:tab w:val="right" w:pos="9072"/>
      </w:tabs>
      <w:spacing w:after="0"/>
    </w:pPr>
  </w:style>
  <w:style w:type="character" w:customStyle="1" w:styleId="ZpatChar">
    <w:name w:val="Zápatí Char"/>
    <w:basedOn w:val="Standardnpsmoodstavce"/>
    <w:link w:val="Zpat"/>
    <w:uiPriority w:val="99"/>
    <w:rsid w:val="007E4DF8"/>
    <w:rPr>
      <w:color w:val="000000" w:themeColor="text1"/>
    </w:rPr>
  </w:style>
  <w:style w:type="paragraph" w:customStyle="1" w:styleId="Text">
    <w:name w:val="Text"/>
    <w:basedOn w:val="Normln"/>
    <w:link w:val="TextChar"/>
    <w:qFormat/>
    <w:rsid w:val="00D14D99"/>
    <w:pPr>
      <w:ind w:right="5103"/>
    </w:pPr>
    <w:rPr>
      <w:kern w:val="20"/>
      <w:sz w:val="20"/>
      <w:szCs w:val="20"/>
    </w:rPr>
  </w:style>
  <w:style w:type="paragraph" w:styleId="Textpoznpodarou">
    <w:name w:val="footnote text"/>
    <w:aliases w:val="Text pozn. pod čarou_martin_ang"/>
    <w:basedOn w:val="Normln"/>
    <w:link w:val="TextpoznpodarouChar"/>
    <w:uiPriority w:val="99"/>
    <w:semiHidden/>
    <w:rsid w:val="00EC5361"/>
    <w:pPr>
      <w:overflowPunct w:val="0"/>
      <w:autoSpaceDE w:val="0"/>
      <w:autoSpaceDN w:val="0"/>
      <w:adjustRightInd w:val="0"/>
      <w:spacing w:after="0"/>
      <w:jc w:val="left"/>
      <w:textAlignment w:val="baseline"/>
    </w:pPr>
    <w:rPr>
      <w:rFonts w:eastAsia="Times New Roman" w:cs="Times New Roman"/>
      <w:color w:val="auto"/>
      <w:sz w:val="20"/>
      <w:szCs w:val="20"/>
      <w:lang w:eastAsia="cs-CZ"/>
    </w:rPr>
  </w:style>
  <w:style w:type="character" w:customStyle="1" w:styleId="TextChar">
    <w:name w:val="Text Char"/>
    <w:basedOn w:val="Standardnpsmoodstavce"/>
    <w:link w:val="Text"/>
    <w:rsid w:val="00D14D99"/>
    <w:rPr>
      <w:color w:val="000000" w:themeColor="text1"/>
      <w:kern w:val="20"/>
      <w:sz w:val="20"/>
      <w:szCs w:val="20"/>
    </w:rPr>
  </w:style>
  <w:style w:type="character" w:customStyle="1" w:styleId="TextpoznpodarouChar">
    <w:name w:val="Text pozn. pod čarou Char"/>
    <w:aliases w:val="Text pozn. pod čarou_martin_ang Char"/>
    <w:basedOn w:val="Standardnpsmoodstavce"/>
    <w:link w:val="Textpoznpodarou"/>
    <w:uiPriority w:val="99"/>
    <w:semiHidden/>
    <w:rsid w:val="00EC5361"/>
    <w:rPr>
      <w:rFonts w:eastAsia="Times New Roman" w:cs="Times New Roman"/>
      <w:sz w:val="20"/>
      <w:szCs w:val="20"/>
      <w:lang w:eastAsia="cs-CZ"/>
    </w:rPr>
  </w:style>
  <w:style w:type="character" w:styleId="Znakapoznpodarou">
    <w:name w:val="footnote reference"/>
    <w:uiPriority w:val="99"/>
    <w:semiHidden/>
    <w:rsid w:val="00EC5361"/>
    <w:rPr>
      <w:vertAlign w:val="superscript"/>
    </w:rPr>
  </w:style>
  <w:style w:type="paragraph" w:styleId="Bezmezer">
    <w:name w:val="No Spacing"/>
    <w:aliases w:val="HS_grafy_bez mezer"/>
    <w:uiPriority w:val="1"/>
    <w:qFormat/>
    <w:rsid w:val="00301991"/>
    <w:pPr>
      <w:spacing w:after="0" w:line="240" w:lineRule="auto"/>
    </w:pPr>
    <w:rPr>
      <w:color w:val="000000" w:themeColor="text1"/>
      <w:sz w:val="20"/>
    </w:rPr>
  </w:style>
  <w:style w:type="paragraph" w:styleId="Textbubliny">
    <w:name w:val="Balloon Text"/>
    <w:basedOn w:val="Normln"/>
    <w:link w:val="TextbublinyChar"/>
    <w:uiPriority w:val="99"/>
    <w:semiHidden/>
    <w:unhideWhenUsed/>
    <w:rsid w:val="007B5A7A"/>
    <w:pPr>
      <w:spacing w:after="0"/>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7B5A7A"/>
    <w:rPr>
      <w:rFonts w:ascii="Segoe UI" w:hAnsi="Segoe UI" w:cs="Segoe UI"/>
      <w:color w:val="000000" w:themeColor="text1"/>
      <w:sz w:val="18"/>
      <w:szCs w:val="18"/>
    </w:rPr>
  </w:style>
  <w:style w:type="numbering" w:customStyle="1" w:styleId="VariantaB-odrky1">
    <w:name w:val="Varianta B - odrážky1"/>
    <w:uiPriority w:val="99"/>
    <w:rsid w:val="00EB0524"/>
  </w:style>
  <w:style w:type="paragraph" w:customStyle="1" w:styleId="odst2">
    <w:name w:val="odst 2"/>
    <w:basedOn w:val="Normln"/>
    <w:qFormat/>
    <w:rsid w:val="00C4183B"/>
    <w:pPr>
      <w:overflowPunct w:val="0"/>
      <w:autoSpaceDE w:val="0"/>
      <w:autoSpaceDN w:val="0"/>
      <w:adjustRightInd w:val="0"/>
      <w:spacing w:before="240" w:after="0"/>
      <w:ind w:left="170" w:right="57"/>
      <w:textAlignment w:val="baseline"/>
    </w:pPr>
    <w:rPr>
      <w:rFonts w:ascii="Calibri" w:eastAsia="Times New Roman" w:hAnsi="Calibri" w:cs="Times New Roman"/>
      <w:bCs/>
      <w:color w:val="auto"/>
      <w:szCs w:val="24"/>
      <w:lang w:eastAsia="cs-CZ"/>
    </w:rPr>
  </w:style>
  <w:style w:type="paragraph" w:customStyle="1" w:styleId="odst1">
    <w:name w:val="odst 1"/>
    <w:basedOn w:val="Normln"/>
    <w:qFormat/>
    <w:rsid w:val="0019012B"/>
    <w:pPr>
      <w:overflowPunct w:val="0"/>
      <w:autoSpaceDE w:val="0"/>
      <w:autoSpaceDN w:val="0"/>
      <w:adjustRightInd w:val="0"/>
      <w:spacing w:before="240" w:after="0"/>
      <w:ind w:right="57"/>
      <w:jc w:val="left"/>
    </w:pPr>
    <w:rPr>
      <w:rFonts w:ascii="Calibri" w:eastAsia="Times New Roman" w:hAnsi="Calibri" w:cs="Times New Roman"/>
      <w:b/>
      <w:bCs/>
      <w:i/>
      <w:color w:val="auto"/>
      <w:sz w:val="20"/>
      <w:szCs w:val="20"/>
      <w:lang w:eastAsia="cs-CZ"/>
    </w:rPr>
  </w:style>
  <w:style w:type="paragraph" w:customStyle="1" w:styleId="Shrnutkapitoly">
    <w:name w:val="Shrnutí kapitoly"/>
    <w:basedOn w:val="Normln"/>
    <w:link w:val="ShrnutkapitolyChar"/>
    <w:qFormat/>
    <w:rsid w:val="00BC25AE"/>
    <w:pPr>
      <w:spacing w:after="360"/>
    </w:pPr>
    <w:rPr>
      <w:b/>
      <w:kern w:val="2"/>
      <w:sz w:val="26"/>
      <w:szCs w:val="26"/>
    </w:rPr>
  </w:style>
  <w:style w:type="character" w:styleId="Odkaznakoment">
    <w:name w:val="annotation reference"/>
    <w:basedOn w:val="Standardnpsmoodstavce"/>
    <w:uiPriority w:val="99"/>
    <w:semiHidden/>
    <w:unhideWhenUsed/>
    <w:rsid w:val="003D3F2E"/>
    <w:rPr>
      <w:sz w:val="16"/>
      <w:szCs w:val="16"/>
    </w:rPr>
  </w:style>
  <w:style w:type="character" w:customStyle="1" w:styleId="ShrnutkapitolyChar">
    <w:name w:val="Shrnutí kapitoly Char"/>
    <w:basedOn w:val="Standardnpsmoodstavce"/>
    <w:link w:val="Shrnutkapitoly"/>
    <w:rsid w:val="00BC25AE"/>
    <w:rPr>
      <w:b/>
      <w:color w:val="000000" w:themeColor="text1"/>
      <w:kern w:val="2"/>
      <w:sz w:val="26"/>
      <w:szCs w:val="26"/>
    </w:rPr>
  </w:style>
  <w:style w:type="paragraph" w:styleId="Textkomente">
    <w:name w:val="annotation text"/>
    <w:basedOn w:val="Normln"/>
    <w:link w:val="TextkomenteChar"/>
    <w:uiPriority w:val="99"/>
    <w:unhideWhenUsed/>
    <w:rsid w:val="003D3F2E"/>
    <w:rPr>
      <w:sz w:val="20"/>
      <w:szCs w:val="20"/>
    </w:rPr>
  </w:style>
  <w:style w:type="character" w:customStyle="1" w:styleId="TextkomenteChar">
    <w:name w:val="Text komentáře Char"/>
    <w:basedOn w:val="Standardnpsmoodstavce"/>
    <w:link w:val="Textkomente"/>
    <w:uiPriority w:val="99"/>
    <w:rsid w:val="003D3F2E"/>
    <w:rPr>
      <w:color w:val="000000" w:themeColor="text1"/>
      <w:sz w:val="20"/>
      <w:szCs w:val="20"/>
    </w:rPr>
  </w:style>
  <w:style w:type="paragraph" w:styleId="Pedmtkomente">
    <w:name w:val="annotation subject"/>
    <w:basedOn w:val="Textkomente"/>
    <w:next w:val="Textkomente"/>
    <w:link w:val="PedmtkomenteChar"/>
    <w:uiPriority w:val="99"/>
    <w:semiHidden/>
    <w:unhideWhenUsed/>
    <w:rsid w:val="003D3F2E"/>
    <w:rPr>
      <w:b/>
      <w:bCs/>
    </w:rPr>
  </w:style>
  <w:style w:type="character" w:customStyle="1" w:styleId="PedmtkomenteChar">
    <w:name w:val="Předmět komentáře Char"/>
    <w:basedOn w:val="TextkomenteChar"/>
    <w:link w:val="Pedmtkomente"/>
    <w:uiPriority w:val="99"/>
    <w:semiHidden/>
    <w:rsid w:val="003D3F2E"/>
    <w:rPr>
      <w:b/>
      <w:bCs/>
      <w:color w:val="000000" w:themeColor="text1"/>
      <w:sz w:val="20"/>
      <w:szCs w:val="20"/>
    </w:rPr>
  </w:style>
  <w:style w:type="character" w:styleId="slodku">
    <w:name w:val="line number"/>
    <w:basedOn w:val="Standardnpsmoodstavce"/>
    <w:uiPriority w:val="99"/>
    <w:semiHidden/>
    <w:unhideWhenUsed/>
    <w:rsid w:val="00850CD3"/>
  </w:style>
  <w:style w:type="character" w:customStyle="1" w:styleId="Nevyeenzmnka1">
    <w:name w:val="Nevyřešená zmínka1"/>
    <w:basedOn w:val="Standardnpsmoodstavce"/>
    <w:uiPriority w:val="99"/>
    <w:semiHidden/>
    <w:unhideWhenUsed/>
    <w:rsid w:val="0014126D"/>
    <w:rPr>
      <w:color w:val="605E5C"/>
      <w:shd w:val="clear" w:color="auto" w:fill="E1DFDD"/>
    </w:rPr>
  </w:style>
  <w:style w:type="character" w:styleId="Siln">
    <w:name w:val="Strong"/>
    <w:basedOn w:val="Standardnpsmoodstavce"/>
    <w:uiPriority w:val="22"/>
    <w:rsid w:val="00D67550"/>
    <w:rPr>
      <w:b/>
      <w:bCs/>
    </w:rPr>
  </w:style>
  <w:style w:type="table" w:styleId="Mkatabulky">
    <w:name w:val="Table Grid"/>
    <w:basedOn w:val="Normlntabulka"/>
    <w:uiPriority w:val="39"/>
    <w:rsid w:val="00A2502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ze">
    <w:name w:val="Revision"/>
    <w:hidden/>
    <w:uiPriority w:val="99"/>
    <w:semiHidden/>
    <w:rsid w:val="00F93125"/>
    <w:pPr>
      <w:spacing w:after="0" w:line="240" w:lineRule="auto"/>
    </w:pPr>
    <w:rPr>
      <w:color w:val="000000" w:themeColor="text1"/>
    </w:rPr>
  </w:style>
  <w:style w:type="character" w:styleId="Nevyeenzmnka">
    <w:name w:val="Unresolved Mention"/>
    <w:basedOn w:val="Standardnpsmoodstavce"/>
    <w:uiPriority w:val="99"/>
    <w:semiHidden/>
    <w:unhideWhenUsed/>
    <w:rsid w:val="0007610F"/>
    <w:rPr>
      <w:color w:val="605E5C"/>
      <w:shd w:val="clear" w:color="auto" w:fill="E1DFDD"/>
    </w:rPr>
  </w:style>
  <w:style w:type="paragraph" w:styleId="Textvysvtlivek">
    <w:name w:val="endnote text"/>
    <w:basedOn w:val="Normln"/>
    <w:link w:val="TextvysvtlivekChar"/>
    <w:uiPriority w:val="99"/>
    <w:semiHidden/>
    <w:unhideWhenUsed/>
    <w:rsid w:val="00881740"/>
    <w:pPr>
      <w:spacing w:after="0"/>
    </w:pPr>
    <w:rPr>
      <w:sz w:val="20"/>
      <w:szCs w:val="20"/>
    </w:rPr>
  </w:style>
  <w:style w:type="character" w:customStyle="1" w:styleId="TextvysvtlivekChar">
    <w:name w:val="Text vysvětlivek Char"/>
    <w:basedOn w:val="Standardnpsmoodstavce"/>
    <w:link w:val="Textvysvtlivek"/>
    <w:uiPriority w:val="99"/>
    <w:semiHidden/>
    <w:rsid w:val="00881740"/>
    <w:rPr>
      <w:color w:val="000000" w:themeColor="text1"/>
      <w:sz w:val="20"/>
      <w:szCs w:val="20"/>
    </w:rPr>
  </w:style>
  <w:style w:type="character" w:styleId="Odkaznavysvtlivky">
    <w:name w:val="endnote reference"/>
    <w:basedOn w:val="Standardnpsmoodstavce"/>
    <w:uiPriority w:val="99"/>
    <w:semiHidden/>
    <w:unhideWhenUsed/>
    <w:rsid w:val="00881740"/>
    <w:rPr>
      <w:vertAlign w:val="superscript"/>
    </w:rPr>
  </w:style>
  <w:style w:type="paragraph" w:customStyle="1" w:styleId="Plohazatek">
    <w:name w:val="Příloha_začátek"/>
    <w:basedOn w:val="Nadpis2"/>
    <w:qFormat/>
    <w:rsid w:val="000013AC"/>
    <w:pPr>
      <w:numPr>
        <w:ilvl w:val="0"/>
        <w:numId w:val="0"/>
      </w:numPr>
      <w:jc w:val="center"/>
    </w:pPr>
    <w:rPr>
      <w:sz w:val="48"/>
    </w:rPr>
  </w:style>
  <w:style w:type="paragraph" w:customStyle="1" w:styleId="StylPlohanadpis1Ohranienbezohranien">
    <w:name w:val="Styl Příloha_nadpis1 + Ohraničení: : (bez ohraničení)"/>
    <w:basedOn w:val="Plohazatek"/>
    <w:rsid w:val="000013AC"/>
    <w:rPr>
      <w:bCs/>
      <w:bdr w:val="none" w:sz="0" w:space="0" w:color="auto" w:frame="1"/>
    </w:rPr>
  </w:style>
  <w:style w:type="paragraph" w:customStyle="1" w:styleId="Plohaslovn">
    <w:name w:val="Příloha_číslování"/>
    <w:basedOn w:val="Plohazatek"/>
    <w:qFormat/>
    <w:rsid w:val="004944DD"/>
    <w:pPr>
      <w:numPr>
        <w:numId w:val="11"/>
      </w:numPr>
      <w:ind w:left="357" w:hanging="357"/>
      <w:jc w:val="left"/>
    </w:pPr>
  </w:style>
  <w:style w:type="paragraph" w:customStyle="1" w:styleId="Plohanadpis">
    <w:name w:val="Příloha_nadpis"/>
    <w:basedOn w:val="Nadpis3"/>
    <w:qFormat/>
    <w:rsid w:val="004944DD"/>
    <w:pPr>
      <w:numPr>
        <w:ilvl w:val="0"/>
        <w:numId w:val="0"/>
      </w:numPr>
      <w:ind w:left="720" w:hanging="720"/>
    </w:pPr>
  </w:style>
  <w:style w:type="paragraph" w:customStyle="1" w:styleId="Odkazy">
    <w:name w:val="Odkazy"/>
    <w:basedOn w:val="Nadpis2"/>
    <w:qFormat/>
    <w:rsid w:val="00030A38"/>
    <w:pPr>
      <w:numPr>
        <w:ilvl w:val="0"/>
        <w:numId w:val="0"/>
      </w:numPr>
    </w:pPr>
    <w:rPr>
      <w:bdr w:val="none" w:sz="0" w:space="0" w:color="auto" w:frame="1"/>
    </w:rPr>
  </w:style>
  <w:style w:type="paragraph" w:customStyle="1" w:styleId="HSNadpis2bezslovn">
    <w:name w:val="HS_Nadpis_2_bez_číslování"/>
    <w:basedOn w:val="Shrnutkapitoly"/>
    <w:qFormat/>
    <w:rsid w:val="00C96FF7"/>
    <w:pPr>
      <w:spacing w:after="240"/>
      <w:outlineLvl w:val="1"/>
    </w:pPr>
    <w:rPr>
      <w:color w:val="004B8D" w:themeColor="text2"/>
      <w:sz w:val="44"/>
    </w:rPr>
  </w:style>
  <w:style w:type="paragraph" w:customStyle="1" w:styleId="HSNadpis3bezslovn">
    <w:name w:val="HS_Nadpis_3_bez_číslování"/>
    <w:basedOn w:val="HSNadpis2bezslovn"/>
    <w:next w:val="Normln"/>
    <w:qFormat/>
    <w:rsid w:val="00076785"/>
    <w:pPr>
      <w:spacing w:before="120" w:after="120"/>
      <w:outlineLvl w:val="2"/>
    </w:pPr>
    <w:rPr>
      <w:sz w:val="32"/>
    </w:rPr>
  </w:style>
  <w:style w:type="paragraph" w:customStyle="1" w:styleId="HSNadpis4bezslovn">
    <w:name w:val="HS_Nadpis_4_bez_číslování"/>
    <w:basedOn w:val="Nadpis3"/>
    <w:qFormat/>
    <w:rsid w:val="00D45A73"/>
    <w:pPr>
      <w:keepLines w:val="0"/>
      <w:numPr>
        <w:ilvl w:val="0"/>
        <w:numId w:val="0"/>
      </w:numPr>
      <w:spacing w:before="120" w:after="60"/>
      <w:outlineLvl w:val="3"/>
    </w:pPr>
    <w:rPr>
      <w:rFonts w:cstheme="minorHAnsi"/>
      <w:sz w:val="22"/>
      <w:bdr w:val="none" w:sz="0" w:space="0" w:color="auto" w:frame="1"/>
    </w:rPr>
  </w:style>
  <w:style w:type="paragraph" w:customStyle="1" w:styleId="HSpodbod">
    <w:name w:val="HS_podbod"/>
    <w:qFormat/>
    <w:rsid w:val="00C86025"/>
    <w:pPr>
      <w:numPr>
        <w:numId w:val="10"/>
      </w:numPr>
      <w:spacing w:after="0"/>
      <w:contextualSpacing/>
      <w:jc w:val="both"/>
    </w:pPr>
    <w:rPr>
      <w:color w:val="000000" w:themeColor="text1"/>
      <w:szCs w:val="20"/>
    </w:rPr>
  </w:style>
  <w:style w:type="paragraph" w:customStyle="1" w:styleId="HSNadpis5bezslovn">
    <w:name w:val="HS_Nadpis_5_bez_číslování"/>
    <w:basedOn w:val="Normln"/>
    <w:qFormat/>
    <w:rsid w:val="00D408EE"/>
    <w:pPr>
      <w:keepNext/>
      <w:spacing w:before="120" w:after="0"/>
    </w:pPr>
    <w:rPr>
      <w:b/>
      <w:szCs w:val="20"/>
    </w:rPr>
  </w:style>
  <w:style w:type="paragraph" w:customStyle="1" w:styleId="HSvodnstrnka">
    <w:name w:val="HS_Úvodní_stránka"/>
    <w:basedOn w:val="Normln"/>
    <w:autoRedefine/>
    <w:qFormat/>
    <w:rsid w:val="006D7D5A"/>
    <w:pPr>
      <w:spacing w:before="5500" w:after="0" w:line="360" w:lineRule="auto"/>
      <w:jc w:val="center"/>
    </w:pPr>
    <w:rPr>
      <w:b/>
      <w:bCs/>
      <w:color w:val="004B8D" w:themeColor="text2"/>
      <w:sz w:val="72"/>
      <w:szCs w:val="72"/>
    </w:rPr>
  </w:style>
  <w:style w:type="paragraph" w:customStyle="1" w:styleId="HSPlohaslovn">
    <w:name w:val="HS_Příloha_číslování"/>
    <w:basedOn w:val="Plohaslovn"/>
    <w:autoRedefine/>
    <w:qFormat/>
    <w:rsid w:val="00247899"/>
    <w:pPr>
      <w:numPr>
        <w:numId w:val="13"/>
      </w:numPr>
      <w:spacing w:before="0" w:after="240"/>
      <w:ind w:left="2438" w:hanging="2438"/>
      <w:outlineLvl w:val="2"/>
    </w:pPr>
    <w:rPr>
      <w:b w:val="0"/>
      <w:bdr w:val="none" w:sz="0" w:space="0" w:color="auto" w:frame="1"/>
    </w:rPr>
  </w:style>
  <w:style w:type="paragraph" w:customStyle="1" w:styleId="HSNadpis6bezslovn">
    <w:name w:val="HS_Nadpis_6_bez_číslování"/>
    <w:basedOn w:val="Normln"/>
    <w:autoRedefine/>
    <w:qFormat/>
    <w:rsid w:val="00BD49CC"/>
    <w:pPr>
      <w:spacing w:after="0"/>
      <w:jc w:val="center"/>
    </w:pPr>
    <w:rPr>
      <w:rFonts w:cstheme="minorHAnsi"/>
      <w:b/>
      <w:bCs/>
      <w:i/>
      <w:iCs/>
      <w:sz w:val="20"/>
      <w:szCs w:val="18"/>
    </w:rPr>
  </w:style>
  <w:style w:type="paragraph" w:customStyle="1" w:styleId="HSpodbod2">
    <w:name w:val="HS_podbod_2"/>
    <w:basedOn w:val="HSpodbod"/>
    <w:autoRedefine/>
    <w:qFormat/>
    <w:rsid w:val="004E529F"/>
    <w:pPr>
      <w:numPr>
        <w:numId w:val="14"/>
      </w:numPr>
      <w:spacing w:line="240" w:lineRule="auto"/>
      <w:ind w:left="567" w:hanging="567"/>
      <w:contextualSpacing w:val="0"/>
    </w:pPr>
    <w:rPr>
      <w:sz w:val="18"/>
      <w:shd w:val="clear" w:color="auto" w:fill="FFFFFF"/>
    </w:rPr>
  </w:style>
  <w:style w:type="paragraph" w:customStyle="1" w:styleId="HSNadpis1bezslovn">
    <w:name w:val="HS_Nadpis_1_bez_číslování"/>
    <w:qFormat/>
    <w:rsid w:val="005C65DB"/>
    <w:pPr>
      <w:spacing w:before="120" w:after="120" w:line="240" w:lineRule="auto"/>
      <w:contextualSpacing/>
      <w:outlineLvl w:val="0"/>
    </w:pPr>
    <w:rPr>
      <w:rFonts w:eastAsiaTheme="majorEastAsia" w:cstheme="majorBidi"/>
      <w:b/>
      <w:color w:val="004B8D" w:themeColor="text2"/>
      <w:sz w:val="48"/>
      <w:szCs w:val="32"/>
    </w:rPr>
  </w:style>
  <w:style w:type="paragraph" w:customStyle="1" w:styleId="Nadpisyproodseky">
    <w:name w:val="Nadpisy pro odseky"/>
    <w:basedOn w:val="Normln"/>
    <w:next w:val="Normln"/>
    <w:link w:val="NadpisyproodsekyChar"/>
    <w:uiPriority w:val="8"/>
    <w:rsid w:val="006E2ADA"/>
    <w:pPr>
      <w:keepNext/>
      <w:keepLines/>
      <w:spacing w:before="40" w:after="0" w:line="360" w:lineRule="auto"/>
    </w:pPr>
    <w:rPr>
      <w:rFonts w:asciiTheme="majorHAnsi" w:hAnsiTheme="majorHAnsi"/>
      <w:b/>
      <w:color w:val="004B8D" w:themeColor="text2"/>
    </w:rPr>
  </w:style>
  <w:style w:type="character" w:customStyle="1" w:styleId="NadpisyproodsekyChar">
    <w:name w:val="Nadpisy pro odseky Char"/>
    <w:basedOn w:val="Standardnpsmoodstavce"/>
    <w:link w:val="Nadpisyproodseky"/>
    <w:uiPriority w:val="8"/>
    <w:rsid w:val="006E2ADA"/>
    <w:rPr>
      <w:rFonts w:asciiTheme="majorHAnsi" w:hAnsiTheme="majorHAnsi"/>
      <w:b/>
      <w:color w:val="004B8D" w:themeColor="text2"/>
    </w:rPr>
  </w:style>
  <w:style w:type="paragraph" w:customStyle="1" w:styleId="NERV">
    <w:name w:val="NERV"/>
    <w:basedOn w:val="Normln"/>
    <w:link w:val="NERVChar"/>
    <w:qFormat/>
    <w:rsid w:val="006E2ADA"/>
    <w:pPr>
      <w:autoSpaceDE w:val="0"/>
      <w:autoSpaceDN w:val="0"/>
      <w:adjustRightInd w:val="0"/>
      <w:spacing w:after="0"/>
      <w:ind w:left="567" w:hanging="360"/>
    </w:pPr>
    <w:rPr>
      <w:rFonts w:ascii="Calibri" w:hAnsi="Calibri" w:cs="Calibri"/>
      <w:i/>
      <w:iCs/>
      <w:color w:val="000000"/>
      <w:sz w:val="20"/>
      <w:szCs w:val="20"/>
    </w:rPr>
  </w:style>
  <w:style w:type="paragraph" w:customStyle="1" w:styleId="ukazatelkodmazn">
    <w:name w:val="ukazatel/k odmazání"/>
    <w:basedOn w:val="Normln"/>
    <w:qFormat/>
    <w:rsid w:val="008124B3"/>
    <w:pPr>
      <w:numPr>
        <w:numId w:val="15"/>
      </w:numPr>
      <w:tabs>
        <w:tab w:val="num" w:pos="360"/>
      </w:tabs>
      <w:spacing w:after="0"/>
      <w:ind w:left="567" w:firstLine="0"/>
      <w:contextualSpacing/>
    </w:pPr>
    <w:rPr>
      <w:i/>
      <w:iCs/>
      <w:sz w:val="20"/>
      <w:szCs w:val="20"/>
    </w:rPr>
  </w:style>
  <w:style w:type="character" w:customStyle="1" w:styleId="NERVChar">
    <w:name w:val="NERV Char"/>
    <w:basedOn w:val="Standardnpsmoodstavce"/>
    <w:link w:val="NERV"/>
    <w:rsid w:val="006E2ADA"/>
    <w:rPr>
      <w:rFonts w:ascii="Calibri" w:hAnsi="Calibri" w:cs="Calibri"/>
      <w:i/>
      <w:iCs/>
      <w:color w:val="000000"/>
      <w:sz w:val="20"/>
      <w:szCs w:val="20"/>
    </w:rPr>
  </w:style>
  <w:style w:type="paragraph" w:customStyle="1" w:styleId="HSNadpisIII1">
    <w:name w:val="HS_Nadpis_III_1"/>
    <w:qFormat/>
    <w:rsid w:val="0073784E"/>
    <w:pPr>
      <w:numPr>
        <w:numId w:val="16"/>
      </w:numPr>
      <w:spacing w:before="120" w:after="120" w:line="240" w:lineRule="auto"/>
      <w:ind w:left="851" w:hanging="851"/>
      <w:outlineLvl w:val="2"/>
    </w:pPr>
    <w:rPr>
      <w:rFonts w:asciiTheme="majorHAnsi" w:eastAsiaTheme="majorEastAsia" w:hAnsiTheme="majorHAnsi" w:cstheme="majorBidi"/>
      <w:b/>
      <w:color w:val="004B8D" w:themeColor="text2"/>
      <w:sz w:val="36"/>
      <w:szCs w:val="26"/>
    </w:rPr>
  </w:style>
  <w:style w:type="paragraph" w:customStyle="1" w:styleId="HSKurzva">
    <w:name w:val="HS_Kurzíva"/>
    <w:qFormat/>
    <w:rsid w:val="00B033D0"/>
    <w:pPr>
      <w:spacing w:before="120" w:after="120" w:line="240" w:lineRule="auto"/>
    </w:pPr>
    <w:rPr>
      <w:i/>
      <w:iCs/>
      <w:color w:val="000000" w:themeColor="text1"/>
    </w:rPr>
  </w:style>
  <w:style w:type="paragraph" w:customStyle="1" w:styleId="HSNadpisIII">
    <w:name w:val="HS_Nadpis_III"/>
    <w:qFormat/>
    <w:rsid w:val="00BB5751"/>
    <w:pPr>
      <w:numPr>
        <w:numId w:val="17"/>
      </w:numPr>
      <w:spacing w:before="240" w:after="240" w:line="240" w:lineRule="auto"/>
      <w:ind w:left="851" w:hanging="851"/>
      <w:outlineLvl w:val="1"/>
    </w:pPr>
    <w:rPr>
      <w:b/>
      <w:color w:val="004B8D" w:themeColor="text2"/>
      <w:kern w:val="2"/>
      <w:sz w:val="44"/>
      <w:szCs w:val="26"/>
    </w:rPr>
  </w:style>
  <w:style w:type="paragraph" w:customStyle="1" w:styleId="HSNadpisIII2">
    <w:name w:val="HS_Nadpis_III_2"/>
    <w:autoRedefine/>
    <w:qFormat/>
    <w:rsid w:val="004F1B00"/>
    <w:pPr>
      <w:numPr>
        <w:numId w:val="18"/>
      </w:numPr>
      <w:spacing w:before="120" w:after="120" w:line="240" w:lineRule="auto"/>
      <w:ind w:left="851" w:hanging="851"/>
      <w:outlineLvl w:val="2"/>
    </w:pPr>
    <w:rPr>
      <w:rFonts w:asciiTheme="majorHAnsi" w:eastAsiaTheme="majorEastAsia" w:hAnsiTheme="majorHAnsi" w:cstheme="majorBidi"/>
      <w:b/>
      <w:color w:val="004B8D" w:themeColor="text2"/>
      <w:sz w:val="36"/>
      <w:szCs w:val="26"/>
    </w:rPr>
  </w:style>
  <w:style w:type="paragraph" w:customStyle="1" w:styleId="HSNadpisIII3">
    <w:name w:val="HS_Nadpis_III_3"/>
    <w:qFormat/>
    <w:rsid w:val="00CC0BBE"/>
    <w:pPr>
      <w:numPr>
        <w:numId w:val="19"/>
      </w:numPr>
      <w:spacing w:before="120" w:after="120" w:line="240" w:lineRule="auto"/>
      <w:ind w:left="357" w:hanging="357"/>
      <w:outlineLvl w:val="2"/>
    </w:pPr>
    <w:rPr>
      <w:rFonts w:asciiTheme="majorHAnsi" w:eastAsiaTheme="majorEastAsia" w:hAnsiTheme="majorHAnsi" w:cstheme="majorBidi"/>
      <w:b/>
      <w:color w:val="004B8D" w:themeColor="text2"/>
      <w:sz w:val="36"/>
      <w:szCs w:val="26"/>
    </w:rPr>
  </w:style>
  <w:style w:type="paragraph" w:customStyle="1" w:styleId="HSNormln2">
    <w:name w:val="HS_Normální_2"/>
    <w:basedOn w:val="Normln"/>
    <w:qFormat/>
    <w:rsid w:val="00511D1D"/>
    <w:pPr>
      <w:ind w:left="567"/>
    </w:pPr>
  </w:style>
  <w:style w:type="paragraph" w:customStyle="1" w:styleId="HSNadpisIII4">
    <w:name w:val="HS_Nadpis_III_4"/>
    <w:autoRedefine/>
    <w:qFormat/>
    <w:rsid w:val="003F054F"/>
    <w:pPr>
      <w:keepNext/>
      <w:numPr>
        <w:numId w:val="21"/>
      </w:numPr>
      <w:spacing w:before="120" w:after="120" w:line="240" w:lineRule="auto"/>
      <w:ind w:left="851" w:hanging="851"/>
      <w:outlineLvl w:val="2"/>
    </w:pPr>
    <w:rPr>
      <w:rFonts w:asciiTheme="majorHAnsi" w:eastAsiaTheme="majorEastAsia" w:hAnsiTheme="majorHAnsi" w:cstheme="majorBidi"/>
      <w:b/>
      <w:color w:val="004B8D" w:themeColor="text2"/>
      <w:sz w:val="36"/>
      <w:szCs w:val="26"/>
    </w:rPr>
  </w:style>
  <w:style w:type="paragraph" w:customStyle="1" w:styleId="HSpodbodysla1">
    <w:name w:val="HS_podbody_čísla_1"/>
    <w:autoRedefine/>
    <w:qFormat/>
    <w:rsid w:val="007D1C3F"/>
    <w:pPr>
      <w:numPr>
        <w:numId w:val="20"/>
      </w:numPr>
      <w:spacing w:after="60" w:line="240" w:lineRule="auto"/>
      <w:ind w:left="567" w:hanging="567"/>
    </w:pPr>
    <w:rPr>
      <w:color w:val="000000" w:themeColor="text1"/>
    </w:rPr>
  </w:style>
  <w:style w:type="paragraph" w:customStyle="1" w:styleId="HSNadpisIII43">
    <w:name w:val="HS_Nadpis_III_4_3"/>
    <w:basedOn w:val="HSNadpis4bezslovn"/>
    <w:qFormat/>
    <w:rsid w:val="002146C1"/>
    <w:pPr>
      <w:numPr>
        <w:numId w:val="22"/>
      </w:numPr>
      <w:spacing w:after="120"/>
      <w:ind w:left="851" w:hanging="851"/>
      <w:outlineLvl w:val="4"/>
    </w:pPr>
    <w:rPr>
      <w:sz w:val="28"/>
    </w:rPr>
  </w:style>
  <w:style w:type="paragraph" w:customStyle="1" w:styleId="HSpodbod2odsazen">
    <w:name w:val="HS_podbod_2odsazení"/>
    <w:autoRedefine/>
    <w:qFormat/>
    <w:rsid w:val="00654EA8"/>
    <w:pPr>
      <w:numPr>
        <w:numId w:val="23"/>
      </w:numPr>
      <w:spacing w:after="60" w:line="240" w:lineRule="auto"/>
      <w:ind w:left="1134" w:hanging="567"/>
    </w:pPr>
    <w:rPr>
      <w:color w:val="000000" w:themeColor="text1"/>
    </w:rPr>
  </w:style>
  <w:style w:type="paragraph" w:customStyle="1" w:styleId="HSNormln3">
    <w:name w:val="HS_Normální_3"/>
    <w:autoRedefine/>
    <w:qFormat/>
    <w:rsid w:val="00383AD0"/>
    <w:pPr>
      <w:spacing w:after="60" w:line="240" w:lineRule="auto"/>
    </w:pPr>
    <w:rPr>
      <w:color w:val="000000" w:themeColor="text1"/>
    </w:rPr>
  </w:style>
  <w:style w:type="paragraph" w:customStyle="1" w:styleId="HSNadpis5bezslovnPODTRENO">
    <w:name w:val="HS_Nadpis_5_bez_číslování_PODTRŽENO"/>
    <w:autoRedefine/>
    <w:qFormat/>
    <w:rsid w:val="00BB5751"/>
    <w:pPr>
      <w:widowControl w:val="0"/>
      <w:spacing w:before="120" w:after="120" w:line="240" w:lineRule="auto"/>
    </w:pPr>
    <w:rPr>
      <w:rFonts w:asciiTheme="majorHAnsi" w:eastAsiaTheme="majorEastAsia" w:hAnsiTheme="majorHAnsi" w:cstheme="majorBidi"/>
      <w:b/>
      <w:bCs/>
      <w:i/>
      <w:iCs/>
      <w:color w:val="000000" w:themeColor="text1"/>
      <w:sz w:val="24"/>
      <w:u w:val="single"/>
    </w:rPr>
  </w:style>
  <w:style w:type="paragraph" w:customStyle="1" w:styleId="HSgrafytexty">
    <w:name w:val="HS_grafy_texty"/>
    <w:autoRedefine/>
    <w:qFormat/>
    <w:rsid w:val="005915FD"/>
    <w:pPr>
      <w:keepNext/>
      <w:widowControl w:val="0"/>
      <w:pBdr>
        <w:bottom w:val="single" w:sz="4" w:space="1" w:color="auto"/>
      </w:pBdr>
      <w:spacing w:after="0" w:line="240" w:lineRule="auto"/>
    </w:pPr>
    <w:rPr>
      <w:color w:val="000000" w:themeColor="text1"/>
      <w:kern w:val="2"/>
      <w:sz w:val="20"/>
      <w:szCs w:val="16"/>
    </w:rPr>
  </w:style>
  <w:style w:type="paragraph" w:styleId="Odstavecseseznamem">
    <w:name w:val="List Paragraph"/>
    <w:aliases w:val="Bulleted List,3,POCG Table Text,Issue Action POC,List Paragraph1,Dot pt,F5 List Paragraph,List Paragraph Char Char Char,Indicator Text,Colorful List - Accent 11,Numbered Para 1,Bullet 1,Bullet Points,List Paragraph2,MAIN CONTENT,Nad"/>
    <w:basedOn w:val="Normln"/>
    <w:link w:val="OdstavecseseznamemChar"/>
    <w:uiPriority w:val="34"/>
    <w:unhideWhenUsed/>
    <w:qFormat/>
    <w:rsid w:val="00CA0AF1"/>
    <w:pPr>
      <w:spacing w:after="160" w:line="293" w:lineRule="auto"/>
      <w:ind w:left="720"/>
      <w:contextualSpacing/>
      <w:jc w:val="left"/>
    </w:pPr>
  </w:style>
  <w:style w:type="character" w:customStyle="1" w:styleId="OdstavecseseznamemChar">
    <w:name w:val="Odstavec se seznamem Char"/>
    <w:aliases w:val="Bulleted List Char,3 Char,POCG Table Text Char,Issue Action POC Char,List Paragraph1 Char,Dot pt Char,F5 List Paragraph Char,List Paragraph Char Char Char Char,Indicator Text Char,Colorful List - Accent 11 Char,Bullet 1 Char"/>
    <w:basedOn w:val="Standardnpsmoodstavce"/>
    <w:link w:val="Odstavecseseznamem"/>
    <w:uiPriority w:val="34"/>
    <w:qFormat/>
    <w:locked/>
    <w:rsid w:val="00AE039C"/>
    <w:rPr>
      <w:color w:val="000000" w:themeColor="tex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803815">
      <w:bodyDiv w:val="1"/>
      <w:marLeft w:val="0"/>
      <w:marRight w:val="0"/>
      <w:marTop w:val="0"/>
      <w:marBottom w:val="0"/>
      <w:divBdr>
        <w:top w:val="none" w:sz="0" w:space="0" w:color="auto"/>
        <w:left w:val="none" w:sz="0" w:space="0" w:color="auto"/>
        <w:bottom w:val="none" w:sz="0" w:space="0" w:color="auto"/>
        <w:right w:val="none" w:sz="0" w:space="0" w:color="auto"/>
      </w:divBdr>
    </w:div>
    <w:div w:id="11995819">
      <w:bodyDiv w:val="1"/>
      <w:marLeft w:val="0"/>
      <w:marRight w:val="0"/>
      <w:marTop w:val="0"/>
      <w:marBottom w:val="0"/>
      <w:divBdr>
        <w:top w:val="none" w:sz="0" w:space="0" w:color="auto"/>
        <w:left w:val="none" w:sz="0" w:space="0" w:color="auto"/>
        <w:bottom w:val="none" w:sz="0" w:space="0" w:color="auto"/>
        <w:right w:val="none" w:sz="0" w:space="0" w:color="auto"/>
      </w:divBdr>
    </w:div>
    <w:div w:id="25983817">
      <w:bodyDiv w:val="1"/>
      <w:marLeft w:val="0"/>
      <w:marRight w:val="0"/>
      <w:marTop w:val="0"/>
      <w:marBottom w:val="0"/>
      <w:divBdr>
        <w:top w:val="none" w:sz="0" w:space="0" w:color="auto"/>
        <w:left w:val="none" w:sz="0" w:space="0" w:color="auto"/>
        <w:bottom w:val="none" w:sz="0" w:space="0" w:color="auto"/>
        <w:right w:val="none" w:sz="0" w:space="0" w:color="auto"/>
      </w:divBdr>
    </w:div>
    <w:div w:id="28186364">
      <w:bodyDiv w:val="1"/>
      <w:marLeft w:val="0"/>
      <w:marRight w:val="0"/>
      <w:marTop w:val="0"/>
      <w:marBottom w:val="0"/>
      <w:divBdr>
        <w:top w:val="none" w:sz="0" w:space="0" w:color="auto"/>
        <w:left w:val="none" w:sz="0" w:space="0" w:color="auto"/>
        <w:bottom w:val="none" w:sz="0" w:space="0" w:color="auto"/>
        <w:right w:val="none" w:sz="0" w:space="0" w:color="auto"/>
      </w:divBdr>
    </w:div>
    <w:div w:id="37629560">
      <w:bodyDiv w:val="1"/>
      <w:marLeft w:val="0"/>
      <w:marRight w:val="0"/>
      <w:marTop w:val="0"/>
      <w:marBottom w:val="0"/>
      <w:divBdr>
        <w:top w:val="none" w:sz="0" w:space="0" w:color="auto"/>
        <w:left w:val="none" w:sz="0" w:space="0" w:color="auto"/>
        <w:bottom w:val="none" w:sz="0" w:space="0" w:color="auto"/>
        <w:right w:val="none" w:sz="0" w:space="0" w:color="auto"/>
      </w:divBdr>
    </w:div>
    <w:div w:id="37707317">
      <w:bodyDiv w:val="1"/>
      <w:marLeft w:val="0"/>
      <w:marRight w:val="0"/>
      <w:marTop w:val="0"/>
      <w:marBottom w:val="0"/>
      <w:divBdr>
        <w:top w:val="none" w:sz="0" w:space="0" w:color="auto"/>
        <w:left w:val="none" w:sz="0" w:space="0" w:color="auto"/>
        <w:bottom w:val="none" w:sz="0" w:space="0" w:color="auto"/>
        <w:right w:val="none" w:sz="0" w:space="0" w:color="auto"/>
      </w:divBdr>
    </w:div>
    <w:div w:id="52698808">
      <w:bodyDiv w:val="1"/>
      <w:marLeft w:val="0"/>
      <w:marRight w:val="0"/>
      <w:marTop w:val="0"/>
      <w:marBottom w:val="0"/>
      <w:divBdr>
        <w:top w:val="none" w:sz="0" w:space="0" w:color="auto"/>
        <w:left w:val="none" w:sz="0" w:space="0" w:color="auto"/>
        <w:bottom w:val="none" w:sz="0" w:space="0" w:color="auto"/>
        <w:right w:val="none" w:sz="0" w:space="0" w:color="auto"/>
      </w:divBdr>
    </w:div>
    <w:div w:id="60911382">
      <w:bodyDiv w:val="1"/>
      <w:marLeft w:val="0"/>
      <w:marRight w:val="0"/>
      <w:marTop w:val="0"/>
      <w:marBottom w:val="0"/>
      <w:divBdr>
        <w:top w:val="none" w:sz="0" w:space="0" w:color="auto"/>
        <w:left w:val="none" w:sz="0" w:space="0" w:color="auto"/>
        <w:bottom w:val="none" w:sz="0" w:space="0" w:color="auto"/>
        <w:right w:val="none" w:sz="0" w:space="0" w:color="auto"/>
      </w:divBdr>
    </w:div>
    <w:div w:id="65078345">
      <w:bodyDiv w:val="1"/>
      <w:marLeft w:val="0"/>
      <w:marRight w:val="0"/>
      <w:marTop w:val="0"/>
      <w:marBottom w:val="0"/>
      <w:divBdr>
        <w:top w:val="none" w:sz="0" w:space="0" w:color="auto"/>
        <w:left w:val="none" w:sz="0" w:space="0" w:color="auto"/>
        <w:bottom w:val="none" w:sz="0" w:space="0" w:color="auto"/>
        <w:right w:val="none" w:sz="0" w:space="0" w:color="auto"/>
      </w:divBdr>
    </w:div>
    <w:div w:id="79302463">
      <w:bodyDiv w:val="1"/>
      <w:marLeft w:val="0"/>
      <w:marRight w:val="0"/>
      <w:marTop w:val="0"/>
      <w:marBottom w:val="0"/>
      <w:divBdr>
        <w:top w:val="none" w:sz="0" w:space="0" w:color="auto"/>
        <w:left w:val="none" w:sz="0" w:space="0" w:color="auto"/>
        <w:bottom w:val="none" w:sz="0" w:space="0" w:color="auto"/>
        <w:right w:val="none" w:sz="0" w:space="0" w:color="auto"/>
      </w:divBdr>
    </w:div>
    <w:div w:id="81414108">
      <w:bodyDiv w:val="1"/>
      <w:marLeft w:val="0"/>
      <w:marRight w:val="0"/>
      <w:marTop w:val="0"/>
      <w:marBottom w:val="0"/>
      <w:divBdr>
        <w:top w:val="none" w:sz="0" w:space="0" w:color="auto"/>
        <w:left w:val="none" w:sz="0" w:space="0" w:color="auto"/>
        <w:bottom w:val="none" w:sz="0" w:space="0" w:color="auto"/>
        <w:right w:val="none" w:sz="0" w:space="0" w:color="auto"/>
      </w:divBdr>
    </w:div>
    <w:div w:id="104812933">
      <w:bodyDiv w:val="1"/>
      <w:marLeft w:val="0"/>
      <w:marRight w:val="0"/>
      <w:marTop w:val="0"/>
      <w:marBottom w:val="0"/>
      <w:divBdr>
        <w:top w:val="none" w:sz="0" w:space="0" w:color="auto"/>
        <w:left w:val="none" w:sz="0" w:space="0" w:color="auto"/>
        <w:bottom w:val="none" w:sz="0" w:space="0" w:color="auto"/>
        <w:right w:val="none" w:sz="0" w:space="0" w:color="auto"/>
      </w:divBdr>
    </w:div>
    <w:div w:id="109512637">
      <w:bodyDiv w:val="1"/>
      <w:marLeft w:val="0"/>
      <w:marRight w:val="0"/>
      <w:marTop w:val="0"/>
      <w:marBottom w:val="0"/>
      <w:divBdr>
        <w:top w:val="none" w:sz="0" w:space="0" w:color="auto"/>
        <w:left w:val="none" w:sz="0" w:space="0" w:color="auto"/>
        <w:bottom w:val="none" w:sz="0" w:space="0" w:color="auto"/>
        <w:right w:val="none" w:sz="0" w:space="0" w:color="auto"/>
      </w:divBdr>
    </w:div>
    <w:div w:id="119539475">
      <w:bodyDiv w:val="1"/>
      <w:marLeft w:val="0"/>
      <w:marRight w:val="0"/>
      <w:marTop w:val="0"/>
      <w:marBottom w:val="0"/>
      <w:divBdr>
        <w:top w:val="none" w:sz="0" w:space="0" w:color="auto"/>
        <w:left w:val="none" w:sz="0" w:space="0" w:color="auto"/>
        <w:bottom w:val="none" w:sz="0" w:space="0" w:color="auto"/>
        <w:right w:val="none" w:sz="0" w:space="0" w:color="auto"/>
      </w:divBdr>
    </w:div>
    <w:div w:id="160782724">
      <w:bodyDiv w:val="1"/>
      <w:marLeft w:val="0"/>
      <w:marRight w:val="0"/>
      <w:marTop w:val="0"/>
      <w:marBottom w:val="0"/>
      <w:divBdr>
        <w:top w:val="none" w:sz="0" w:space="0" w:color="auto"/>
        <w:left w:val="none" w:sz="0" w:space="0" w:color="auto"/>
        <w:bottom w:val="none" w:sz="0" w:space="0" w:color="auto"/>
        <w:right w:val="none" w:sz="0" w:space="0" w:color="auto"/>
      </w:divBdr>
    </w:div>
    <w:div w:id="174153792">
      <w:bodyDiv w:val="1"/>
      <w:marLeft w:val="0"/>
      <w:marRight w:val="0"/>
      <w:marTop w:val="0"/>
      <w:marBottom w:val="0"/>
      <w:divBdr>
        <w:top w:val="none" w:sz="0" w:space="0" w:color="auto"/>
        <w:left w:val="none" w:sz="0" w:space="0" w:color="auto"/>
        <w:bottom w:val="none" w:sz="0" w:space="0" w:color="auto"/>
        <w:right w:val="none" w:sz="0" w:space="0" w:color="auto"/>
      </w:divBdr>
    </w:div>
    <w:div w:id="193423735">
      <w:bodyDiv w:val="1"/>
      <w:marLeft w:val="0"/>
      <w:marRight w:val="0"/>
      <w:marTop w:val="0"/>
      <w:marBottom w:val="0"/>
      <w:divBdr>
        <w:top w:val="none" w:sz="0" w:space="0" w:color="auto"/>
        <w:left w:val="none" w:sz="0" w:space="0" w:color="auto"/>
        <w:bottom w:val="none" w:sz="0" w:space="0" w:color="auto"/>
        <w:right w:val="none" w:sz="0" w:space="0" w:color="auto"/>
      </w:divBdr>
    </w:div>
    <w:div w:id="242302452">
      <w:bodyDiv w:val="1"/>
      <w:marLeft w:val="0"/>
      <w:marRight w:val="0"/>
      <w:marTop w:val="0"/>
      <w:marBottom w:val="0"/>
      <w:divBdr>
        <w:top w:val="none" w:sz="0" w:space="0" w:color="auto"/>
        <w:left w:val="none" w:sz="0" w:space="0" w:color="auto"/>
        <w:bottom w:val="none" w:sz="0" w:space="0" w:color="auto"/>
        <w:right w:val="none" w:sz="0" w:space="0" w:color="auto"/>
      </w:divBdr>
    </w:div>
    <w:div w:id="275138658">
      <w:bodyDiv w:val="1"/>
      <w:marLeft w:val="0"/>
      <w:marRight w:val="0"/>
      <w:marTop w:val="0"/>
      <w:marBottom w:val="0"/>
      <w:divBdr>
        <w:top w:val="none" w:sz="0" w:space="0" w:color="auto"/>
        <w:left w:val="none" w:sz="0" w:space="0" w:color="auto"/>
        <w:bottom w:val="none" w:sz="0" w:space="0" w:color="auto"/>
        <w:right w:val="none" w:sz="0" w:space="0" w:color="auto"/>
      </w:divBdr>
    </w:div>
    <w:div w:id="277181445">
      <w:bodyDiv w:val="1"/>
      <w:marLeft w:val="0"/>
      <w:marRight w:val="0"/>
      <w:marTop w:val="0"/>
      <w:marBottom w:val="0"/>
      <w:divBdr>
        <w:top w:val="none" w:sz="0" w:space="0" w:color="auto"/>
        <w:left w:val="none" w:sz="0" w:space="0" w:color="auto"/>
        <w:bottom w:val="none" w:sz="0" w:space="0" w:color="auto"/>
        <w:right w:val="none" w:sz="0" w:space="0" w:color="auto"/>
      </w:divBdr>
    </w:div>
    <w:div w:id="284821930">
      <w:bodyDiv w:val="1"/>
      <w:marLeft w:val="0"/>
      <w:marRight w:val="0"/>
      <w:marTop w:val="0"/>
      <w:marBottom w:val="0"/>
      <w:divBdr>
        <w:top w:val="none" w:sz="0" w:space="0" w:color="auto"/>
        <w:left w:val="none" w:sz="0" w:space="0" w:color="auto"/>
        <w:bottom w:val="none" w:sz="0" w:space="0" w:color="auto"/>
        <w:right w:val="none" w:sz="0" w:space="0" w:color="auto"/>
      </w:divBdr>
    </w:div>
    <w:div w:id="294408243">
      <w:bodyDiv w:val="1"/>
      <w:marLeft w:val="0"/>
      <w:marRight w:val="0"/>
      <w:marTop w:val="0"/>
      <w:marBottom w:val="0"/>
      <w:divBdr>
        <w:top w:val="none" w:sz="0" w:space="0" w:color="auto"/>
        <w:left w:val="none" w:sz="0" w:space="0" w:color="auto"/>
        <w:bottom w:val="none" w:sz="0" w:space="0" w:color="auto"/>
        <w:right w:val="none" w:sz="0" w:space="0" w:color="auto"/>
      </w:divBdr>
    </w:div>
    <w:div w:id="305353741">
      <w:bodyDiv w:val="1"/>
      <w:marLeft w:val="0"/>
      <w:marRight w:val="0"/>
      <w:marTop w:val="0"/>
      <w:marBottom w:val="0"/>
      <w:divBdr>
        <w:top w:val="none" w:sz="0" w:space="0" w:color="auto"/>
        <w:left w:val="none" w:sz="0" w:space="0" w:color="auto"/>
        <w:bottom w:val="none" w:sz="0" w:space="0" w:color="auto"/>
        <w:right w:val="none" w:sz="0" w:space="0" w:color="auto"/>
      </w:divBdr>
    </w:div>
    <w:div w:id="352389673">
      <w:bodyDiv w:val="1"/>
      <w:marLeft w:val="0"/>
      <w:marRight w:val="0"/>
      <w:marTop w:val="0"/>
      <w:marBottom w:val="0"/>
      <w:divBdr>
        <w:top w:val="none" w:sz="0" w:space="0" w:color="auto"/>
        <w:left w:val="none" w:sz="0" w:space="0" w:color="auto"/>
        <w:bottom w:val="none" w:sz="0" w:space="0" w:color="auto"/>
        <w:right w:val="none" w:sz="0" w:space="0" w:color="auto"/>
      </w:divBdr>
    </w:div>
    <w:div w:id="360671542">
      <w:bodyDiv w:val="1"/>
      <w:marLeft w:val="0"/>
      <w:marRight w:val="0"/>
      <w:marTop w:val="0"/>
      <w:marBottom w:val="0"/>
      <w:divBdr>
        <w:top w:val="none" w:sz="0" w:space="0" w:color="auto"/>
        <w:left w:val="none" w:sz="0" w:space="0" w:color="auto"/>
        <w:bottom w:val="none" w:sz="0" w:space="0" w:color="auto"/>
        <w:right w:val="none" w:sz="0" w:space="0" w:color="auto"/>
      </w:divBdr>
    </w:div>
    <w:div w:id="366566567">
      <w:bodyDiv w:val="1"/>
      <w:marLeft w:val="0"/>
      <w:marRight w:val="0"/>
      <w:marTop w:val="0"/>
      <w:marBottom w:val="0"/>
      <w:divBdr>
        <w:top w:val="none" w:sz="0" w:space="0" w:color="auto"/>
        <w:left w:val="none" w:sz="0" w:space="0" w:color="auto"/>
        <w:bottom w:val="none" w:sz="0" w:space="0" w:color="auto"/>
        <w:right w:val="none" w:sz="0" w:space="0" w:color="auto"/>
      </w:divBdr>
    </w:div>
    <w:div w:id="367225937">
      <w:bodyDiv w:val="1"/>
      <w:marLeft w:val="0"/>
      <w:marRight w:val="0"/>
      <w:marTop w:val="0"/>
      <w:marBottom w:val="0"/>
      <w:divBdr>
        <w:top w:val="none" w:sz="0" w:space="0" w:color="auto"/>
        <w:left w:val="none" w:sz="0" w:space="0" w:color="auto"/>
        <w:bottom w:val="none" w:sz="0" w:space="0" w:color="auto"/>
        <w:right w:val="none" w:sz="0" w:space="0" w:color="auto"/>
      </w:divBdr>
    </w:div>
    <w:div w:id="368989510">
      <w:bodyDiv w:val="1"/>
      <w:marLeft w:val="0"/>
      <w:marRight w:val="0"/>
      <w:marTop w:val="0"/>
      <w:marBottom w:val="0"/>
      <w:divBdr>
        <w:top w:val="none" w:sz="0" w:space="0" w:color="auto"/>
        <w:left w:val="none" w:sz="0" w:space="0" w:color="auto"/>
        <w:bottom w:val="none" w:sz="0" w:space="0" w:color="auto"/>
        <w:right w:val="none" w:sz="0" w:space="0" w:color="auto"/>
      </w:divBdr>
    </w:div>
    <w:div w:id="369689960">
      <w:bodyDiv w:val="1"/>
      <w:marLeft w:val="0"/>
      <w:marRight w:val="0"/>
      <w:marTop w:val="0"/>
      <w:marBottom w:val="0"/>
      <w:divBdr>
        <w:top w:val="none" w:sz="0" w:space="0" w:color="auto"/>
        <w:left w:val="none" w:sz="0" w:space="0" w:color="auto"/>
        <w:bottom w:val="none" w:sz="0" w:space="0" w:color="auto"/>
        <w:right w:val="none" w:sz="0" w:space="0" w:color="auto"/>
      </w:divBdr>
    </w:div>
    <w:div w:id="377706157">
      <w:bodyDiv w:val="1"/>
      <w:marLeft w:val="0"/>
      <w:marRight w:val="0"/>
      <w:marTop w:val="0"/>
      <w:marBottom w:val="0"/>
      <w:divBdr>
        <w:top w:val="none" w:sz="0" w:space="0" w:color="auto"/>
        <w:left w:val="none" w:sz="0" w:space="0" w:color="auto"/>
        <w:bottom w:val="none" w:sz="0" w:space="0" w:color="auto"/>
        <w:right w:val="none" w:sz="0" w:space="0" w:color="auto"/>
      </w:divBdr>
    </w:div>
    <w:div w:id="379790162">
      <w:bodyDiv w:val="1"/>
      <w:marLeft w:val="0"/>
      <w:marRight w:val="0"/>
      <w:marTop w:val="0"/>
      <w:marBottom w:val="0"/>
      <w:divBdr>
        <w:top w:val="none" w:sz="0" w:space="0" w:color="auto"/>
        <w:left w:val="none" w:sz="0" w:space="0" w:color="auto"/>
        <w:bottom w:val="none" w:sz="0" w:space="0" w:color="auto"/>
        <w:right w:val="none" w:sz="0" w:space="0" w:color="auto"/>
      </w:divBdr>
    </w:div>
    <w:div w:id="385957017">
      <w:bodyDiv w:val="1"/>
      <w:marLeft w:val="0"/>
      <w:marRight w:val="0"/>
      <w:marTop w:val="0"/>
      <w:marBottom w:val="0"/>
      <w:divBdr>
        <w:top w:val="none" w:sz="0" w:space="0" w:color="auto"/>
        <w:left w:val="none" w:sz="0" w:space="0" w:color="auto"/>
        <w:bottom w:val="none" w:sz="0" w:space="0" w:color="auto"/>
        <w:right w:val="none" w:sz="0" w:space="0" w:color="auto"/>
      </w:divBdr>
    </w:div>
    <w:div w:id="387657063">
      <w:bodyDiv w:val="1"/>
      <w:marLeft w:val="0"/>
      <w:marRight w:val="0"/>
      <w:marTop w:val="0"/>
      <w:marBottom w:val="0"/>
      <w:divBdr>
        <w:top w:val="none" w:sz="0" w:space="0" w:color="auto"/>
        <w:left w:val="none" w:sz="0" w:space="0" w:color="auto"/>
        <w:bottom w:val="none" w:sz="0" w:space="0" w:color="auto"/>
        <w:right w:val="none" w:sz="0" w:space="0" w:color="auto"/>
      </w:divBdr>
      <w:divsChild>
        <w:div w:id="1860511897">
          <w:marLeft w:val="0"/>
          <w:marRight w:val="0"/>
          <w:marTop w:val="0"/>
          <w:marBottom w:val="0"/>
          <w:divBdr>
            <w:top w:val="none" w:sz="0" w:space="0" w:color="auto"/>
            <w:left w:val="none" w:sz="0" w:space="0" w:color="auto"/>
            <w:bottom w:val="none" w:sz="0" w:space="0" w:color="auto"/>
            <w:right w:val="none" w:sz="0" w:space="0" w:color="auto"/>
          </w:divBdr>
          <w:divsChild>
            <w:div w:id="1052508787">
              <w:marLeft w:val="0"/>
              <w:marRight w:val="0"/>
              <w:marTop w:val="0"/>
              <w:marBottom w:val="0"/>
              <w:divBdr>
                <w:top w:val="none" w:sz="0" w:space="0" w:color="auto"/>
                <w:left w:val="none" w:sz="0" w:space="0" w:color="auto"/>
                <w:bottom w:val="none" w:sz="0" w:space="0" w:color="auto"/>
                <w:right w:val="none" w:sz="0" w:space="0" w:color="auto"/>
              </w:divBdr>
              <w:divsChild>
                <w:div w:id="1423069338">
                  <w:marLeft w:val="0"/>
                  <w:marRight w:val="0"/>
                  <w:marTop w:val="0"/>
                  <w:marBottom w:val="0"/>
                  <w:divBdr>
                    <w:top w:val="none" w:sz="0" w:space="0" w:color="auto"/>
                    <w:left w:val="none" w:sz="0" w:space="0" w:color="auto"/>
                    <w:bottom w:val="none" w:sz="0" w:space="0" w:color="auto"/>
                    <w:right w:val="none" w:sz="0" w:space="0" w:color="auto"/>
                  </w:divBdr>
                  <w:divsChild>
                    <w:div w:id="2092969279">
                      <w:marLeft w:val="-225"/>
                      <w:marRight w:val="-225"/>
                      <w:marTop w:val="0"/>
                      <w:marBottom w:val="0"/>
                      <w:divBdr>
                        <w:top w:val="none" w:sz="0" w:space="0" w:color="auto"/>
                        <w:left w:val="none" w:sz="0" w:space="0" w:color="auto"/>
                        <w:bottom w:val="none" w:sz="0" w:space="0" w:color="auto"/>
                        <w:right w:val="none" w:sz="0" w:space="0" w:color="auto"/>
                      </w:divBdr>
                      <w:divsChild>
                        <w:div w:id="725570536">
                          <w:marLeft w:val="-225"/>
                          <w:marRight w:val="-225"/>
                          <w:marTop w:val="0"/>
                          <w:marBottom w:val="0"/>
                          <w:divBdr>
                            <w:top w:val="none" w:sz="0" w:space="0" w:color="auto"/>
                            <w:left w:val="none" w:sz="0" w:space="0" w:color="auto"/>
                            <w:bottom w:val="none" w:sz="0" w:space="0" w:color="auto"/>
                            <w:right w:val="none" w:sz="0" w:space="0" w:color="auto"/>
                          </w:divBdr>
                          <w:divsChild>
                            <w:div w:id="262032160">
                              <w:marLeft w:val="0"/>
                              <w:marRight w:val="0"/>
                              <w:marTop w:val="0"/>
                              <w:marBottom w:val="0"/>
                              <w:divBdr>
                                <w:top w:val="none" w:sz="0" w:space="0" w:color="auto"/>
                                <w:left w:val="none" w:sz="0" w:space="0" w:color="auto"/>
                                <w:bottom w:val="none" w:sz="0" w:space="0" w:color="auto"/>
                                <w:right w:val="none" w:sz="0" w:space="0" w:color="auto"/>
                              </w:divBdr>
                              <w:divsChild>
                                <w:div w:id="1013261161">
                                  <w:marLeft w:val="0"/>
                                  <w:marRight w:val="0"/>
                                  <w:marTop w:val="0"/>
                                  <w:marBottom w:val="0"/>
                                  <w:divBdr>
                                    <w:top w:val="none" w:sz="0" w:space="0" w:color="auto"/>
                                    <w:left w:val="none" w:sz="0" w:space="0" w:color="auto"/>
                                    <w:bottom w:val="none" w:sz="0" w:space="0" w:color="auto"/>
                                    <w:right w:val="none" w:sz="0" w:space="0" w:color="auto"/>
                                  </w:divBdr>
                                  <w:divsChild>
                                    <w:div w:id="2017003559">
                                      <w:marLeft w:val="0"/>
                                      <w:marRight w:val="0"/>
                                      <w:marTop w:val="0"/>
                                      <w:marBottom w:val="0"/>
                                      <w:divBdr>
                                        <w:top w:val="none" w:sz="0" w:space="0" w:color="auto"/>
                                        <w:left w:val="none" w:sz="0" w:space="0" w:color="auto"/>
                                        <w:bottom w:val="none" w:sz="0" w:space="0" w:color="auto"/>
                                        <w:right w:val="none" w:sz="0" w:space="0" w:color="auto"/>
                                      </w:divBdr>
                                      <w:divsChild>
                                        <w:div w:id="1202207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93089011">
      <w:bodyDiv w:val="1"/>
      <w:marLeft w:val="0"/>
      <w:marRight w:val="0"/>
      <w:marTop w:val="0"/>
      <w:marBottom w:val="0"/>
      <w:divBdr>
        <w:top w:val="none" w:sz="0" w:space="0" w:color="auto"/>
        <w:left w:val="none" w:sz="0" w:space="0" w:color="auto"/>
        <w:bottom w:val="none" w:sz="0" w:space="0" w:color="auto"/>
        <w:right w:val="none" w:sz="0" w:space="0" w:color="auto"/>
      </w:divBdr>
    </w:div>
    <w:div w:id="405882634">
      <w:bodyDiv w:val="1"/>
      <w:marLeft w:val="0"/>
      <w:marRight w:val="0"/>
      <w:marTop w:val="0"/>
      <w:marBottom w:val="0"/>
      <w:divBdr>
        <w:top w:val="none" w:sz="0" w:space="0" w:color="auto"/>
        <w:left w:val="none" w:sz="0" w:space="0" w:color="auto"/>
        <w:bottom w:val="none" w:sz="0" w:space="0" w:color="auto"/>
        <w:right w:val="none" w:sz="0" w:space="0" w:color="auto"/>
      </w:divBdr>
    </w:div>
    <w:div w:id="416437246">
      <w:bodyDiv w:val="1"/>
      <w:marLeft w:val="0"/>
      <w:marRight w:val="0"/>
      <w:marTop w:val="0"/>
      <w:marBottom w:val="0"/>
      <w:divBdr>
        <w:top w:val="none" w:sz="0" w:space="0" w:color="auto"/>
        <w:left w:val="none" w:sz="0" w:space="0" w:color="auto"/>
        <w:bottom w:val="none" w:sz="0" w:space="0" w:color="auto"/>
        <w:right w:val="none" w:sz="0" w:space="0" w:color="auto"/>
      </w:divBdr>
    </w:div>
    <w:div w:id="450396111">
      <w:bodyDiv w:val="1"/>
      <w:marLeft w:val="0"/>
      <w:marRight w:val="0"/>
      <w:marTop w:val="0"/>
      <w:marBottom w:val="0"/>
      <w:divBdr>
        <w:top w:val="none" w:sz="0" w:space="0" w:color="auto"/>
        <w:left w:val="none" w:sz="0" w:space="0" w:color="auto"/>
        <w:bottom w:val="none" w:sz="0" w:space="0" w:color="auto"/>
        <w:right w:val="none" w:sz="0" w:space="0" w:color="auto"/>
      </w:divBdr>
    </w:div>
    <w:div w:id="463695209">
      <w:bodyDiv w:val="1"/>
      <w:marLeft w:val="0"/>
      <w:marRight w:val="0"/>
      <w:marTop w:val="0"/>
      <w:marBottom w:val="0"/>
      <w:divBdr>
        <w:top w:val="none" w:sz="0" w:space="0" w:color="auto"/>
        <w:left w:val="none" w:sz="0" w:space="0" w:color="auto"/>
        <w:bottom w:val="none" w:sz="0" w:space="0" w:color="auto"/>
        <w:right w:val="none" w:sz="0" w:space="0" w:color="auto"/>
      </w:divBdr>
    </w:div>
    <w:div w:id="475728300">
      <w:bodyDiv w:val="1"/>
      <w:marLeft w:val="0"/>
      <w:marRight w:val="0"/>
      <w:marTop w:val="0"/>
      <w:marBottom w:val="0"/>
      <w:divBdr>
        <w:top w:val="none" w:sz="0" w:space="0" w:color="auto"/>
        <w:left w:val="none" w:sz="0" w:space="0" w:color="auto"/>
        <w:bottom w:val="none" w:sz="0" w:space="0" w:color="auto"/>
        <w:right w:val="none" w:sz="0" w:space="0" w:color="auto"/>
      </w:divBdr>
    </w:div>
    <w:div w:id="502093159">
      <w:bodyDiv w:val="1"/>
      <w:marLeft w:val="0"/>
      <w:marRight w:val="0"/>
      <w:marTop w:val="0"/>
      <w:marBottom w:val="0"/>
      <w:divBdr>
        <w:top w:val="none" w:sz="0" w:space="0" w:color="auto"/>
        <w:left w:val="none" w:sz="0" w:space="0" w:color="auto"/>
        <w:bottom w:val="none" w:sz="0" w:space="0" w:color="auto"/>
        <w:right w:val="none" w:sz="0" w:space="0" w:color="auto"/>
      </w:divBdr>
    </w:div>
    <w:div w:id="507326540">
      <w:bodyDiv w:val="1"/>
      <w:marLeft w:val="0"/>
      <w:marRight w:val="0"/>
      <w:marTop w:val="0"/>
      <w:marBottom w:val="0"/>
      <w:divBdr>
        <w:top w:val="none" w:sz="0" w:space="0" w:color="auto"/>
        <w:left w:val="none" w:sz="0" w:space="0" w:color="auto"/>
        <w:bottom w:val="none" w:sz="0" w:space="0" w:color="auto"/>
        <w:right w:val="none" w:sz="0" w:space="0" w:color="auto"/>
      </w:divBdr>
    </w:div>
    <w:div w:id="524752033">
      <w:bodyDiv w:val="1"/>
      <w:marLeft w:val="0"/>
      <w:marRight w:val="0"/>
      <w:marTop w:val="0"/>
      <w:marBottom w:val="0"/>
      <w:divBdr>
        <w:top w:val="none" w:sz="0" w:space="0" w:color="auto"/>
        <w:left w:val="none" w:sz="0" w:space="0" w:color="auto"/>
        <w:bottom w:val="none" w:sz="0" w:space="0" w:color="auto"/>
        <w:right w:val="none" w:sz="0" w:space="0" w:color="auto"/>
      </w:divBdr>
    </w:div>
    <w:div w:id="525020275">
      <w:bodyDiv w:val="1"/>
      <w:marLeft w:val="0"/>
      <w:marRight w:val="0"/>
      <w:marTop w:val="0"/>
      <w:marBottom w:val="0"/>
      <w:divBdr>
        <w:top w:val="none" w:sz="0" w:space="0" w:color="auto"/>
        <w:left w:val="none" w:sz="0" w:space="0" w:color="auto"/>
        <w:bottom w:val="none" w:sz="0" w:space="0" w:color="auto"/>
        <w:right w:val="none" w:sz="0" w:space="0" w:color="auto"/>
      </w:divBdr>
    </w:div>
    <w:div w:id="525489368">
      <w:bodyDiv w:val="1"/>
      <w:marLeft w:val="0"/>
      <w:marRight w:val="0"/>
      <w:marTop w:val="0"/>
      <w:marBottom w:val="0"/>
      <w:divBdr>
        <w:top w:val="none" w:sz="0" w:space="0" w:color="auto"/>
        <w:left w:val="none" w:sz="0" w:space="0" w:color="auto"/>
        <w:bottom w:val="none" w:sz="0" w:space="0" w:color="auto"/>
        <w:right w:val="none" w:sz="0" w:space="0" w:color="auto"/>
      </w:divBdr>
    </w:div>
    <w:div w:id="526407162">
      <w:bodyDiv w:val="1"/>
      <w:marLeft w:val="0"/>
      <w:marRight w:val="0"/>
      <w:marTop w:val="0"/>
      <w:marBottom w:val="0"/>
      <w:divBdr>
        <w:top w:val="none" w:sz="0" w:space="0" w:color="auto"/>
        <w:left w:val="none" w:sz="0" w:space="0" w:color="auto"/>
        <w:bottom w:val="none" w:sz="0" w:space="0" w:color="auto"/>
        <w:right w:val="none" w:sz="0" w:space="0" w:color="auto"/>
      </w:divBdr>
    </w:div>
    <w:div w:id="527569595">
      <w:bodyDiv w:val="1"/>
      <w:marLeft w:val="0"/>
      <w:marRight w:val="0"/>
      <w:marTop w:val="0"/>
      <w:marBottom w:val="0"/>
      <w:divBdr>
        <w:top w:val="none" w:sz="0" w:space="0" w:color="auto"/>
        <w:left w:val="none" w:sz="0" w:space="0" w:color="auto"/>
        <w:bottom w:val="none" w:sz="0" w:space="0" w:color="auto"/>
        <w:right w:val="none" w:sz="0" w:space="0" w:color="auto"/>
      </w:divBdr>
    </w:div>
    <w:div w:id="528379181">
      <w:bodyDiv w:val="1"/>
      <w:marLeft w:val="0"/>
      <w:marRight w:val="0"/>
      <w:marTop w:val="0"/>
      <w:marBottom w:val="0"/>
      <w:divBdr>
        <w:top w:val="none" w:sz="0" w:space="0" w:color="auto"/>
        <w:left w:val="none" w:sz="0" w:space="0" w:color="auto"/>
        <w:bottom w:val="none" w:sz="0" w:space="0" w:color="auto"/>
        <w:right w:val="none" w:sz="0" w:space="0" w:color="auto"/>
      </w:divBdr>
    </w:div>
    <w:div w:id="532114806">
      <w:bodyDiv w:val="1"/>
      <w:marLeft w:val="0"/>
      <w:marRight w:val="0"/>
      <w:marTop w:val="0"/>
      <w:marBottom w:val="0"/>
      <w:divBdr>
        <w:top w:val="none" w:sz="0" w:space="0" w:color="auto"/>
        <w:left w:val="none" w:sz="0" w:space="0" w:color="auto"/>
        <w:bottom w:val="none" w:sz="0" w:space="0" w:color="auto"/>
        <w:right w:val="none" w:sz="0" w:space="0" w:color="auto"/>
      </w:divBdr>
    </w:div>
    <w:div w:id="559361076">
      <w:bodyDiv w:val="1"/>
      <w:marLeft w:val="0"/>
      <w:marRight w:val="0"/>
      <w:marTop w:val="0"/>
      <w:marBottom w:val="0"/>
      <w:divBdr>
        <w:top w:val="none" w:sz="0" w:space="0" w:color="auto"/>
        <w:left w:val="none" w:sz="0" w:space="0" w:color="auto"/>
        <w:bottom w:val="none" w:sz="0" w:space="0" w:color="auto"/>
        <w:right w:val="none" w:sz="0" w:space="0" w:color="auto"/>
      </w:divBdr>
    </w:div>
    <w:div w:id="560558247">
      <w:bodyDiv w:val="1"/>
      <w:marLeft w:val="0"/>
      <w:marRight w:val="0"/>
      <w:marTop w:val="0"/>
      <w:marBottom w:val="0"/>
      <w:divBdr>
        <w:top w:val="none" w:sz="0" w:space="0" w:color="auto"/>
        <w:left w:val="none" w:sz="0" w:space="0" w:color="auto"/>
        <w:bottom w:val="none" w:sz="0" w:space="0" w:color="auto"/>
        <w:right w:val="none" w:sz="0" w:space="0" w:color="auto"/>
      </w:divBdr>
    </w:div>
    <w:div w:id="563835343">
      <w:bodyDiv w:val="1"/>
      <w:marLeft w:val="0"/>
      <w:marRight w:val="0"/>
      <w:marTop w:val="0"/>
      <w:marBottom w:val="0"/>
      <w:divBdr>
        <w:top w:val="none" w:sz="0" w:space="0" w:color="auto"/>
        <w:left w:val="none" w:sz="0" w:space="0" w:color="auto"/>
        <w:bottom w:val="none" w:sz="0" w:space="0" w:color="auto"/>
        <w:right w:val="none" w:sz="0" w:space="0" w:color="auto"/>
      </w:divBdr>
    </w:div>
    <w:div w:id="566183118">
      <w:bodyDiv w:val="1"/>
      <w:marLeft w:val="0"/>
      <w:marRight w:val="0"/>
      <w:marTop w:val="0"/>
      <w:marBottom w:val="0"/>
      <w:divBdr>
        <w:top w:val="none" w:sz="0" w:space="0" w:color="auto"/>
        <w:left w:val="none" w:sz="0" w:space="0" w:color="auto"/>
        <w:bottom w:val="none" w:sz="0" w:space="0" w:color="auto"/>
        <w:right w:val="none" w:sz="0" w:space="0" w:color="auto"/>
      </w:divBdr>
    </w:div>
    <w:div w:id="568999920">
      <w:bodyDiv w:val="1"/>
      <w:marLeft w:val="0"/>
      <w:marRight w:val="0"/>
      <w:marTop w:val="0"/>
      <w:marBottom w:val="0"/>
      <w:divBdr>
        <w:top w:val="none" w:sz="0" w:space="0" w:color="auto"/>
        <w:left w:val="none" w:sz="0" w:space="0" w:color="auto"/>
        <w:bottom w:val="none" w:sz="0" w:space="0" w:color="auto"/>
        <w:right w:val="none" w:sz="0" w:space="0" w:color="auto"/>
      </w:divBdr>
    </w:div>
    <w:div w:id="585919614">
      <w:bodyDiv w:val="1"/>
      <w:marLeft w:val="0"/>
      <w:marRight w:val="0"/>
      <w:marTop w:val="0"/>
      <w:marBottom w:val="0"/>
      <w:divBdr>
        <w:top w:val="none" w:sz="0" w:space="0" w:color="auto"/>
        <w:left w:val="none" w:sz="0" w:space="0" w:color="auto"/>
        <w:bottom w:val="none" w:sz="0" w:space="0" w:color="auto"/>
        <w:right w:val="none" w:sz="0" w:space="0" w:color="auto"/>
      </w:divBdr>
    </w:div>
    <w:div w:id="605041441">
      <w:bodyDiv w:val="1"/>
      <w:marLeft w:val="0"/>
      <w:marRight w:val="0"/>
      <w:marTop w:val="0"/>
      <w:marBottom w:val="0"/>
      <w:divBdr>
        <w:top w:val="none" w:sz="0" w:space="0" w:color="auto"/>
        <w:left w:val="none" w:sz="0" w:space="0" w:color="auto"/>
        <w:bottom w:val="none" w:sz="0" w:space="0" w:color="auto"/>
        <w:right w:val="none" w:sz="0" w:space="0" w:color="auto"/>
      </w:divBdr>
    </w:div>
    <w:div w:id="615645449">
      <w:bodyDiv w:val="1"/>
      <w:marLeft w:val="0"/>
      <w:marRight w:val="0"/>
      <w:marTop w:val="0"/>
      <w:marBottom w:val="0"/>
      <w:divBdr>
        <w:top w:val="none" w:sz="0" w:space="0" w:color="auto"/>
        <w:left w:val="none" w:sz="0" w:space="0" w:color="auto"/>
        <w:bottom w:val="none" w:sz="0" w:space="0" w:color="auto"/>
        <w:right w:val="none" w:sz="0" w:space="0" w:color="auto"/>
      </w:divBdr>
    </w:div>
    <w:div w:id="618419926">
      <w:bodyDiv w:val="1"/>
      <w:marLeft w:val="0"/>
      <w:marRight w:val="0"/>
      <w:marTop w:val="0"/>
      <w:marBottom w:val="0"/>
      <w:divBdr>
        <w:top w:val="none" w:sz="0" w:space="0" w:color="auto"/>
        <w:left w:val="none" w:sz="0" w:space="0" w:color="auto"/>
        <w:bottom w:val="none" w:sz="0" w:space="0" w:color="auto"/>
        <w:right w:val="none" w:sz="0" w:space="0" w:color="auto"/>
      </w:divBdr>
    </w:div>
    <w:div w:id="651720981">
      <w:bodyDiv w:val="1"/>
      <w:marLeft w:val="0"/>
      <w:marRight w:val="0"/>
      <w:marTop w:val="0"/>
      <w:marBottom w:val="0"/>
      <w:divBdr>
        <w:top w:val="none" w:sz="0" w:space="0" w:color="auto"/>
        <w:left w:val="none" w:sz="0" w:space="0" w:color="auto"/>
        <w:bottom w:val="none" w:sz="0" w:space="0" w:color="auto"/>
        <w:right w:val="none" w:sz="0" w:space="0" w:color="auto"/>
      </w:divBdr>
    </w:div>
    <w:div w:id="657460968">
      <w:bodyDiv w:val="1"/>
      <w:marLeft w:val="0"/>
      <w:marRight w:val="0"/>
      <w:marTop w:val="0"/>
      <w:marBottom w:val="0"/>
      <w:divBdr>
        <w:top w:val="none" w:sz="0" w:space="0" w:color="auto"/>
        <w:left w:val="none" w:sz="0" w:space="0" w:color="auto"/>
        <w:bottom w:val="none" w:sz="0" w:space="0" w:color="auto"/>
        <w:right w:val="none" w:sz="0" w:space="0" w:color="auto"/>
      </w:divBdr>
    </w:div>
    <w:div w:id="659696444">
      <w:bodyDiv w:val="1"/>
      <w:marLeft w:val="0"/>
      <w:marRight w:val="0"/>
      <w:marTop w:val="0"/>
      <w:marBottom w:val="0"/>
      <w:divBdr>
        <w:top w:val="none" w:sz="0" w:space="0" w:color="auto"/>
        <w:left w:val="none" w:sz="0" w:space="0" w:color="auto"/>
        <w:bottom w:val="none" w:sz="0" w:space="0" w:color="auto"/>
        <w:right w:val="none" w:sz="0" w:space="0" w:color="auto"/>
      </w:divBdr>
    </w:div>
    <w:div w:id="694967020">
      <w:bodyDiv w:val="1"/>
      <w:marLeft w:val="0"/>
      <w:marRight w:val="0"/>
      <w:marTop w:val="0"/>
      <w:marBottom w:val="0"/>
      <w:divBdr>
        <w:top w:val="none" w:sz="0" w:space="0" w:color="auto"/>
        <w:left w:val="none" w:sz="0" w:space="0" w:color="auto"/>
        <w:bottom w:val="none" w:sz="0" w:space="0" w:color="auto"/>
        <w:right w:val="none" w:sz="0" w:space="0" w:color="auto"/>
      </w:divBdr>
    </w:div>
    <w:div w:id="696345263">
      <w:bodyDiv w:val="1"/>
      <w:marLeft w:val="0"/>
      <w:marRight w:val="0"/>
      <w:marTop w:val="0"/>
      <w:marBottom w:val="0"/>
      <w:divBdr>
        <w:top w:val="none" w:sz="0" w:space="0" w:color="auto"/>
        <w:left w:val="none" w:sz="0" w:space="0" w:color="auto"/>
        <w:bottom w:val="none" w:sz="0" w:space="0" w:color="auto"/>
        <w:right w:val="none" w:sz="0" w:space="0" w:color="auto"/>
      </w:divBdr>
    </w:div>
    <w:div w:id="698241656">
      <w:bodyDiv w:val="1"/>
      <w:marLeft w:val="0"/>
      <w:marRight w:val="0"/>
      <w:marTop w:val="0"/>
      <w:marBottom w:val="0"/>
      <w:divBdr>
        <w:top w:val="none" w:sz="0" w:space="0" w:color="auto"/>
        <w:left w:val="none" w:sz="0" w:space="0" w:color="auto"/>
        <w:bottom w:val="none" w:sz="0" w:space="0" w:color="auto"/>
        <w:right w:val="none" w:sz="0" w:space="0" w:color="auto"/>
      </w:divBdr>
    </w:div>
    <w:div w:id="712119926">
      <w:bodyDiv w:val="1"/>
      <w:marLeft w:val="0"/>
      <w:marRight w:val="0"/>
      <w:marTop w:val="0"/>
      <w:marBottom w:val="0"/>
      <w:divBdr>
        <w:top w:val="none" w:sz="0" w:space="0" w:color="auto"/>
        <w:left w:val="none" w:sz="0" w:space="0" w:color="auto"/>
        <w:bottom w:val="none" w:sz="0" w:space="0" w:color="auto"/>
        <w:right w:val="none" w:sz="0" w:space="0" w:color="auto"/>
      </w:divBdr>
    </w:div>
    <w:div w:id="733939164">
      <w:bodyDiv w:val="1"/>
      <w:marLeft w:val="0"/>
      <w:marRight w:val="0"/>
      <w:marTop w:val="0"/>
      <w:marBottom w:val="0"/>
      <w:divBdr>
        <w:top w:val="none" w:sz="0" w:space="0" w:color="auto"/>
        <w:left w:val="none" w:sz="0" w:space="0" w:color="auto"/>
        <w:bottom w:val="none" w:sz="0" w:space="0" w:color="auto"/>
        <w:right w:val="none" w:sz="0" w:space="0" w:color="auto"/>
      </w:divBdr>
    </w:div>
    <w:div w:id="737822221">
      <w:bodyDiv w:val="1"/>
      <w:marLeft w:val="0"/>
      <w:marRight w:val="0"/>
      <w:marTop w:val="0"/>
      <w:marBottom w:val="0"/>
      <w:divBdr>
        <w:top w:val="none" w:sz="0" w:space="0" w:color="auto"/>
        <w:left w:val="none" w:sz="0" w:space="0" w:color="auto"/>
        <w:bottom w:val="none" w:sz="0" w:space="0" w:color="auto"/>
        <w:right w:val="none" w:sz="0" w:space="0" w:color="auto"/>
      </w:divBdr>
    </w:div>
    <w:div w:id="772439361">
      <w:bodyDiv w:val="1"/>
      <w:marLeft w:val="0"/>
      <w:marRight w:val="0"/>
      <w:marTop w:val="0"/>
      <w:marBottom w:val="0"/>
      <w:divBdr>
        <w:top w:val="none" w:sz="0" w:space="0" w:color="auto"/>
        <w:left w:val="none" w:sz="0" w:space="0" w:color="auto"/>
        <w:bottom w:val="none" w:sz="0" w:space="0" w:color="auto"/>
        <w:right w:val="none" w:sz="0" w:space="0" w:color="auto"/>
      </w:divBdr>
    </w:div>
    <w:div w:id="773091605">
      <w:bodyDiv w:val="1"/>
      <w:marLeft w:val="0"/>
      <w:marRight w:val="0"/>
      <w:marTop w:val="0"/>
      <w:marBottom w:val="0"/>
      <w:divBdr>
        <w:top w:val="none" w:sz="0" w:space="0" w:color="auto"/>
        <w:left w:val="none" w:sz="0" w:space="0" w:color="auto"/>
        <w:bottom w:val="none" w:sz="0" w:space="0" w:color="auto"/>
        <w:right w:val="none" w:sz="0" w:space="0" w:color="auto"/>
      </w:divBdr>
    </w:div>
    <w:div w:id="776756767">
      <w:bodyDiv w:val="1"/>
      <w:marLeft w:val="0"/>
      <w:marRight w:val="0"/>
      <w:marTop w:val="0"/>
      <w:marBottom w:val="0"/>
      <w:divBdr>
        <w:top w:val="none" w:sz="0" w:space="0" w:color="auto"/>
        <w:left w:val="none" w:sz="0" w:space="0" w:color="auto"/>
        <w:bottom w:val="none" w:sz="0" w:space="0" w:color="auto"/>
        <w:right w:val="none" w:sz="0" w:space="0" w:color="auto"/>
      </w:divBdr>
    </w:div>
    <w:div w:id="780076171">
      <w:bodyDiv w:val="1"/>
      <w:marLeft w:val="0"/>
      <w:marRight w:val="0"/>
      <w:marTop w:val="0"/>
      <w:marBottom w:val="0"/>
      <w:divBdr>
        <w:top w:val="none" w:sz="0" w:space="0" w:color="auto"/>
        <w:left w:val="none" w:sz="0" w:space="0" w:color="auto"/>
        <w:bottom w:val="none" w:sz="0" w:space="0" w:color="auto"/>
        <w:right w:val="none" w:sz="0" w:space="0" w:color="auto"/>
      </w:divBdr>
    </w:div>
    <w:div w:id="782385641">
      <w:bodyDiv w:val="1"/>
      <w:marLeft w:val="0"/>
      <w:marRight w:val="0"/>
      <w:marTop w:val="0"/>
      <w:marBottom w:val="0"/>
      <w:divBdr>
        <w:top w:val="none" w:sz="0" w:space="0" w:color="auto"/>
        <w:left w:val="none" w:sz="0" w:space="0" w:color="auto"/>
        <w:bottom w:val="none" w:sz="0" w:space="0" w:color="auto"/>
        <w:right w:val="none" w:sz="0" w:space="0" w:color="auto"/>
      </w:divBdr>
    </w:div>
    <w:div w:id="798570736">
      <w:bodyDiv w:val="1"/>
      <w:marLeft w:val="0"/>
      <w:marRight w:val="0"/>
      <w:marTop w:val="0"/>
      <w:marBottom w:val="0"/>
      <w:divBdr>
        <w:top w:val="none" w:sz="0" w:space="0" w:color="auto"/>
        <w:left w:val="none" w:sz="0" w:space="0" w:color="auto"/>
        <w:bottom w:val="none" w:sz="0" w:space="0" w:color="auto"/>
        <w:right w:val="none" w:sz="0" w:space="0" w:color="auto"/>
      </w:divBdr>
    </w:div>
    <w:div w:id="800343182">
      <w:bodyDiv w:val="1"/>
      <w:marLeft w:val="0"/>
      <w:marRight w:val="0"/>
      <w:marTop w:val="0"/>
      <w:marBottom w:val="0"/>
      <w:divBdr>
        <w:top w:val="none" w:sz="0" w:space="0" w:color="auto"/>
        <w:left w:val="none" w:sz="0" w:space="0" w:color="auto"/>
        <w:bottom w:val="none" w:sz="0" w:space="0" w:color="auto"/>
        <w:right w:val="none" w:sz="0" w:space="0" w:color="auto"/>
      </w:divBdr>
    </w:div>
    <w:div w:id="822164491">
      <w:bodyDiv w:val="1"/>
      <w:marLeft w:val="0"/>
      <w:marRight w:val="0"/>
      <w:marTop w:val="0"/>
      <w:marBottom w:val="0"/>
      <w:divBdr>
        <w:top w:val="none" w:sz="0" w:space="0" w:color="auto"/>
        <w:left w:val="none" w:sz="0" w:space="0" w:color="auto"/>
        <w:bottom w:val="none" w:sz="0" w:space="0" w:color="auto"/>
        <w:right w:val="none" w:sz="0" w:space="0" w:color="auto"/>
      </w:divBdr>
    </w:div>
    <w:div w:id="828788062">
      <w:bodyDiv w:val="1"/>
      <w:marLeft w:val="0"/>
      <w:marRight w:val="0"/>
      <w:marTop w:val="0"/>
      <w:marBottom w:val="0"/>
      <w:divBdr>
        <w:top w:val="none" w:sz="0" w:space="0" w:color="auto"/>
        <w:left w:val="none" w:sz="0" w:space="0" w:color="auto"/>
        <w:bottom w:val="none" w:sz="0" w:space="0" w:color="auto"/>
        <w:right w:val="none" w:sz="0" w:space="0" w:color="auto"/>
      </w:divBdr>
    </w:div>
    <w:div w:id="836381415">
      <w:bodyDiv w:val="1"/>
      <w:marLeft w:val="0"/>
      <w:marRight w:val="0"/>
      <w:marTop w:val="0"/>
      <w:marBottom w:val="0"/>
      <w:divBdr>
        <w:top w:val="none" w:sz="0" w:space="0" w:color="auto"/>
        <w:left w:val="none" w:sz="0" w:space="0" w:color="auto"/>
        <w:bottom w:val="none" w:sz="0" w:space="0" w:color="auto"/>
        <w:right w:val="none" w:sz="0" w:space="0" w:color="auto"/>
      </w:divBdr>
    </w:div>
    <w:div w:id="843740513">
      <w:bodyDiv w:val="1"/>
      <w:marLeft w:val="0"/>
      <w:marRight w:val="0"/>
      <w:marTop w:val="0"/>
      <w:marBottom w:val="0"/>
      <w:divBdr>
        <w:top w:val="none" w:sz="0" w:space="0" w:color="auto"/>
        <w:left w:val="none" w:sz="0" w:space="0" w:color="auto"/>
        <w:bottom w:val="none" w:sz="0" w:space="0" w:color="auto"/>
        <w:right w:val="none" w:sz="0" w:space="0" w:color="auto"/>
      </w:divBdr>
    </w:div>
    <w:div w:id="883832216">
      <w:bodyDiv w:val="1"/>
      <w:marLeft w:val="0"/>
      <w:marRight w:val="0"/>
      <w:marTop w:val="0"/>
      <w:marBottom w:val="0"/>
      <w:divBdr>
        <w:top w:val="none" w:sz="0" w:space="0" w:color="auto"/>
        <w:left w:val="none" w:sz="0" w:space="0" w:color="auto"/>
        <w:bottom w:val="none" w:sz="0" w:space="0" w:color="auto"/>
        <w:right w:val="none" w:sz="0" w:space="0" w:color="auto"/>
      </w:divBdr>
    </w:div>
    <w:div w:id="900554389">
      <w:bodyDiv w:val="1"/>
      <w:marLeft w:val="0"/>
      <w:marRight w:val="0"/>
      <w:marTop w:val="0"/>
      <w:marBottom w:val="0"/>
      <w:divBdr>
        <w:top w:val="none" w:sz="0" w:space="0" w:color="auto"/>
        <w:left w:val="none" w:sz="0" w:space="0" w:color="auto"/>
        <w:bottom w:val="none" w:sz="0" w:space="0" w:color="auto"/>
        <w:right w:val="none" w:sz="0" w:space="0" w:color="auto"/>
      </w:divBdr>
    </w:div>
    <w:div w:id="909776824">
      <w:bodyDiv w:val="1"/>
      <w:marLeft w:val="0"/>
      <w:marRight w:val="0"/>
      <w:marTop w:val="0"/>
      <w:marBottom w:val="0"/>
      <w:divBdr>
        <w:top w:val="none" w:sz="0" w:space="0" w:color="auto"/>
        <w:left w:val="none" w:sz="0" w:space="0" w:color="auto"/>
        <w:bottom w:val="none" w:sz="0" w:space="0" w:color="auto"/>
        <w:right w:val="none" w:sz="0" w:space="0" w:color="auto"/>
      </w:divBdr>
    </w:div>
    <w:div w:id="913206007">
      <w:bodyDiv w:val="1"/>
      <w:marLeft w:val="0"/>
      <w:marRight w:val="0"/>
      <w:marTop w:val="0"/>
      <w:marBottom w:val="0"/>
      <w:divBdr>
        <w:top w:val="none" w:sz="0" w:space="0" w:color="auto"/>
        <w:left w:val="none" w:sz="0" w:space="0" w:color="auto"/>
        <w:bottom w:val="none" w:sz="0" w:space="0" w:color="auto"/>
        <w:right w:val="none" w:sz="0" w:space="0" w:color="auto"/>
      </w:divBdr>
    </w:div>
    <w:div w:id="915551259">
      <w:bodyDiv w:val="1"/>
      <w:marLeft w:val="0"/>
      <w:marRight w:val="0"/>
      <w:marTop w:val="0"/>
      <w:marBottom w:val="0"/>
      <w:divBdr>
        <w:top w:val="none" w:sz="0" w:space="0" w:color="auto"/>
        <w:left w:val="none" w:sz="0" w:space="0" w:color="auto"/>
        <w:bottom w:val="none" w:sz="0" w:space="0" w:color="auto"/>
        <w:right w:val="none" w:sz="0" w:space="0" w:color="auto"/>
      </w:divBdr>
    </w:div>
    <w:div w:id="920481888">
      <w:bodyDiv w:val="1"/>
      <w:marLeft w:val="0"/>
      <w:marRight w:val="0"/>
      <w:marTop w:val="0"/>
      <w:marBottom w:val="0"/>
      <w:divBdr>
        <w:top w:val="none" w:sz="0" w:space="0" w:color="auto"/>
        <w:left w:val="none" w:sz="0" w:space="0" w:color="auto"/>
        <w:bottom w:val="none" w:sz="0" w:space="0" w:color="auto"/>
        <w:right w:val="none" w:sz="0" w:space="0" w:color="auto"/>
      </w:divBdr>
    </w:div>
    <w:div w:id="954600961">
      <w:bodyDiv w:val="1"/>
      <w:marLeft w:val="0"/>
      <w:marRight w:val="0"/>
      <w:marTop w:val="0"/>
      <w:marBottom w:val="0"/>
      <w:divBdr>
        <w:top w:val="none" w:sz="0" w:space="0" w:color="auto"/>
        <w:left w:val="none" w:sz="0" w:space="0" w:color="auto"/>
        <w:bottom w:val="none" w:sz="0" w:space="0" w:color="auto"/>
        <w:right w:val="none" w:sz="0" w:space="0" w:color="auto"/>
      </w:divBdr>
    </w:div>
    <w:div w:id="965938624">
      <w:bodyDiv w:val="1"/>
      <w:marLeft w:val="0"/>
      <w:marRight w:val="0"/>
      <w:marTop w:val="0"/>
      <w:marBottom w:val="0"/>
      <w:divBdr>
        <w:top w:val="none" w:sz="0" w:space="0" w:color="auto"/>
        <w:left w:val="none" w:sz="0" w:space="0" w:color="auto"/>
        <w:bottom w:val="none" w:sz="0" w:space="0" w:color="auto"/>
        <w:right w:val="none" w:sz="0" w:space="0" w:color="auto"/>
      </w:divBdr>
    </w:div>
    <w:div w:id="969936628">
      <w:bodyDiv w:val="1"/>
      <w:marLeft w:val="0"/>
      <w:marRight w:val="0"/>
      <w:marTop w:val="0"/>
      <w:marBottom w:val="0"/>
      <w:divBdr>
        <w:top w:val="none" w:sz="0" w:space="0" w:color="auto"/>
        <w:left w:val="none" w:sz="0" w:space="0" w:color="auto"/>
        <w:bottom w:val="none" w:sz="0" w:space="0" w:color="auto"/>
        <w:right w:val="none" w:sz="0" w:space="0" w:color="auto"/>
      </w:divBdr>
    </w:div>
    <w:div w:id="973220499">
      <w:bodyDiv w:val="1"/>
      <w:marLeft w:val="0"/>
      <w:marRight w:val="0"/>
      <w:marTop w:val="0"/>
      <w:marBottom w:val="0"/>
      <w:divBdr>
        <w:top w:val="none" w:sz="0" w:space="0" w:color="auto"/>
        <w:left w:val="none" w:sz="0" w:space="0" w:color="auto"/>
        <w:bottom w:val="none" w:sz="0" w:space="0" w:color="auto"/>
        <w:right w:val="none" w:sz="0" w:space="0" w:color="auto"/>
      </w:divBdr>
    </w:div>
    <w:div w:id="975140049">
      <w:bodyDiv w:val="1"/>
      <w:marLeft w:val="0"/>
      <w:marRight w:val="0"/>
      <w:marTop w:val="0"/>
      <w:marBottom w:val="0"/>
      <w:divBdr>
        <w:top w:val="none" w:sz="0" w:space="0" w:color="auto"/>
        <w:left w:val="none" w:sz="0" w:space="0" w:color="auto"/>
        <w:bottom w:val="none" w:sz="0" w:space="0" w:color="auto"/>
        <w:right w:val="none" w:sz="0" w:space="0" w:color="auto"/>
      </w:divBdr>
    </w:div>
    <w:div w:id="987828358">
      <w:bodyDiv w:val="1"/>
      <w:marLeft w:val="0"/>
      <w:marRight w:val="0"/>
      <w:marTop w:val="0"/>
      <w:marBottom w:val="0"/>
      <w:divBdr>
        <w:top w:val="none" w:sz="0" w:space="0" w:color="auto"/>
        <w:left w:val="none" w:sz="0" w:space="0" w:color="auto"/>
        <w:bottom w:val="none" w:sz="0" w:space="0" w:color="auto"/>
        <w:right w:val="none" w:sz="0" w:space="0" w:color="auto"/>
      </w:divBdr>
    </w:div>
    <w:div w:id="988632942">
      <w:bodyDiv w:val="1"/>
      <w:marLeft w:val="0"/>
      <w:marRight w:val="0"/>
      <w:marTop w:val="0"/>
      <w:marBottom w:val="0"/>
      <w:divBdr>
        <w:top w:val="none" w:sz="0" w:space="0" w:color="auto"/>
        <w:left w:val="none" w:sz="0" w:space="0" w:color="auto"/>
        <w:bottom w:val="none" w:sz="0" w:space="0" w:color="auto"/>
        <w:right w:val="none" w:sz="0" w:space="0" w:color="auto"/>
      </w:divBdr>
    </w:div>
    <w:div w:id="989559411">
      <w:bodyDiv w:val="1"/>
      <w:marLeft w:val="0"/>
      <w:marRight w:val="0"/>
      <w:marTop w:val="0"/>
      <w:marBottom w:val="0"/>
      <w:divBdr>
        <w:top w:val="none" w:sz="0" w:space="0" w:color="auto"/>
        <w:left w:val="none" w:sz="0" w:space="0" w:color="auto"/>
        <w:bottom w:val="none" w:sz="0" w:space="0" w:color="auto"/>
        <w:right w:val="none" w:sz="0" w:space="0" w:color="auto"/>
      </w:divBdr>
    </w:div>
    <w:div w:id="1004941361">
      <w:bodyDiv w:val="1"/>
      <w:marLeft w:val="0"/>
      <w:marRight w:val="0"/>
      <w:marTop w:val="0"/>
      <w:marBottom w:val="0"/>
      <w:divBdr>
        <w:top w:val="none" w:sz="0" w:space="0" w:color="auto"/>
        <w:left w:val="none" w:sz="0" w:space="0" w:color="auto"/>
        <w:bottom w:val="none" w:sz="0" w:space="0" w:color="auto"/>
        <w:right w:val="none" w:sz="0" w:space="0" w:color="auto"/>
      </w:divBdr>
    </w:div>
    <w:div w:id="1006977641">
      <w:bodyDiv w:val="1"/>
      <w:marLeft w:val="0"/>
      <w:marRight w:val="0"/>
      <w:marTop w:val="0"/>
      <w:marBottom w:val="0"/>
      <w:divBdr>
        <w:top w:val="none" w:sz="0" w:space="0" w:color="auto"/>
        <w:left w:val="none" w:sz="0" w:space="0" w:color="auto"/>
        <w:bottom w:val="none" w:sz="0" w:space="0" w:color="auto"/>
        <w:right w:val="none" w:sz="0" w:space="0" w:color="auto"/>
      </w:divBdr>
    </w:div>
    <w:div w:id="1008289584">
      <w:bodyDiv w:val="1"/>
      <w:marLeft w:val="0"/>
      <w:marRight w:val="0"/>
      <w:marTop w:val="0"/>
      <w:marBottom w:val="0"/>
      <w:divBdr>
        <w:top w:val="none" w:sz="0" w:space="0" w:color="auto"/>
        <w:left w:val="none" w:sz="0" w:space="0" w:color="auto"/>
        <w:bottom w:val="none" w:sz="0" w:space="0" w:color="auto"/>
        <w:right w:val="none" w:sz="0" w:space="0" w:color="auto"/>
      </w:divBdr>
    </w:div>
    <w:div w:id="1010837164">
      <w:bodyDiv w:val="1"/>
      <w:marLeft w:val="0"/>
      <w:marRight w:val="0"/>
      <w:marTop w:val="0"/>
      <w:marBottom w:val="0"/>
      <w:divBdr>
        <w:top w:val="none" w:sz="0" w:space="0" w:color="auto"/>
        <w:left w:val="none" w:sz="0" w:space="0" w:color="auto"/>
        <w:bottom w:val="none" w:sz="0" w:space="0" w:color="auto"/>
        <w:right w:val="none" w:sz="0" w:space="0" w:color="auto"/>
      </w:divBdr>
    </w:div>
    <w:div w:id="1039741680">
      <w:bodyDiv w:val="1"/>
      <w:marLeft w:val="0"/>
      <w:marRight w:val="0"/>
      <w:marTop w:val="0"/>
      <w:marBottom w:val="0"/>
      <w:divBdr>
        <w:top w:val="none" w:sz="0" w:space="0" w:color="auto"/>
        <w:left w:val="none" w:sz="0" w:space="0" w:color="auto"/>
        <w:bottom w:val="none" w:sz="0" w:space="0" w:color="auto"/>
        <w:right w:val="none" w:sz="0" w:space="0" w:color="auto"/>
      </w:divBdr>
    </w:div>
    <w:div w:id="1043941381">
      <w:bodyDiv w:val="1"/>
      <w:marLeft w:val="0"/>
      <w:marRight w:val="0"/>
      <w:marTop w:val="0"/>
      <w:marBottom w:val="0"/>
      <w:divBdr>
        <w:top w:val="none" w:sz="0" w:space="0" w:color="auto"/>
        <w:left w:val="none" w:sz="0" w:space="0" w:color="auto"/>
        <w:bottom w:val="none" w:sz="0" w:space="0" w:color="auto"/>
        <w:right w:val="none" w:sz="0" w:space="0" w:color="auto"/>
      </w:divBdr>
    </w:div>
    <w:div w:id="1056005939">
      <w:bodyDiv w:val="1"/>
      <w:marLeft w:val="0"/>
      <w:marRight w:val="0"/>
      <w:marTop w:val="0"/>
      <w:marBottom w:val="0"/>
      <w:divBdr>
        <w:top w:val="none" w:sz="0" w:space="0" w:color="auto"/>
        <w:left w:val="none" w:sz="0" w:space="0" w:color="auto"/>
        <w:bottom w:val="none" w:sz="0" w:space="0" w:color="auto"/>
        <w:right w:val="none" w:sz="0" w:space="0" w:color="auto"/>
      </w:divBdr>
    </w:div>
    <w:div w:id="1086075919">
      <w:bodyDiv w:val="1"/>
      <w:marLeft w:val="0"/>
      <w:marRight w:val="0"/>
      <w:marTop w:val="0"/>
      <w:marBottom w:val="0"/>
      <w:divBdr>
        <w:top w:val="none" w:sz="0" w:space="0" w:color="auto"/>
        <w:left w:val="none" w:sz="0" w:space="0" w:color="auto"/>
        <w:bottom w:val="none" w:sz="0" w:space="0" w:color="auto"/>
        <w:right w:val="none" w:sz="0" w:space="0" w:color="auto"/>
      </w:divBdr>
    </w:div>
    <w:div w:id="1107777011">
      <w:bodyDiv w:val="1"/>
      <w:marLeft w:val="0"/>
      <w:marRight w:val="0"/>
      <w:marTop w:val="0"/>
      <w:marBottom w:val="0"/>
      <w:divBdr>
        <w:top w:val="none" w:sz="0" w:space="0" w:color="auto"/>
        <w:left w:val="none" w:sz="0" w:space="0" w:color="auto"/>
        <w:bottom w:val="none" w:sz="0" w:space="0" w:color="auto"/>
        <w:right w:val="none" w:sz="0" w:space="0" w:color="auto"/>
      </w:divBdr>
    </w:div>
    <w:div w:id="1124150463">
      <w:bodyDiv w:val="1"/>
      <w:marLeft w:val="0"/>
      <w:marRight w:val="0"/>
      <w:marTop w:val="0"/>
      <w:marBottom w:val="0"/>
      <w:divBdr>
        <w:top w:val="none" w:sz="0" w:space="0" w:color="auto"/>
        <w:left w:val="none" w:sz="0" w:space="0" w:color="auto"/>
        <w:bottom w:val="none" w:sz="0" w:space="0" w:color="auto"/>
        <w:right w:val="none" w:sz="0" w:space="0" w:color="auto"/>
      </w:divBdr>
    </w:div>
    <w:div w:id="1135179116">
      <w:bodyDiv w:val="1"/>
      <w:marLeft w:val="0"/>
      <w:marRight w:val="0"/>
      <w:marTop w:val="0"/>
      <w:marBottom w:val="0"/>
      <w:divBdr>
        <w:top w:val="none" w:sz="0" w:space="0" w:color="auto"/>
        <w:left w:val="none" w:sz="0" w:space="0" w:color="auto"/>
        <w:bottom w:val="none" w:sz="0" w:space="0" w:color="auto"/>
        <w:right w:val="none" w:sz="0" w:space="0" w:color="auto"/>
      </w:divBdr>
    </w:div>
    <w:div w:id="1138645414">
      <w:bodyDiv w:val="1"/>
      <w:marLeft w:val="0"/>
      <w:marRight w:val="0"/>
      <w:marTop w:val="0"/>
      <w:marBottom w:val="0"/>
      <w:divBdr>
        <w:top w:val="none" w:sz="0" w:space="0" w:color="auto"/>
        <w:left w:val="none" w:sz="0" w:space="0" w:color="auto"/>
        <w:bottom w:val="none" w:sz="0" w:space="0" w:color="auto"/>
        <w:right w:val="none" w:sz="0" w:space="0" w:color="auto"/>
      </w:divBdr>
    </w:div>
    <w:div w:id="1142115114">
      <w:bodyDiv w:val="1"/>
      <w:marLeft w:val="0"/>
      <w:marRight w:val="0"/>
      <w:marTop w:val="0"/>
      <w:marBottom w:val="0"/>
      <w:divBdr>
        <w:top w:val="none" w:sz="0" w:space="0" w:color="auto"/>
        <w:left w:val="none" w:sz="0" w:space="0" w:color="auto"/>
        <w:bottom w:val="none" w:sz="0" w:space="0" w:color="auto"/>
        <w:right w:val="none" w:sz="0" w:space="0" w:color="auto"/>
      </w:divBdr>
    </w:div>
    <w:div w:id="1145506793">
      <w:bodyDiv w:val="1"/>
      <w:marLeft w:val="0"/>
      <w:marRight w:val="0"/>
      <w:marTop w:val="0"/>
      <w:marBottom w:val="0"/>
      <w:divBdr>
        <w:top w:val="none" w:sz="0" w:space="0" w:color="auto"/>
        <w:left w:val="none" w:sz="0" w:space="0" w:color="auto"/>
        <w:bottom w:val="none" w:sz="0" w:space="0" w:color="auto"/>
        <w:right w:val="none" w:sz="0" w:space="0" w:color="auto"/>
      </w:divBdr>
    </w:div>
    <w:div w:id="1166627991">
      <w:bodyDiv w:val="1"/>
      <w:marLeft w:val="0"/>
      <w:marRight w:val="0"/>
      <w:marTop w:val="0"/>
      <w:marBottom w:val="0"/>
      <w:divBdr>
        <w:top w:val="none" w:sz="0" w:space="0" w:color="auto"/>
        <w:left w:val="none" w:sz="0" w:space="0" w:color="auto"/>
        <w:bottom w:val="none" w:sz="0" w:space="0" w:color="auto"/>
        <w:right w:val="none" w:sz="0" w:space="0" w:color="auto"/>
      </w:divBdr>
    </w:div>
    <w:div w:id="1166743408">
      <w:bodyDiv w:val="1"/>
      <w:marLeft w:val="0"/>
      <w:marRight w:val="0"/>
      <w:marTop w:val="0"/>
      <w:marBottom w:val="0"/>
      <w:divBdr>
        <w:top w:val="none" w:sz="0" w:space="0" w:color="auto"/>
        <w:left w:val="none" w:sz="0" w:space="0" w:color="auto"/>
        <w:bottom w:val="none" w:sz="0" w:space="0" w:color="auto"/>
        <w:right w:val="none" w:sz="0" w:space="0" w:color="auto"/>
      </w:divBdr>
    </w:div>
    <w:div w:id="1169443109">
      <w:bodyDiv w:val="1"/>
      <w:marLeft w:val="0"/>
      <w:marRight w:val="0"/>
      <w:marTop w:val="0"/>
      <w:marBottom w:val="0"/>
      <w:divBdr>
        <w:top w:val="none" w:sz="0" w:space="0" w:color="auto"/>
        <w:left w:val="none" w:sz="0" w:space="0" w:color="auto"/>
        <w:bottom w:val="none" w:sz="0" w:space="0" w:color="auto"/>
        <w:right w:val="none" w:sz="0" w:space="0" w:color="auto"/>
      </w:divBdr>
    </w:div>
    <w:div w:id="1183863972">
      <w:bodyDiv w:val="1"/>
      <w:marLeft w:val="0"/>
      <w:marRight w:val="0"/>
      <w:marTop w:val="0"/>
      <w:marBottom w:val="0"/>
      <w:divBdr>
        <w:top w:val="none" w:sz="0" w:space="0" w:color="auto"/>
        <w:left w:val="none" w:sz="0" w:space="0" w:color="auto"/>
        <w:bottom w:val="none" w:sz="0" w:space="0" w:color="auto"/>
        <w:right w:val="none" w:sz="0" w:space="0" w:color="auto"/>
      </w:divBdr>
    </w:div>
    <w:div w:id="1204366814">
      <w:bodyDiv w:val="1"/>
      <w:marLeft w:val="0"/>
      <w:marRight w:val="0"/>
      <w:marTop w:val="0"/>
      <w:marBottom w:val="0"/>
      <w:divBdr>
        <w:top w:val="none" w:sz="0" w:space="0" w:color="auto"/>
        <w:left w:val="none" w:sz="0" w:space="0" w:color="auto"/>
        <w:bottom w:val="none" w:sz="0" w:space="0" w:color="auto"/>
        <w:right w:val="none" w:sz="0" w:space="0" w:color="auto"/>
      </w:divBdr>
    </w:div>
    <w:div w:id="1209301848">
      <w:bodyDiv w:val="1"/>
      <w:marLeft w:val="0"/>
      <w:marRight w:val="0"/>
      <w:marTop w:val="0"/>
      <w:marBottom w:val="0"/>
      <w:divBdr>
        <w:top w:val="none" w:sz="0" w:space="0" w:color="auto"/>
        <w:left w:val="none" w:sz="0" w:space="0" w:color="auto"/>
        <w:bottom w:val="none" w:sz="0" w:space="0" w:color="auto"/>
        <w:right w:val="none" w:sz="0" w:space="0" w:color="auto"/>
      </w:divBdr>
    </w:div>
    <w:div w:id="1209608330">
      <w:bodyDiv w:val="1"/>
      <w:marLeft w:val="0"/>
      <w:marRight w:val="0"/>
      <w:marTop w:val="0"/>
      <w:marBottom w:val="0"/>
      <w:divBdr>
        <w:top w:val="none" w:sz="0" w:space="0" w:color="auto"/>
        <w:left w:val="none" w:sz="0" w:space="0" w:color="auto"/>
        <w:bottom w:val="none" w:sz="0" w:space="0" w:color="auto"/>
        <w:right w:val="none" w:sz="0" w:space="0" w:color="auto"/>
      </w:divBdr>
    </w:div>
    <w:div w:id="1213955669">
      <w:bodyDiv w:val="1"/>
      <w:marLeft w:val="0"/>
      <w:marRight w:val="0"/>
      <w:marTop w:val="0"/>
      <w:marBottom w:val="0"/>
      <w:divBdr>
        <w:top w:val="none" w:sz="0" w:space="0" w:color="auto"/>
        <w:left w:val="none" w:sz="0" w:space="0" w:color="auto"/>
        <w:bottom w:val="none" w:sz="0" w:space="0" w:color="auto"/>
        <w:right w:val="none" w:sz="0" w:space="0" w:color="auto"/>
      </w:divBdr>
    </w:div>
    <w:div w:id="1217935926">
      <w:bodyDiv w:val="1"/>
      <w:marLeft w:val="0"/>
      <w:marRight w:val="0"/>
      <w:marTop w:val="0"/>
      <w:marBottom w:val="0"/>
      <w:divBdr>
        <w:top w:val="none" w:sz="0" w:space="0" w:color="auto"/>
        <w:left w:val="none" w:sz="0" w:space="0" w:color="auto"/>
        <w:bottom w:val="none" w:sz="0" w:space="0" w:color="auto"/>
        <w:right w:val="none" w:sz="0" w:space="0" w:color="auto"/>
      </w:divBdr>
    </w:div>
    <w:div w:id="1232619506">
      <w:bodyDiv w:val="1"/>
      <w:marLeft w:val="0"/>
      <w:marRight w:val="0"/>
      <w:marTop w:val="0"/>
      <w:marBottom w:val="0"/>
      <w:divBdr>
        <w:top w:val="none" w:sz="0" w:space="0" w:color="auto"/>
        <w:left w:val="none" w:sz="0" w:space="0" w:color="auto"/>
        <w:bottom w:val="none" w:sz="0" w:space="0" w:color="auto"/>
        <w:right w:val="none" w:sz="0" w:space="0" w:color="auto"/>
      </w:divBdr>
    </w:div>
    <w:div w:id="1237857722">
      <w:bodyDiv w:val="1"/>
      <w:marLeft w:val="0"/>
      <w:marRight w:val="0"/>
      <w:marTop w:val="0"/>
      <w:marBottom w:val="0"/>
      <w:divBdr>
        <w:top w:val="none" w:sz="0" w:space="0" w:color="auto"/>
        <w:left w:val="none" w:sz="0" w:space="0" w:color="auto"/>
        <w:bottom w:val="none" w:sz="0" w:space="0" w:color="auto"/>
        <w:right w:val="none" w:sz="0" w:space="0" w:color="auto"/>
      </w:divBdr>
    </w:div>
    <w:div w:id="1258978262">
      <w:bodyDiv w:val="1"/>
      <w:marLeft w:val="0"/>
      <w:marRight w:val="0"/>
      <w:marTop w:val="0"/>
      <w:marBottom w:val="0"/>
      <w:divBdr>
        <w:top w:val="none" w:sz="0" w:space="0" w:color="auto"/>
        <w:left w:val="none" w:sz="0" w:space="0" w:color="auto"/>
        <w:bottom w:val="none" w:sz="0" w:space="0" w:color="auto"/>
        <w:right w:val="none" w:sz="0" w:space="0" w:color="auto"/>
      </w:divBdr>
    </w:div>
    <w:div w:id="1260799136">
      <w:bodyDiv w:val="1"/>
      <w:marLeft w:val="0"/>
      <w:marRight w:val="0"/>
      <w:marTop w:val="0"/>
      <w:marBottom w:val="0"/>
      <w:divBdr>
        <w:top w:val="none" w:sz="0" w:space="0" w:color="auto"/>
        <w:left w:val="none" w:sz="0" w:space="0" w:color="auto"/>
        <w:bottom w:val="none" w:sz="0" w:space="0" w:color="auto"/>
        <w:right w:val="none" w:sz="0" w:space="0" w:color="auto"/>
      </w:divBdr>
    </w:div>
    <w:div w:id="1269196641">
      <w:bodyDiv w:val="1"/>
      <w:marLeft w:val="0"/>
      <w:marRight w:val="0"/>
      <w:marTop w:val="0"/>
      <w:marBottom w:val="0"/>
      <w:divBdr>
        <w:top w:val="none" w:sz="0" w:space="0" w:color="auto"/>
        <w:left w:val="none" w:sz="0" w:space="0" w:color="auto"/>
        <w:bottom w:val="none" w:sz="0" w:space="0" w:color="auto"/>
        <w:right w:val="none" w:sz="0" w:space="0" w:color="auto"/>
      </w:divBdr>
    </w:div>
    <w:div w:id="1282346829">
      <w:bodyDiv w:val="1"/>
      <w:marLeft w:val="0"/>
      <w:marRight w:val="0"/>
      <w:marTop w:val="0"/>
      <w:marBottom w:val="0"/>
      <w:divBdr>
        <w:top w:val="none" w:sz="0" w:space="0" w:color="auto"/>
        <w:left w:val="none" w:sz="0" w:space="0" w:color="auto"/>
        <w:bottom w:val="none" w:sz="0" w:space="0" w:color="auto"/>
        <w:right w:val="none" w:sz="0" w:space="0" w:color="auto"/>
      </w:divBdr>
    </w:div>
    <w:div w:id="1282689036">
      <w:bodyDiv w:val="1"/>
      <w:marLeft w:val="0"/>
      <w:marRight w:val="0"/>
      <w:marTop w:val="0"/>
      <w:marBottom w:val="0"/>
      <w:divBdr>
        <w:top w:val="none" w:sz="0" w:space="0" w:color="auto"/>
        <w:left w:val="none" w:sz="0" w:space="0" w:color="auto"/>
        <w:bottom w:val="none" w:sz="0" w:space="0" w:color="auto"/>
        <w:right w:val="none" w:sz="0" w:space="0" w:color="auto"/>
      </w:divBdr>
    </w:div>
    <w:div w:id="1284532342">
      <w:bodyDiv w:val="1"/>
      <w:marLeft w:val="0"/>
      <w:marRight w:val="0"/>
      <w:marTop w:val="0"/>
      <w:marBottom w:val="0"/>
      <w:divBdr>
        <w:top w:val="none" w:sz="0" w:space="0" w:color="auto"/>
        <w:left w:val="none" w:sz="0" w:space="0" w:color="auto"/>
        <w:bottom w:val="none" w:sz="0" w:space="0" w:color="auto"/>
        <w:right w:val="none" w:sz="0" w:space="0" w:color="auto"/>
      </w:divBdr>
    </w:div>
    <w:div w:id="1293486274">
      <w:bodyDiv w:val="1"/>
      <w:marLeft w:val="0"/>
      <w:marRight w:val="0"/>
      <w:marTop w:val="0"/>
      <w:marBottom w:val="0"/>
      <w:divBdr>
        <w:top w:val="none" w:sz="0" w:space="0" w:color="auto"/>
        <w:left w:val="none" w:sz="0" w:space="0" w:color="auto"/>
        <w:bottom w:val="none" w:sz="0" w:space="0" w:color="auto"/>
        <w:right w:val="none" w:sz="0" w:space="0" w:color="auto"/>
      </w:divBdr>
    </w:div>
    <w:div w:id="1315985991">
      <w:bodyDiv w:val="1"/>
      <w:marLeft w:val="0"/>
      <w:marRight w:val="0"/>
      <w:marTop w:val="0"/>
      <w:marBottom w:val="0"/>
      <w:divBdr>
        <w:top w:val="none" w:sz="0" w:space="0" w:color="auto"/>
        <w:left w:val="none" w:sz="0" w:space="0" w:color="auto"/>
        <w:bottom w:val="none" w:sz="0" w:space="0" w:color="auto"/>
        <w:right w:val="none" w:sz="0" w:space="0" w:color="auto"/>
      </w:divBdr>
    </w:div>
    <w:div w:id="1324701934">
      <w:bodyDiv w:val="1"/>
      <w:marLeft w:val="0"/>
      <w:marRight w:val="0"/>
      <w:marTop w:val="0"/>
      <w:marBottom w:val="0"/>
      <w:divBdr>
        <w:top w:val="none" w:sz="0" w:space="0" w:color="auto"/>
        <w:left w:val="none" w:sz="0" w:space="0" w:color="auto"/>
        <w:bottom w:val="none" w:sz="0" w:space="0" w:color="auto"/>
        <w:right w:val="none" w:sz="0" w:space="0" w:color="auto"/>
      </w:divBdr>
    </w:div>
    <w:div w:id="1352799610">
      <w:bodyDiv w:val="1"/>
      <w:marLeft w:val="0"/>
      <w:marRight w:val="0"/>
      <w:marTop w:val="0"/>
      <w:marBottom w:val="0"/>
      <w:divBdr>
        <w:top w:val="none" w:sz="0" w:space="0" w:color="auto"/>
        <w:left w:val="none" w:sz="0" w:space="0" w:color="auto"/>
        <w:bottom w:val="none" w:sz="0" w:space="0" w:color="auto"/>
        <w:right w:val="none" w:sz="0" w:space="0" w:color="auto"/>
      </w:divBdr>
    </w:div>
    <w:div w:id="1355619648">
      <w:bodyDiv w:val="1"/>
      <w:marLeft w:val="0"/>
      <w:marRight w:val="0"/>
      <w:marTop w:val="0"/>
      <w:marBottom w:val="0"/>
      <w:divBdr>
        <w:top w:val="none" w:sz="0" w:space="0" w:color="auto"/>
        <w:left w:val="none" w:sz="0" w:space="0" w:color="auto"/>
        <w:bottom w:val="none" w:sz="0" w:space="0" w:color="auto"/>
        <w:right w:val="none" w:sz="0" w:space="0" w:color="auto"/>
      </w:divBdr>
    </w:div>
    <w:div w:id="1356156420">
      <w:bodyDiv w:val="1"/>
      <w:marLeft w:val="0"/>
      <w:marRight w:val="0"/>
      <w:marTop w:val="0"/>
      <w:marBottom w:val="0"/>
      <w:divBdr>
        <w:top w:val="none" w:sz="0" w:space="0" w:color="auto"/>
        <w:left w:val="none" w:sz="0" w:space="0" w:color="auto"/>
        <w:bottom w:val="none" w:sz="0" w:space="0" w:color="auto"/>
        <w:right w:val="none" w:sz="0" w:space="0" w:color="auto"/>
      </w:divBdr>
    </w:div>
    <w:div w:id="1370183687">
      <w:bodyDiv w:val="1"/>
      <w:marLeft w:val="0"/>
      <w:marRight w:val="0"/>
      <w:marTop w:val="0"/>
      <w:marBottom w:val="0"/>
      <w:divBdr>
        <w:top w:val="none" w:sz="0" w:space="0" w:color="auto"/>
        <w:left w:val="none" w:sz="0" w:space="0" w:color="auto"/>
        <w:bottom w:val="none" w:sz="0" w:space="0" w:color="auto"/>
        <w:right w:val="none" w:sz="0" w:space="0" w:color="auto"/>
      </w:divBdr>
    </w:div>
    <w:div w:id="1370569902">
      <w:bodyDiv w:val="1"/>
      <w:marLeft w:val="0"/>
      <w:marRight w:val="0"/>
      <w:marTop w:val="0"/>
      <w:marBottom w:val="0"/>
      <w:divBdr>
        <w:top w:val="none" w:sz="0" w:space="0" w:color="auto"/>
        <w:left w:val="none" w:sz="0" w:space="0" w:color="auto"/>
        <w:bottom w:val="none" w:sz="0" w:space="0" w:color="auto"/>
        <w:right w:val="none" w:sz="0" w:space="0" w:color="auto"/>
      </w:divBdr>
    </w:div>
    <w:div w:id="1377508812">
      <w:bodyDiv w:val="1"/>
      <w:marLeft w:val="0"/>
      <w:marRight w:val="0"/>
      <w:marTop w:val="0"/>
      <w:marBottom w:val="0"/>
      <w:divBdr>
        <w:top w:val="none" w:sz="0" w:space="0" w:color="auto"/>
        <w:left w:val="none" w:sz="0" w:space="0" w:color="auto"/>
        <w:bottom w:val="none" w:sz="0" w:space="0" w:color="auto"/>
        <w:right w:val="none" w:sz="0" w:space="0" w:color="auto"/>
      </w:divBdr>
    </w:div>
    <w:div w:id="1381905659">
      <w:bodyDiv w:val="1"/>
      <w:marLeft w:val="0"/>
      <w:marRight w:val="0"/>
      <w:marTop w:val="0"/>
      <w:marBottom w:val="0"/>
      <w:divBdr>
        <w:top w:val="none" w:sz="0" w:space="0" w:color="auto"/>
        <w:left w:val="none" w:sz="0" w:space="0" w:color="auto"/>
        <w:bottom w:val="none" w:sz="0" w:space="0" w:color="auto"/>
        <w:right w:val="none" w:sz="0" w:space="0" w:color="auto"/>
      </w:divBdr>
    </w:div>
    <w:div w:id="1383938797">
      <w:bodyDiv w:val="1"/>
      <w:marLeft w:val="0"/>
      <w:marRight w:val="0"/>
      <w:marTop w:val="0"/>
      <w:marBottom w:val="0"/>
      <w:divBdr>
        <w:top w:val="none" w:sz="0" w:space="0" w:color="auto"/>
        <w:left w:val="none" w:sz="0" w:space="0" w:color="auto"/>
        <w:bottom w:val="none" w:sz="0" w:space="0" w:color="auto"/>
        <w:right w:val="none" w:sz="0" w:space="0" w:color="auto"/>
      </w:divBdr>
    </w:div>
    <w:div w:id="1390690516">
      <w:bodyDiv w:val="1"/>
      <w:marLeft w:val="0"/>
      <w:marRight w:val="0"/>
      <w:marTop w:val="0"/>
      <w:marBottom w:val="0"/>
      <w:divBdr>
        <w:top w:val="none" w:sz="0" w:space="0" w:color="auto"/>
        <w:left w:val="none" w:sz="0" w:space="0" w:color="auto"/>
        <w:bottom w:val="none" w:sz="0" w:space="0" w:color="auto"/>
        <w:right w:val="none" w:sz="0" w:space="0" w:color="auto"/>
      </w:divBdr>
    </w:div>
    <w:div w:id="1409962456">
      <w:bodyDiv w:val="1"/>
      <w:marLeft w:val="0"/>
      <w:marRight w:val="0"/>
      <w:marTop w:val="0"/>
      <w:marBottom w:val="0"/>
      <w:divBdr>
        <w:top w:val="none" w:sz="0" w:space="0" w:color="auto"/>
        <w:left w:val="none" w:sz="0" w:space="0" w:color="auto"/>
        <w:bottom w:val="none" w:sz="0" w:space="0" w:color="auto"/>
        <w:right w:val="none" w:sz="0" w:space="0" w:color="auto"/>
      </w:divBdr>
    </w:div>
    <w:div w:id="1412585169">
      <w:bodyDiv w:val="1"/>
      <w:marLeft w:val="0"/>
      <w:marRight w:val="0"/>
      <w:marTop w:val="0"/>
      <w:marBottom w:val="0"/>
      <w:divBdr>
        <w:top w:val="none" w:sz="0" w:space="0" w:color="auto"/>
        <w:left w:val="none" w:sz="0" w:space="0" w:color="auto"/>
        <w:bottom w:val="none" w:sz="0" w:space="0" w:color="auto"/>
        <w:right w:val="none" w:sz="0" w:space="0" w:color="auto"/>
      </w:divBdr>
    </w:div>
    <w:div w:id="1421373078">
      <w:bodyDiv w:val="1"/>
      <w:marLeft w:val="0"/>
      <w:marRight w:val="0"/>
      <w:marTop w:val="0"/>
      <w:marBottom w:val="0"/>
      <w:divBdr>
        <w:top w:val="none" w:sz="0" w:space="0" w:color="auto"/>
        <w:left w:val="none" w:sz="0" w:space="0" w:color="auto"/>
        <w:bottom w:val="none" w:sz="0" w:space="0" w:color="auto"/>
        <w:right w:val="none" w:sz="0" w:space="0" w:color="auto"/>
      </w:divBdr>
    </w:div>
    <w:div w:id="1426878500">
      <w:bodyDiv w:val="1"/>
      <w:marLeft w:val="0"/>
      <w:marRight w:val="0"/>
      <w:marTop w:val="0"/>
      <w:marBottom w:val="0"/>
      <w:divBdr>
        <w:top w:val="none" w:sz="0" w:space="0" w:color="auto"/>
        <w:left w:val="none" w:sz="0" w:space="0" w:color="auto"/>
        <w:bottom w:val="none" w:sz="0" w:space="0" w:color="auto"/>
        <w:right w:val="none" w:sz="0" w:space="0" w:color="auto"/>
      </w:divBdr>
    </w:div>
    <w:div w:id="1449163055">
      <w:bodyDiv w:val="1"/>
      <w:marLeft w:val="0"/>
      <w:marRight w:val="0"/>
      <w:marTop w:val="0"/>
      <w:marBottom w:val="0"/>
      <w:divBdr>
        <w:top w:val="none" w:sz="0" w:space="0" w:color="auto"/>
        <w:left w:val="none" w:sz="0" w:space="0" w:color="auto"/>
        <w:bottom w:val="none" w:sz="0" w:space="0" w:color="auto"/>
        <w:right w:val="none" w:sz="0" w:space="0" w:color="auto"/>
      </w:divBdr>
    </w:div>
    <w:div w:id="1449469860">
      <w:bodyDiv w:val="1"/>
      <w:marLeft w:val="0"/>
      <w:marRight w:val="0"/>
      <w:marTop w:val="0"/>
      <w:marBottom w:val="0"/>
      <w:divBdr>
        <w:top w:val="none" w:sz="0" w:space="0" w:color="auto"/>
        <w:left w:val="none" w:sz="0" w:space="0" w:color="auto"/>
        <w:bottom w:val="none" w:sz="0" w:space="0" w:color="auto"/>
        <w:right w:val="none" w:sz="0" w:space="0" w:color="auto"/>
      </w:divBdr>
    </w:div>
    <w:div w:id="1451706002">
      <w:bodyDiv w:val="1"/>
      <w:marLeft w:val="0"/>
      <w:marRight w:val="0"/>
      <w:marTop w:val="0"/>
      <w:marBottom w:val="0"/>
      <w:divBdr>
        <w:top w:val="none" w:sz="0" w:space="0" w:color="auto"/>
        <w:left w:val="none" w:sz="0" w:space="0" w:color="auto"/>
        <w:bottom w:val="none" w:sz="0" w:space="0" w:color="auto"/>
        <w:right w:val="none" w:sz="0" w:space="0" w:color="auto"/>
      </w:divBdr>
    </w:div>
    <w:div w:id="1457064436">
      <w:bodyDiv w:val="1"/>
      <w:marLeft w:val="0"/>
      <w:marRight w:val="0"/>
      <w:marTop w:val="0"/>
      <w:marBottom w:val="0"/>
      <w:divBdr>
        <w:top w:val="none" w:sz="0" w:space="0" w:color="auto"/>
        <w:left w:val="none" w:sz="0" w:space="0" w:color="auto"/>
        <w:bottom w:val="none" w:sz="0" w:space="0" w:color="auto"/>
        <w:right w:val="none" w:sz="0" w:space="0" w:color="auto"/>
      </w:divBdr>
    </w:div>
    <w:div w:id="1461799025">
      <w:bodyDiv w:val="1"/>
      <w:marLeft w:val="0"/>
      <w:marRight w:val="0"/>
      <w:marTop w:val="0"/>
      <w:marBottom w:val="0"/>
      <w:divBdr>
        <w:top w:val="none" w:sz="0" w:space="0" w:color="auto"/>
        <w:left w:val="none" w:sz="0" w:space="0" w:color="auto"/>
        <w:bottom w:val="none" w:sz="0" w:space="0" w:color="auto"/>
        <w:right w:val="none" w:sz="0" w:space="0" w:color="auto"/>
      </w:divBdr>
    </w:div>
    <w:div w:id="1469399001">
      <w:bodyDiv w:val="1"/>
      <w:marLeft w:val="0"/>
      <w:marRight w:val="0"/>
      <w:marTop w:val="0"/>
      <w:marBottom w:val="0"/>
      <w:divBdr>
        <w:top w:val="none" w:sz="0" w:space="0" w:color="auto"/>
        <w:left w:val="none" w:sz="0" w:space="0" w:color="auto"/>
        <w:bottom w:val="none" w:sz="0" w:space="0" w:color="auto"/>
        <w:right w:val="none" w:sz="0" w:space="0" w:color="auto"/>
      </w:divBdr>
    </w:div>
    <w:div w:id="1474443700">
      <w:bodyDiv w:val="1"/>
      <w:marLeft w:val="0"/>
      <w:marRight w:val="0"/>
      <w:marTop w:val="0"/>
      <w:marBottom w:val="0"/>
      <w:divBdr>
        <w:top w:val="none" w:sz="0" w:space="0" w:color="auto"/>
        <w:left w:val="none" w:sz="0" w:space="0" w:color="auto"/>
        <w:bottom w:val="none" w:sz="0" w:space="0" w:color="auto"/>
        <w:right w:val="none" w:sz="0" w:space="0" w:color="auto"/>
      </w:divBdr>
    </w:div>
    <w:div w:id="1503816259">
      <w:bodyDiv w:val="1"/>
      <w:marLeft w:val="0"/>
      <w:marRight w:val="0"/>
      <w:marTop w:val="0"/>
      <w:marBottom w:val="0"/>
      <w:divBdr>
        <w:top w:val="none" w:sz="0" w:space="0" w:color="auto"/>
        <w:left w:val="none" w:sz="0" w:space="0" w:color="auto"/>
        <w:bottom w:val="none" w:sz="0" w:space="0" w:color="auto"/>
        <w:right w:val="none" w:sz="0" w:space="0" w:color="auto"/>
      </w:divBdr>
    </w:div>
    <w:div w:id="1532690871">
      <w:bodyDiv w:val="1"/>
      <w:marLeft w:val="0"/>
      <w:marRight w:val="0"/>
      <w:marTop w:val="0"/>
      <w:marBottom w:val="0"/>
      <w:divBdr>
        <w:top w:val="none" w:sz="0" w:space="0" w:color="auto"/>
        <w:left w:val="none" w:sz="0" w:space="0" w:color="auto"/>
        <w:bottom w:val="none" w:sz="0" w:space="0" w:color="auto"/>
        <w:right w:val="none" w:sz="0" w:space="0" w:color="auto"/>
      </w:divBdr>
    </w:div>
    <w:div w:id="1535726203">
      <w:bodyDiv w:val="1"/>
      <w:marLeft w:val="0"/>
      <w:marRight w:val="0"/>
      <w:marTop w:val="0"/>
      <w:marBottom w:val="0"/>
      <w:divBdr>
        <w:top w:val="none" w:sz="0" w:space="0" w:color="auto"/>
        <w:left w:val="none" w:sz="0" w:space="0" w:color="auto"/>
        <w:bottom w:val="none" w:sz="0" w:space="0" w:color="auto"/>
        <w:right w:val="none" w:sz="0" w:space="0" w:color="auto"/>
      </w:divBdr>
    </w:div>
    <w:div w:id="1552615090">
      <w:bodyDiv w:val="1"/>
      <w:marLeft w:val="0"/>
      <w:marRight w:val="0"/>
      <w:marTop w:val="0"/>
      <w:marBottom w:val="0"/>
      <w:divBdr>
        <w:top w:val="none" w:sz="0" w:space="0" w:color="auto"/>
        <w:left w:val="none" w:sz="0" w:space="0" w:color="auto"/>
        <w:bottom w:val="none" w:sz="0" w:space="0" w:color="auto"/>
        <w:right w:val="none" w:sz="0" w:space="0" w:color="auto"/>
      </w:divBdr>
    </w:div>
    <w:div w:id="1562672555">
      <w:bodyDiv w:val="1"/>
      <w:marLeft w:val="0"/>
      <w:marRight w:val="0"/>
      <w:marTop w:val="0"/>
      <w:marBottom w:val="0"/>
      <w:divBdr>
        <w:top w:val="none" w:sz="0" w:space="0" w:color="auto"/>
        <w:left w:val="none" w:sz="0" w:space="0" w:color="auto"/>
        <w:bottom w:val="none" w:sz="0" w:space="0" w:color="auto"/>
        <w:right w:val="none" w:sz="0" w:space="0" w:color="auto"/>
      </w:divBdr>
    </w:div>
    <w:div w:id="1612321243">
      <w:bodyDiv w:val="1"/>
      <w:marLeft w:val="0"/>
      <w:marRight w:val="0"/>
      <w:marTop w:val="0"/>
      <w:marBottom w:val="0"/>
      <w:divBdr>
        <w:top w:val="none" w:sz="0" w:space="0" w:color="auto"/>
        <w:left w:val="none" w:sz="0" w:space="0" w:color="auto"/>
        <w:bottom w:val="none" w:sz="0" w:space="0" w:color="auto"/>
        <w:right w:val="none" w:sz="0" w:space="0" w:color="auto"/>
      </w:divBdr>
    </w:div>
    <w:div w:id="1613437158">
      <w:bodyDiv w:val="1"/>
      <w:marLeft w:val="0"/>
      <w:marRight w:val="0"/>
      <w:marTop w:val="0"/>
      <w:marBottom w:val="0"/>
      <w:divBdr>
        <w:top w:val="none" w:sz="0" w:space="0" w:color="auto"/>
        <w:left w:val="none" w:sz="0" w:space="0" w:color="auto"/>
        <w:bottom w:val="none" w:sz="0" w:space="0" w:color="auto"/>
        <w:right w:val="none" w:sz="0" w:space="0" w:color="auto"/>
      </w:divBdr>
    </w:div>
    <w:div w:id="1636831555">
      <w:bodyDiv w:val="1"/>
      <w:marLeft w:val="0"/>
      <w:marRight w:val="0"/>
      <w:marTop w:val="0"/>
      <w:marBottom w:val="0"/>
      <w:divBdr>
        <w:top w:val="none" w:sz="0" w:space="0" w:color="auto"/>
        <w:left w:val="none" w:sz="0" w:space="0" w:color="auto"/>
        <w:bottom w:val="none" w:sz="0" w:space="0" w:color="auto"/>
        <w:right w:val="none" w:sz="0" w:space="0" w:color="auto"/>
      </w:divBdr>
    </w:div>
    <w:div w:id="1645888564">
      <w:bodyDiv w:val="1"/>
      <w:marLeft w:val="0"/>
      <w:marRight w:val="0"/>
      <w:marTop w:val="0"/>
      <w:marBottom w:val="0"/>
      <w:divBdr>
        <w:top w:val="none" w:sz="0" w:space="0" w:color="auto"/>
        <w:left w:val="none" w:sz="0" w:space="0" w:color="auto"/>
        <w:bottom w:val="none" w:sz="0" w:space="0" w:color="auto"/>
        <w:right w:val="none" w:sz="0" w:space="0" w:color="auto"/>
      </w:divBdr>
    </w:div>
    <w:div w:id="1647122410">
      <w:bodyDiv w:val="1"/>
      <w:marLeft w:val="0"/>
      <w:marRight w:val="0"/>
      <w:marTop w:val="0"/>
      <w:marBottom w:val="0"/>
      <w:divBdr>
        <w:top w:val="none" w:sz="0" w:space="0" w:color="auto"/>
        <w:left w:val="none" w:sz="0" w:space="0" w:color="auto"/>
        <w:bottom w:val="none" w:sz="0" w:space="0" w:color="auto"/>
        <w:right w:val="none" w:sz="0" w:space="0" w:color="auto"/>
      </w:divBdr>
    </w:div>
    <w:div w:id="1661691651">
      <w:bodyDiv w:val="1"/>
      <w:marLeft w:val="0"/>
      <w:marRight w:val="0"/>
      <w:marTop w:val="0"/>
      <w:marBottom w:val="0"/>
      <w:divBdr>
        <w:top w:val="none" w:sz="0" w:space="0" w:color="auto"/>
        <w:left w:val="none" w:sz="0" w:space="0" w:color="auto"/>
        <w:bottom w:val="none" w:sz="0" w:space="0" w:color="auto"/>
        <w:right w:val="none" w:sz="0" w:space="0" w:color="auto"/>
      </w:divBdr>
    </w:div>
    <w:div w:id="1664309553">
      <w:bodyDiv w:val="1"/>
      <w:marLeft w:val="0"/>
      <w:marRight w:val="0"/>
      <w:marTop w:val="0"/>
      <w:marBottom w:val="0"/>
      <w:divBdr>
        <w:top w:val="none" w:sz="0" w:space="0" w:color="auto"/>
        <w:left w:val="none" w:sz="0" w:space="0" w:color="auto"/>
        <w:bottom w:val="none" w:sz="0" w:space="0" w:color="auto"/>
        <w:right w:val="none" w:sz="0" w:space="0" w:color="auto"/>
      </w:divBdr>
    </w:div>
    <w:div w:id="1676422269">
      <w:bodyDiv w:val="1"/>
      <w:marLeft w:val="0"/>
      <w:marRight w:val="0"/>
      <w:marTop w:val="0"/>
      <w:marBottom w:val="0"/>
      <w:divBdr>
        <w:top w:val="none" w:sz="0" w:space="0" w:color="auto"/>
        <w:left w:val="none" w:sz="0" w:space="0" w:color="auto"/>
        <w:bottom w:val="none" w:sz="0" w:space="0" w:color="auto"/>
        <w:right w:val="none" w:sz="0" w:space="0" w:color="auto"/>
      </w:divBdr>
    </w:div>
    <w:div w:id="1682314486">
      <w:bodyDiv w:val="1"/>
      <w:marLeft w:val="0"/>
      <w:marRight w:val="0"/>
      <w:marTop w:val="0"/>
      <w:marBottom w:val="0"/>
      <w:divBdr>
        <w:top w:val="none" w:sz="0" w:space="0" w:color="auto"/>
        <w:left w:val="none" w:sz="0" w:space="0" w:color="auto"/>
        <w:bottom w:val="none" w:sz="0" w:space="0" w:color="auto"/>
        <w:right w:val="none" w:sz="0" w:space="0" w:color="auto"/>
      </w:divBdr>
    </w:div>
    <w:div w:id="1685086366">
      <w:bodyDiv w:val="1"/>
      <w:marLeft w:val="0"/>
      <w:marRight w:val="0"/>
      <w:marTop w:val="0"/>
      <w:marBottom w:val="0"/>
      <w:divBdr>
        <w:top w:val="none" w:sz="0" w:space="0" w:color="auto"/>
        <w:left w:val="none" w:sz="0" w:space="0" w:color="auto"/>
        <w:bottom w:val="none" w:sz="0" w:space="0" w:color="auto"/>
        <w:right w:val="none" w:sz="0" w:space="0" w:color="auto"/>
      </w:divBdr>
    </w:div>
    <w:div w:id="1701736729">
      <w:bodyDiv w:val="1"/>
      <w:marLeft w:val="0"/>
      <w:marRight w:val="0"/>
      <w:marTop w:val="0"/>
      <w:marBottom w:val="0"/>
      <w:divBdr>
        <w:top w:val="none" w:sz="0" w:space="0" w:color="auto"/>
        <w:left w:val="none" w:sz="0" w:space="0" w:color="auto"/>
        <w:bottom w:val="none" w:sz="0" w:space="0" w:color="auto"/>
        <w:right w:val="none" w:sz="0" w:space="0" w:color="auto"/>
      </w:divBdr>
    </w:div>
    <w:div w:id="1706715284">
      <w:bodyDiv w:val="1"/>
      <w:marLeft w:val="0"/>
      <w:marRight w:val="0"/>
      <w:marTop w:val="0"/>
      <w:marBottom w:val="0"/>
      <w:divBdr>
        <w:top w:val="none" w:sz="0" w:space="0" w:color="auto"/>
        <w:left w:val="none" w:sz="0" w:space="0" w:color="auto"/>
        <w:bottom w:val="none" w:sz="0" w:space="0" w:color="auto"/>
        <w:right w:val="none" w:sz="0" w:space="0" w:color="auto"/>
      </w:divBdr>
    </w:div>
    <w:div w:id="1725762219">
      <w:bodyDiv w:val="1"/>
      <w:marLeft w:val="0"/>
      <w:marRight w:val="0"/>
      <w:marTop w:val="0"/>
      <w:marBottom w:val="0"/>
      <w:divBdr>
        <w:top w:val="none" w:sz="0" w:space="0" w:color="auto"/>
        <w:left w:val="none" w:sz="0" w:space="0" w:color="auto"/>
        <w:bottom w:val="none" w:sz="0" w:space="0" w:color="auto"/>
        <w:right w:val="none" w:sz="0" w:space="0" w:color="auto"/>
      </w:divBdr>
    </w:div>
    <w:div w:id="1760521281">
      <w:bodyDiv w:val="1"/>
      <w:marLeft w:val="0"/>
      <w:marRight w:val="0"/>
      <w:marTop w:val="0"/>
      <w:marBottom w:val="0"/>
      <w:divBdr>
        <w:top w:val="none" w:sz="0" w:space="0" w:color="auto"/>
        <w:left w:val="none" w:sz="0" w:space="0" w:color="auto"/>
        <w:bottom w:val="none" w:sz="0" w:space="0" w:color="auto"/>
        <w:right w:val="none" w:sz="0" w:space="0" w:color="auto"/>
      </w:divBdr>
    </w:div>
    <w:div w:id="1763455081">
      <w:bodyDiv w:val="1"/>
      <w:marLeft w:val="0"/>
      <w:marRight w:val="0"/>
      <w:marTop w:val="0"/>
      <w:marBottom w:val="0"/>
      <w:divBdr>
        <w:top w:val="none" w:sz="0" w:space="0" w:color="auto"/>
        <w:left w:val="none" w:sz="0" w:space="0" w:color="auto"/>
        <w:bottom w:val="none" w:sz="0" w:space="0" w:color="auto"/>
        <w:right w:val="none" w:sz="0" w:space="0" w:color="auto"/>
      </w:divBdr>
    </w:div>
    <w:div w:id="1763574781">
      <w:bodyDiv w:val="1"/>
      <w:marLeft w:val="0"/>
      <w:marRight w:val="0"/>
      <w:marTop w:val="0"/>
      <w:marBottom w:val="0"/>
      <w:divBdr>
        <w:top w:val="none" w:sz="0" w:space="0" w:color="auto"/>
        <w:left w:val="none" w:sz="0" w:space="0" w:color="auto"/>
        <w:bottom w:val="none" w:sz="0" w:space="0" w:color="auto"/>
        <w:right w:val="none" w:sz="0" w:space="0" w:color="auto"/>
      </w:divBdr>
    </w:div>
    <w:div w:id="1775901578">
      <w:bodyDiv w:val="1"/>
      <w:marLeft w:val="0"/>
      <w:marRight w:val="0"/>
      <w:marTop w:val="0"/>
      <w:marBottom w:val="0"/>
      <w:divBdr>
        <w:top w:val="none" w:sz="0" w:space="0" w:color="auto"/>
        <w:left w:val="none" w:sz="0" w:space="0" w:color="auto"/>
        <w:bottom w:val="none" w:sz="0" w:space="0" w:color="auto"/>
        <w:right w:val="none" w:sz="0" w:space="0" w:color="auto"/>
      </w:divBdr>
    </w:div>
    <w:div w:id="1776319568">
      <w:bodyDiv w:val="1"/>
      <w:marLeft w:val="0"/>
      <w:marRight w:val="0"/>
      <w:marTop w:val="0"/>
      <w:marBottom w:val="0"/>
      <w:divBdr>
        <w:top w:val="none" w:sz="0" w:space="0" w:color="auto"/>
        <w:left w:val="none" w:sz="0" w:space="0" w:color="auto"/>
        <w:bottom w:val="none" w:sz="0" w:space="0" w:color="auto"/>
        <w:right w:val="none" w:sz="0" w:space="0" w:color="auto"/>
      </w:divBdr>
    </w:div>
    <w:div w:id="1777091872">
      <w:bodyDiv w:val="1"/>
      <w:marLeft w:val="0"/>
      <w:marRight w:val="0"/>
      <w:marTop w:val="0"/>
      <w:marBottom w:val="0"/>
      <w:divBdr>
        <w:top w:val="none" w:sz="0" w:space="0" w:color="auto"/>
        <w:left w:val="none" w:sz="0" w:space="0" w:color="auto"/>
        <w:bottom w:val="none" w:sz="0" w:space="0" w:color="auto"/>
        <w:right w:val="none" w:sz="0" w:space="0" w:color="auto"/>
      </w:divBdr>
    </w:div>
    <w:div w:id="1779643850">
      <w:bodyDiv w:val="1"/>
      <w:marLeft w:val="0"/>
      <w:marRight w:val="0"/>
      <w:marTop w:val="0"/>
      <w:marBottom w:val="0"/>
      <w:divBdr>
        <w:top w:val="none" w:sz="0" w:space="0" w:color="auto"/>
        <w:left w:val="none" w:sz="0" w:space="0" w:color="auto"/>
        <w:bottom w:val="none" w:sz="0" w:space="0" w:color="auto"/>
        <w:right w:val="none" w:sz="0" w:space="0" w:color="auto"/>
      </w:divBdr>
    </w:div>
    <w:div w:id="1781100753">
      <w:bodyDiv w:val="1"/>
      <w:marLeft w:val="0"/>
      <w:marRight w:val="0"/>
      <w:marTop w:val="0"/>
      <w:marBottom w:val="0"/>
      <w:divBdr>
        <w:top w:val="none" w:sz="0" w:space="0" w:color="auto"/>
        <w:left w:val="none" w:sz="0" w:space="0" w:color="auto"/>
        <w:bottom w:val="none" w:sz="0" w:space="0" w:color="auto"/>
        <w:right w:val="none" w:sz="0" w:space="0" w:color="auto"/>
      </w:divBdr>
    </w:div>
    <w:div w:id="1791780874">
      <w:bodyDiv w:val="1"/>
      <w:marLeft w:val="0"/>
      <w:marRight w:val="0"/>
      <w:marTop w:val="0"/>
      <w:marBottom w:val="0"/>
      <w:divBdr>
        <w:top w:val="none" w:sz="0" w:space="0" w:color="auto"/>
        <w:left w:val="none" w:sz="0" w:space="0" w:color="auto"/>
        <w:bottom w:val="none" w:sz="0" w:space="0" w:color="auto"/>
        <w:right w:val="none" w:sz="0" w:space="0" w:color="auto"/>
      </w:divBdr>
    </w:div>
    <w:div w:id="1793406018">
      <w:bodyDiv w:val="1"/>
      <w:marLeft w:val="0"/>
      <w:marRight w:val="0"/>
      <w:marTop w:val="0"/>
      <w:marBottom w:val="0"/>
      <w:divBdr>
        <w:top w:val="none" w:sz="0" w:space="0" w:color="auto"/>
        <w:left w:val="none" w:sz="0" w:space="0" w:color="auto"/>
        <w:bottom w:val="none" w:sz="0" w:space="0" w:color="auto"/>
        <w:right w:val="none" w:sz="0" w:space="0" w:color="auto"/>
      </w:divBdr>
    </w:div>
    <w:div w:id="1803427284">
      <w:bodyDiv w:val="1"/>
      <w:marLeft w:val="0"/>
      <w:marRight w:val="0"/>
      <w:marTop w:val="0"/>
      <w:marBottom w:val="0"/>
      <w:divBdr>
        <w:top w:val="none" w:sz="0" w:space="0" w:color="auto"/>
        <w:left w:val="none" w:sz="0" w:space="0" w:color="auto"/>
        <w:bottom w:val="none" w:sz="0" w:space="0" w:color="auto"/>
        <w:right w:val="none" w:sz="0" w:space="0" w:color="auto"/>
      </w:divBdr>
    </w:div>
    <w:div w:id="1807353628">
      <w:bodyDiv w:val="1"/>
      <w:marLeft w:val="0"/>
      <w:marRight w:val="0"/>
      <w:marTop w:val="0"/>
      <w:marBottom w:val="0"/>
      <w:divBdr>
        <w:top w:val="none" w:sz="0" w:space="0" w:color="auto"/>
        <w:left w:val="none" w:sz="0" w:space="0" w:color="auto"/>
        <w:bottom w:val="none" w:sz="0" w:space="0" w:color="auto"/>
        <w:right w:val="none" w:sz="0" w:space="0" w:color="auto"/>
      </w:divBdr>
    </w:div>
    <w:div w:id="1818037568">
      <w:bodyDiv w:val="1"/>
      <w:marLeft w:val="0"/>
      <w:marRight w:val="0"/>
      <w:marTop w:val="0"/>
      <w:marBottom w:val="0"/>
      <w:divBdr>
        <w:top w:val="none" w:sz="0" w:space="0" w:color="auto"/>
        <w:left w:val="none" w:sz="0" w:space="0" w:color="auto"/>
        <w:bottom w:val="none" w:sz="0" w:space="0" w:color="auto"/>
        <w:right w:val="none" w:sz="0" w:space="0" w:color="auto"/>
      </w:divBdr>
    </w:div>
    <w:div w:id="1823154871">
      <w:bodyDiv w:val="1"/>
      <w:marLeft w:val="0"/>
      <w:marRight w:val="0"/>
      <w:marTop w:val="0"/>
      <w:marBottom w:val="0"/>
      <w:divBdr>
        <w:top w:val="none" w:sz="0" w:space="0" w:color="auto"/>
        <w:left w:val="none" w:sz="0" w:space="0" w:color="auto"/>
        <w:bottom w:val="none" w:sz="0" w:space="0" w:color="auto"/>
        <w:right w:val="none" w:sz="0" w:space="0" w:color="auto"/>
      </w:divBdr>
    </w:div>
    <w:div w:id="1835413440">
      <w:bodyDiv w:val="1"/>
      <w:marLeft w:val="0"/>
      <w:marRight w:val="0"/>
      <w:marTop w:val="0"/>
      <w:marBottom w:val="0"/>
      <w:divBdr>
        <w:top w:val="none" w:sz="0" w:space="0" w:color="auto"/>
        <w:left w:val="none" w:sz="0" w:space="0" w:color="auto"/>
        <w:bottom w:val="none" w:sz="0" w:space="0" w:color="auto"/>
        <w:right w:val="none" w:sz="0" w:space="0" w:color="auto"/>
      </w:divBdr>
    </w:div>
    <w:div w:id="1859345979">
      <w:bodyDiv w:val="1"/>
      <w:marLeft w:val="0"/>
      <w:marRight w:val="0"/>
      <w:marTop w:val="0"/>
      <w:marBottom w:val="0"/>
      <w:divBdr>
        <w:top w:val="none" w:sz="0" w:space="0" w:color="auto"/>
        <w:left w:val="none" w:sz="0" w:space="0" w:color="auto"/>
        <w:bottom w:val="none" w:sz="0" w:space="0" w:color="auto"/>
        <w:right w:val="none" w:sz="0" w:space="0" w:color="auto"/>
      </w:divBdr>
    </w:div>
    <w:div w:id="1860853270">
      <w:bodyDiv w:val="1"/>
      <w:marLeft w:val="0"/>
      <w:marRight w:val="0"/>
      <w:marTop w:val="0"/>
      <w:marBottom w:val="0"/>
      <w:divBdr>
        <w:top w:val="none" w:sz="0" w:space="0" w:color="auto"/>
        <w:left w:val="none" w:sz="0" w:space="0" w:color="auto"/>
        <w:bottom w:val="none" w:sz="0" w:space="0" w:color="auto"/>
        <w:right w:val="none" w:sz="0" w:space="0" w:color="auto"/>
      </w:divBdr>
    </w:div>
    <w:div w:id="1865171630">
      <w:bodyDiv w:val="1"/>
      <w:marLeft w:val="0"/>
      <w:marRight w:val="0"/>
      <w:marTop w:val="0"/>
      <w:marBottom w:val="0"/>
      <w:divBdr>
        <w:top w:val="none" w:sz="0" w:space="0" w:color="auto"/>
        <w:left w:val="none" w:sz="0" w:space="0" w:color="auto"/>
        <w:bottom w:val="none" w:sz="0" w:space="0" w:color="auto"/>
        <w:right w:val="none" w:sz="0" w:space="0" w:color="auto"/>
      </w:divBdr>
    </w:div>
    <w:div w:id="1871918714">
      <w:bodyDiv w:val="1"/>
      <w:marLeft w:val="0"/>
      <w:marRight w:val="0"/>
      <w:marTop w:val="0"/>
      <w:marBottom w:val="0"/>
      <w:divBdr>
        <w:top w:val="none" w:sz="0" w:space="0" w:color="auto"/>
        <w:left w:val="none" w:sz="0" w:space="0" w:color="auto"/>
        <w:bottom w:val="none" w:sz="0" w:space="0" w:color="auto"/>
        <w:right w:val="none" w:sz="0" w:space="0" w:color="auto"/>
      </w:divBdr>
    </w:div>
    <w:div w:id="1875850825">
      <w:bodyDiv w:val="1"/>
      <w:marLeft w:val="0"/>
      <w:marRight w:val="0"/>
      <w:marTop w:val="0"/>
      <w:marBottom w:val="0"/>
      <w:divBdr>
        <w:top w:val="none" w:sz="0" w:space="0" w:color="auto"/>
        <w:left w:val="none" w:sz="0" w:space="0" w:color="auto"/>
        <w:bottom w:val="none" w:sz="0" w:space="0" w:color="auto"/>
        <w:right w:val="none" w:sz="0" w:space="0" w:color="auto"/>
      </w:divBdr>
    </w:div>
    <w:div w:id="1898854836">
      <w:bodyDiv w:val="1"/>
      <w:marLeft w:val="0"/>
      <w:marRight w:val="0"/>
      <w:marTop w:val="0"/>
      <w:marBottom w:val="0"/>
      <w:divBdr>
        <w:top w:val="none" w:sz="0" w:space="0" w:color="auto"/>
        <w:left w:val="none" w:sz="0" w:space="0" w:color="auto"/>
        <w:bottom w:val="none" w:sz="0" w:space="0" w:color="auto"/>
        <w:right w:val="none" w:sz="0" w:space="0" w:color="auto"/>
      </w:divBdr>
    </w:div>
    <w:div w:id="1924951142">
      <w:bodyDiv w:val="1"/>
      <w:marLeft w:val="0"/>
      <w:marRight w:val="0"/>
      <w:marTop w:val="0"/>
      <w:marBottom w:val="0"/>
      <w:divBdr>
        <w:top w:val="none" w:sz="0" w:space="0" w:color="auto"/>
        <w:left w:val="none" w:sz="0" w:space="0" w:color="auto"/>
        <w:bottom w:val="none" w:sz="0" w:space="0" w:color="auto"/>
        <w:right w:val="none" w:sz="0" w:space="0" w:color="auto"/>
      </w:divBdr>
    </w:div>
    <w:div w:id="1925409804">
      <w:bodyDiv w:val="1"/>
      <w:marLeft w:val="0"/>
      <w:marRight w:val="0"/>
      <w:marTop w:val="0"/>
      <w:marBottom w:val="0"/>
      <w:divBdr>
        <w:top w:val="none" w:sz="0" w:space="0" w:color="auto"/>
        <w:left w:val="none" w:sz="0" w:space="0" w:color="auto"/>
        <w:bottom w:val="none" w:sz="0" w:space="0" w:color="auto"/>
        <w:right w:val="none" w:sz="0" w:space="0" w:color="auto"/>
      </w:divBdr>
    </w:div>
    <w:div w:id="1925798198">
      <w:bodyDiv w:val="1"/>
      <w:marLeft w:val="0"/>
      <w:marRight w:val="0"/>
      <w:marTop w:val="0"/>
      <w:marBottom w:val="0"/>
      <w:divBdr>
        <w:top w:val="none" w:sz="0" w:space="0" w:color="auto"/>
        <w:left w:val="none" w:sz="0" w:space="0" w:color="auto"/>
        <w:bottom w:val="none" w:sz="0" w:space="0" w:color="auto"/>
        <w:right w:val="none" w:sz="0" w:space="0" w:color="auto"/>
      </w:divBdr>
    </w:div>
    <w:div w:id="1935821504">
      <w:bodyDiv w:val="1"/>
      <w:marLeft w:val="0"/>
      <w:marRight w:val="0"/>
      <w:marTop w:val="0"/>
      <w:marBottom w:val="0"/>
      <w:divBdr>
        <w:top w:val="none" w:sz="0" w:space="0" w:color="auto"/>
        <w:left w:val="none" w:sz="0" w:space="0" w:color="auto"/>
        <w:bottom w:val="none" w:sz="0" w:space="0" w:color="auto"/>
        <w:right w:val="none" w:sz="0" w:space="0" w:color="auto"/>
      </w:divBdr>
    </w:div>
    <w:div w:id="1940598629">
      <w:bodyDiv w:val="1"/>
      <w:marLeft w:val="0"/>
      <w:marRight w:val="0"/>
      <w:marTop w:val="0"/>
      <w:marBottom w:val="0"/>
      <w:divBdr>
        <w:top w:val="none" w:sz="0" w:space="0" w:color="auto"/>
        <w:left w:val="none" w:sz="0" w:space="0" w:color="auto"/>
        <w:bottom w:val="none" w:sz="0" w:space="0" w:color="auto"/>
        <w:right w:val="none" w:sz="0" w:space="0" w:color="auto"/>
      </w:divBdr>
    </w:div>
    <w:div w:id="1962346933">
      <w:bodyDiv w:val="1"/>
      <w:marLeft w:val="0"/>
      <w:marRight w:val="0"/>
      <w:marTop w:val="0"/>
      <w:marBottom w:val="0"/>
      <w:divBdr>
        <w:top w:val="none" w:sz="0" w:space="0" w:color="auto"/>
        <w:left w:val="none" w:sz="0" w:space="0" w:color="auto"/>
        <w:bottom w:val="none" w:sz="0" w:space="0" w:color="auto"/>
        <w:right w:val="none" w:sz="0" w:space="0" w:color="auto"/>
      </w:divBdr>
    </w:div>
    <w:div w:id="1971126343">
      <w:bodyDiv w:val="1"/>
      <w:marLeft w:val="0"/>
      <w:marRight w:val="0"/>
      <w:marTop w:val="0"/>
      <w:marBottom w:val="0"/>
      <w:divBdr>
        <w:top w:val="none" w:sz="0" w:space="0" w:color="auto"/>
        <w:left w:val="none" w:sz="0" w:space="0" w:color="auto"/>
        <w:bottom w:val="none" w:sz="0" w:space="0" w:color="auto"/>
        <w:right w:val="none" w:sz="0" w:space="0" w:color="auto"/>
      </w:divBdr>
    </w:div>
    <w:div w:id="1974677831">
      <w:bodyDiv w:val="1"/>
      <w:marLeft w:val="0"/>
      <w:marRight w:val="0"/>
      <w:marTop w:val="0"/>
      <w:marBottom w:val="0"/>
      <w:divBdr>
        <w:top w:val="none" w:sz="0" w:space="0" w:color="auto"/>
        <w:left w:val="none" w:sz="0" w:space="0" w:color="auto"/>
        <w:bottom w:val="none" w:sz="0" w:space="0" w:color="auto"/>
        <w:right w:val="none" w:sz="0" w:space="0" w:color="auto"/>
      </w:divBdr>
    </w:div>
    <w:div w:id="1994330398">
      <w:bodyDiv w:val="1"/>
      <w:marLeft w:val="0"/>
      <w:marRight w:val="0"/>
      <w:marTop w:val="0"/>
      <w:marBottom w:val="0"/>
      <w:divBdr>
        <w:top w:val="none" w:sz="0" w:space="0" w:color="auto"/>
        <w:left w:val="none" w:sz="0" w:space="0" w:color="auto"/>
        <w:bottom w:val="none" w:sz="0" w:space="0" w:color="auto"/>
        <w:right w:val="none" w:sz="0" w:space="0" w:color="auto"/>
      </w:divBdr>
    </w:div>
    <w:div w:id="2011322817">
      <w:bodyDiv w:val="1"/>
      <w:marLeft w:val="0"/>
      <w:marRight w:val="0"/>
      <w:marTop w:val="0"/>
      <w:marBottom w:val="0"/>
      <w:divBdr>
        <w:top w:val="none" w:sz="0" w:space="0" w:color="auto"/>
        <w:left w:val="none" w:sz="0" w:space="0" w:color="auto"/>
        <w:bottom w:val="none" w:sz="0" w:space="0" w:color="auto"/>
        <w:right w:val="none" w:sz="0" w:space="0" w:color="auto"/>
      </w:divBdr>
    </w:div>
    <w:div w:id="2020422850">
      <w:bodyDiv w:val="1"/>
      <w:marLeft w:val="0"/>
      <w:marRight w:val="0"/>
      <w:marTop w:val="0"/>
      <w:marBottom w:val="0"/>
      <w:divBdr>
        <w:top w:val="none" w:sz="0" w:space="0" w:color="auto"/>
        <w:left w:val="none" w:sz="0" w:space="0" w:color="auto"/>
        <w:bottom w:val="none" w:sz="0" w:space="0" w:color="auto"/>
        <w:right w:val="none" w:sz="0" w:space="0" w:color="auto"/>
      </w:divBdr>
    </w:div>
    <w:div w:id="2087258357">
      <w:bodyDiv w:val="1"/>
      <w:marLeft w:val="0"/>
      <w:marRight w:val="0"/>
      <w:marTop w:val="0"/>
      <w:marBottom w:val="0"/>
      <w:divBdr>
        <w:top w:val="none" w:sz="0" w:space="0" w:color="auto"/>
        <w:left w:val="none" w:sz="0" w:space="0" w:color="auto"/>
        <w:bottom w:val="none" w:sz="0" w:space="0" w:color="auto"/>
        <w:right w:val="none" w:sz="0" w:space="0" w:color="auto"/>
      </w:divBdr>
    </w:div>
    <w:div w:id="2096508433">
      <w:bodyDiv w:val="1"/>
      <w:marLeft w:val="0"/>
      <w:marRight w:val="0"/>
      <w:marTop w:val="0"/>
      <w:marBottom w:val="0"/>
      <w:divBdr>
        <w:top w:val="none" w:sz="0" w:space="0" w:color="auto"/>
        <w:left w:val="none" w:sz="0" w:space="0" w:color="auto"/>
        <w:bottom w:val="none" w:sz="0" w:space="0" w:color="auto"/>
        <w:right w:val="none" w:sz="0" w:space="0" w:color="auto"/>
      </w:divBdr>
    </w:div>
    <w:div w:id="2098283554">
      <w:bodyDiv w:val="1"/>
      <w:marLeft w:val="0"/>
      <w:marRight w:val="0"/>
      <w:marTop w:val="0"/>
      <w:marBottom w:val="0"/>
      <w:divBdr>
        <w:top w:val="none" w:sz="0" w:space="0" w:color="auto"/>
        <w:left w:val="none" w:sz="0" w:space="0" w:color="auto"/>
        <w:bottom w:val="none" w:sz="0" w:space="0" w:color="auto"/>
        <w:right w:val="none" w:sz="0" w:space="0" w:color="auto"/>
      </w:divBdr>
    </w:div>
    <w:div w:id="2107193004">
      <w:bodyDiv w:val="1"/>
      <w:marLeft w:val="0"/>
      <w:marRight w:val="0"/>
      <w:marTop w:val="0"/>
      <w:marBottom w:val="0"/>
      <w:divBdr>
        <w:top w:val="none" w:sz="0" w:space="0" w:color="auto"/>
        <w:left w:val="none" w:sz="0" w:space="0" w:color="auto"/>
        <w:bottom w:val="none" w:sz="0" w:space="0" w:color="auto"/>
        <w:right w:val="none" w:sz="0" w:space="0" w:color="auto"/>
      </w:divBdr>
    </w:div>
    <w:div w:id="2116974855">
      <w:bodyDiv w:val="1"/>
      <w:marLeft w:val="0"/>
      <w:marRight w:val="0"/>
      <w:marTop w:val="0"/>
      <w:marBottom w:val="0"/>
      <w:divBdr>
        <w:top w:val="none" w:sz="0" w:space="0" w:color="auto"/>
        <w:left w:val="none" w:sz="0" w:space="0" w:color="auto"/>
        <w:bottom w:val="none" w:sz="0" w:space="0" w:color="auto"/>
        <w:right w:val="none" w:sz="0" w:space="0" w:color="auto"/>
      </w:divBdr>
    </w:div>
    <w:div w:id="21311660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chart" Target="charts/chart14.xml"/><Relationship Id="rId21" Type="http://schemas.openxmlformats.org/officeDocument/2006/relationships/chart" Target="charts/chart9.xml"/><Relationship Id="rId34" Type="http://schemas.openxmlformats.org/officeDocument/2006/relationships/image" Target="media/image2.png"/><Relationship Id="rId42" Type="http://schemas.openxmlformats.org/officeDocument/2006/relationships/chart" Target="charts/chart26.xml"/><Relationship Id="rId47" Type="http://schemas.openxmlformats.org/officeDocument/2006/relationships/image" Target="media/image4.png"/><Relationship Id="rId50" Type="http://schemas.openxmlformats.org/officeDocument/2006/relationships/chart" Target="charts/chart32.xml"/><Relationship Id="rId55" Type="http://schemas.openxmlformats.org/officeDocument/2006/relationships/header" Target="header4.xml"/><Relationship Id="rId63" Type="http://schemas.openxmlformats.org/officeDocument/2006/relationships/header" Target="header8.xml"/><Relationship Id="rId68"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chart" Target="charts/chart4.xml"/><Relationship Id="rId29" Type="http://schemas.openxmlformats.org/officeDocument/2006/relationships/chart" Target="charts/chart17.xml"/><Relationship Id="rId11" Type="http://schemas.openxmlformats.org/officeDocument/2006/relationships/footer" Target="footer2.xml"/><Relationship Id="rId24" Type="http://schemas.openxmlformats.org/officeDocument/2006/relationships/chart" Target="charts/chart12.xml"/><Relationship Id="rId32" Type="http://schemas.microsoft.com/office/2014/relationships/chartEx" Target="charts/chartEx1.xml"/><Relationship Id="rId37" Type="http://schemas.openxmlformats.org/officeDocument/2006/relationships/chart" Target="charts/chart22.xml"/><Relationship Id="rId40" Type="http://schemas.openxmlformats.org/officeDocument/2006/relationships/chart" Target="charts/chart25.xml"/><Relationship Id="rId45" Type="http://schemas.openxmlformats.org/officeDocument/2006/relationships/chart" Target="charts/chart28.xml"/><Relationship Id="rId53" Type="http://schemas.openxmlformats.org/officeDocument/2006/relationships/chart" Target="charts/chart34.xml"/><Relationship Id="rId58" Type="http://schemas.openxmlformats.org/officeDocument/2006/relationships/header" Target="header5.xml"/><Relationship Id="rId66" Type="http://schemas.openxmlformats.org/officeDocument/2006/relationships/header" Target="header10.xml"/><Relationship Id="rId5" Type="http://schemas.openxmlformats.org/officeDocument/2006/relationships/webSettings" Target="webSettings.xml"/><Relationship Id="rId61" Type="http://schemas.openxmlformats.org/officeDocument/2006/relationships/header" Target="header7.xml"/><Relationship Id="rId19" Type="http://schemas.openxmlformats.org/officeDocument/2006/relationships/chart" Target="charts/chart7.xml"/><Relationship Id="rId14" Type="http://schemas.openxmlformats.org/officeDocument/2006/relationships/chart" Target="charts/chart2.xml"/><Relationship Id="rId22" Type="http://schemas.openxmlformats.org/officeDocument/2006/relationships/chart" Target="charts/chart10.xml"/><Relationship Id="rId27" Type="http://schemas.openxmlformats.org/officeDocument/2006/relationships/chart" Target="charts/chart15.xml"/><Relationship Id="rId30" Type="http://schemas.openxmlformats.org/officeDocument/2006/relationships/chart" Target="charts/chart18.xml"/><Relationship Id="rId35" Type="http://schemas.openxmlformats.org/officeDocument/2006/relationships/chart" Target="charts/chart20.xml"/><Relationship Id="rId43" Type="http://schemas.openxmlformats.org/officeDocument/2006/relationships/chart" Target="charts/chart27.xml"/><Relationship Id="rId48" Type="http://schemas.openxmlformats.org/officeDocument/2006/relationships/chart" Target="charts/chart30.xml"/><Relationship Id="rId56" Type="http://schemas.openxmlformats.org/officeDocument/2006/relationships/hyperlink" Target="https://www.cnb.cz/cs/o_cnb/mezinarodni-vztahy/srovnavaci-tabulka/" TargetMode="External"/><Relationship Id="rId64" Type="http://schemas.openxmlformats.org/officeDocument/2006/relationships/header" Target="header9.xml"/><Relationship Id="rId8" Type="http://schemas.openxmlformats.org/officeDocument/2006/relationships/header" Target="header1.xml"/><Relationship Id="rId51" Type="http://schemas.openxmlformats.org/officeDocument/2006/relationships/image" Target="media/image5.png"/><Relationship Id="rId3" Type="http://schemas.openxmlformats.org/officeDocument/2006/relationships/styles" Target="styles.xml"/><Relationship Id="rId12" Type="http://schemas.openxmlformats.org/officeDocument/2006/relationships/footer" Target="footer3.xml"/><Relationship Id="rId17" Type="http://schemas.openxmlformats.org/officeDocument/2006/relationships/chart" Target="charts/chart5.xml"/><Relationship Id="rId25" Type="http://schemas.openxmlformats.org/officeDocument/2006/relationships/chart" Target="charts/chart13.xml"/><Relationship Id="rId33" Type="http://schemas.openxmlformats.org/officeDocument/2006/relationships/image" Target="media/image1.png"/><Relationship Id="rId38" Type="http://schemas.openxmlformats.org/officeDocument/2006/relationships/chart" Target="charts/chart23.xml"/><Relationship Id="rId46" Type="http://schemas.openxmlformats.org/officeDocument/2006/relationships/chart" Target="charts/chart29.xml"/><Relationship Id="rId59" Type="http://schemas.openxmlformats.org/officeDocument/2006/relationships/footer" Target="footer4.xml"/><Relationship Id="rId67" Type="http://schemas.openxmlformats.org/officeDocument/2006/relationships/fontTable" Target="fontTable.xml"/><Relationship Id="rId20" Type="http://schemas.openxmlformats.org/officeDocument/2006/relationships/chart" Target="charts/chart8.xml"/><Relationship Id="rId41" Type="http://schemas.openxmlformats.org/officeDocument/2006/relationships/image" Target="media/image3.png"/><Relationship Id="rId54" Type="http://schemas.openxmlformats.org/officeDocument/2006/relationships/chart" Target="charts/chart35.xml"/><Relationship Id="rId62" Type="http://schemas.openxmlformats.org/officeDocument/2006/relationships/hyperlink" Target="https://vlada.gov.cz/assets/ppov/rvis/zapisy_rvis/DiV_2023.pdf"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chart" Target="charts/chart3.xml"/><Relationship Id="rId23" Type="http://schemas.openxmlformats.org/officeDocument/2006/relationships/chart" Target="charts/chart11.xml"/><Relationship Id="rId28" Type="http://schemas.openxmlformats.org/officeDocument/2006/relationships/chart" Target="charts/chart16.xml"/><Relationship Id="rId36" Type="http://schemas.openxmlformats.org/officeDocument/2006/relationships/chart" Target="charts/chart21.xml"/><Relationship Id="rId49" Type="http://schemas.openxmlformats.org/officeDocument/2006/relationships/chart" Target="charts/chart31.xml"/><Relationship Id="rId57" Type="http://schemas.openxmlformats.org/officeDocument/2006/relationships/hyperlink" Target="https://www.cnb.cz/cs/o_cnb/mezinarodni-vztahy/srovnavaci-tabulka/" TargetMode="External"/><Relationship Id="rId10" Type="http://schemas.openxmlformats.org/officeDocument/2006/relationships/chart" Target="charts/chart1.xml"/><Relationship Id="rId31" Type="http://schemas.openxmlformats.org/officeDocument/2006/relationships/chart" Target="charts/chart19.xml"/><Relationship Id="rId44" Type="http://schemas.openxmlformats.org/officeDocument/2006/relationships/header" Target="header3.xml"/><Relationship Id="rId52" Type="http://schemas.openxmlformats.org/officeDocument/2006/relationships/chart" Target="charts/chart33.xml"/><Relationship Id="rId60" Type="http://schemas.openxmlformats.org/officeDocument/2006/relationships/header" Target="header6.xml"/><Relationship Id="rId65" Type="http://schemas.openxmlformats.org/officeDocument/2006/relationships/footer" Target="footer5.xml"/><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header" Target="header2.xml"/><Relationship Id="rId18" Type="http://schemas.openxmlformats.org/officeDocument/2006/relationships/chart" Target="charts/chart6.xml"/><Relationship Id="rId39" Type="http://schemas.openxmlformats.org/officeDocument/2006/relationships/chart" Target="charts/chart24.xml"/></Relationships>
</file>

<file path=word/_rels/endnotes.xml.rels><?xml version="1.0" encoding="UTF-8" standalone="yes"?>
<Relationships xmlns="http://schemas.openxmlformats.org/package/2006/relationships"><Relationship Id="rId13" Type="http://schemas.openxmlformats.org/officeDocument/2006/relationships/hyperlink" Target="https://vyzkum.gov.cz/FrontClanek.aspx?idsekce=866015" TargetMode="External"/><Relationship Id="rId18" Type="http://schemas.openxmlformats.org/officeDocument/2006/relationships/hyperlink" Target="https://mmr.gov.cz/getmedia/4703af96-bbb7-4fda-8c6d-c5cdfa446526/Teze_Hospodarske_strategie_2020_2030.pdf.aspx" TargetMode="External"/><Relationship Id="rId26" Type="http://schemas.openxmlformats.org/officeDocument/2006/relationships/hyperlink" Target="https://www.imd.org/entity-profile/czech-republic-wcr/" TargetMode="External"/><Relationship Id="rId21" Type="http://schemas.openxmlformats.org/officeDocument/2006/relationships/hyperlink" Target="https://eur-lex.europa.eu/legal-content/CS/TXT/?uri=CELEX%3A52024SC0603&amp;qid=1721888234222" TargetMode="External"/><Relationship Id="rId34" Type="http://schemas.openxmlformats.org/officeDocument/2006/relationships/hyperlink" Target="https://www.edu.cz/strategie-msmt/dlouhodobe-zamery-cr-a-kraju/dz-cr-2023-2027/" TargetMode="External"/><Relationship Id="rId7" Type="http://schemas.openxmlformats.org/officeDocument/2006/relationships/hyperlink" Target="https://www.oecd-ilibrary.org/sites/1686c758-en/1/3/3/index.html?itemId=/content/publication/1686c758-%20en&amp;_csp_=fc80786ea6a3a7b4628d3f05b1e2e5d7&amp;itemIGO=oecd&amp;itemContentType=book" TargetMode="External"/><Relationship Id="rId12" Type="http://schemas.openxmlformats.org/officeDocument/2006/relationships/hyperlink" Target="https://www.cr2030.cz/strategie/wp-content/uploads/sites/2/2024/03/2.-zprava-o-kvalite-zivota.pdf" TargetMode="External"/><Relationship Id="rId17" Type="http://schemas.openxmlformats.org/officeDocument/2006/relationships/hyperlink" Target="https://www.tacr.cz/projekt-inka-vysledky-mapovani-inka2/" TargetMode="External"/><Relationship Id="rId25" Type="http://schemas.openxmlformats.org/officeDocument/2006/relationships/hyperlink" Target="https://ec.europa.eu/eurostat/databrowser/view/tec00114/default/table?lang=en" TargetMode="External"/><Relationship Id="rId33" Type="http://schemas.openxmlformats.org/officeDocument/2006/relationships/hyperlink" Target="https://www.edu.cz/strategie-msmt/s2030/" TargetMode="External"/><Relationship Id="rId38" Type="http://schemas.openxmlformats.org/officeDocument/2006/relationships/hyperlink" Target="https://mzd.gov.cz/wp-content/uploads/2024/05/Prezentace-Strategicke-analyzy-potreb-rezortu-zdravotnictvi.pdf" TargetMode="External"/><Relationship Id="rId2" Type="http://schemas.openxmlformats.org/officeDocument/2006/relationships/hyperlink" Target="https://www.energy.gov/lpo/inflation-reduction-act-2022" TargetMode="External"/><Relationship Id="rId16" Type="http://schemas.openxmlformats.org/officeDocument/2006/relationships/hyperlink" Target="https://vlada.gov.cz/assets/evropske-zalezitosti/aktualne/Zprava-o-realizaci-NPR-2023.pdf" TargetMode="External"/><Relationship Id="rId20" Type="http://schemas.openxmlformats.org/officeDocument/2006/relationships/hyperlink" Target="https://www.oecd-ilibrary.org/sites/e392e937-en/1/2/1/index.html?itemId=/content/publication/e392e937-en&amp;_csp_=c8eb46cbbb2e6de12cd597479833eb72&amp;itemIGO=oecd&amp;itemContentType=book" TargetMode="External"/><Relationship Id="rId29" Type="http://schemas.openxmlformats.org/officeDocument/2006/relationships/hyperlink" Target="https://single-market-scoreboard.ec.europa.eu/countries/czechia_en" TargetMode="External"/><Relationship Id="rId1" Type="http://schemas.openxmlformats.org/officeDocument/2006/relationships/hyperlink" Target="https://www.weforum.org/publications/the-future-of-growth-report/" TargetMode="External"/><Relationship Id="rId6" Type="http://schemas.openxmlformats.org/officeDocument/2006/relationships/hyperlink" Target="https://ec.europa.eu/commission/presscorner/detail/cs/ip_23_510" TargetMode="External"/><Relationship Id="rId11" Type="http://schemas.openxmlformats.org/officeDocument/2006/relationships/hyperlink" Target="https://www.cr2030.cz/wp-content/uploads/2022/02/ZPRA%CC%81VA-O-KVALITE%CC%8C-Z%CC%8CIVOTA-A-JEJI%CC%81-UDRZ%CC%8CITELNOSTI.pdf" TargetMode="External"/><Relationship Id="rId24" Type="http://schemas.openxmlformats.org/officeDocument/2006/relationships/hyperlink" Target="https://www.mfcr.cz/cs/rozpoctova-politika/rizeni-statniho-dluhu/zakladni-informace/rating" TargetMode="External"/><Relationship Id="rId32" Type="http://schemas.openxmlformats.org/officeDocument/2006/relationships/hyperlink" Target="https://www.ipsos.com/en/search?search=Anholt+Ipsos+Nation+Brands+Index" TargetMode="External"/><Relationship Id="rId37" Type="http://schemas.openxmlformats.org/officeDocument/2006/relationships/hyperlink" Target="https://www.nzip.cz/data/koncepce2025/koncepce2025.pdf" TargetMode="External"/><Relationship Id="rId5" Type="http://schemas.openxmlformats.org/officeDocument/2006/relationships/hyperlink" Target="https://www.consilium.europa.eu/cs/policies/green-deal/fit-for-55-the-eu-plan-for-a-green-transition/" TargetMode="External"/><Relationship Id="rId15" Type="http://schemas.openxmlformats.org/officeDocument/2006/relationships/hyperlink" Target="https://www.vlada.cz/assets/evropske-zalezitosti/aktualne/Zprava-o-realizaci-NPR-2022.pdf" TargetMode="External"/><Relationship Id="rId23" Type="http://schemas.openxmlformats.org/officeDocument/2006/relationships/hyperlink" Target="https://www.imf.org/en/News/Articles/2024/01/25/pr2426-czech-republic-imf-executive-board-concludes-2023-article-iv-consultation" TargetMode="External"/><Relationship Id="rId28" Type="http://schemas.openxmlformats.org/officeDocument/2006/relationships/hyperlink" Target="https://research-and-innovation.ec.europa.eu/statistics/performance-indicators/european-innovation-scoreboard_en" TargetMode="External"/><Relationship Id="rId36" Type="http://schemas.openxmlformats.org/officeDocument/2006/relationships/hyperlink" Target="https://www.databaze-strategie.cz/cz/mzd/strategie?_gl=1*btf1tt*_ga*NTY4NTI5MjQ4LjE3MTAzMjMxMjM.*_ga_6H7D0HCDXV*MTcxNzA3MTM2My4yNC4xLjE3MTcwNzEzNjguNTUuMC4w" TargetMode="External"/><Relationship Id="rId10" Type="http://schemas.openxmlformats.org/officeDocument/2006/relationships/hyperlink" Target="https://www.cr2030.cz/strategie/" TargetMode="External"/><Relationship Id="rId19" Type="http://schemas.openxmlformats.org/officeDocument/2006/relationships/hyperlink" Target="https://www.planobnovycr.cz/" TargetMode="External"/><Relationship Id="rId31" Type="http://schemas.openxmlformats.org/officeDocument/2006/relationships/hyperlink" Target="https://www.oecdbetterlifeindex.org/" TargetMode="External"/><Relationship Id="rId4" Type="http://schemas.openxmlformats.org/officeDocument/2006/relationships/hyperlink" Target="https://commission.europa.eu/strategy-and-policy/priorities-2019-2024/european-green-deal_cs" TargetMode="External"/><Relationship Id="rId9" Type="http://schemas.openxmlformats.org/officeDocument/2006/relationships/hyperlink" Target="https://www.mfcr.cz/cs/rozpoctova-politika/makroekonomika/fiskalni-vyhled/2023/fiskalni-vyhled-cr-listopad-2023-53585" TargetMode="External"/><Relationship Id="rId14" Type="http://schemas.openxmlformats.org/officeDocument/2006/relationships/hyperlink" Target="https://www.ris3.cz/sites/default/files/2023-07/A_RIS3-Strategie_aktu%C3%A1ln%C3%AD.pdf" TargetMode="External"/><Relationship Id="rId22" Type="http://schemas.openxmlformats.org/officeDocument/2006/relationships/hyperlink" Target="https://ec.europa.eu/economy_finance/country-specific-recommendations-database/" TargetMode="External"/><Relationship Id="rId27" Type="http://schemas.openxmlformats.org/officeDocument/2006/relationships/hyperlink" Target="https://digital-decade-desi.digital-strategy.ec.europa.eu/datasets/desi/charts" TargetMode="External"/><Relationship Id="rId30" Type="http://schemas.openxmlformats.org/officeDocument/2006/relationships/hyperlink" Target="https://www.worldbank.org/en/businessready" TargetMode="External"/><Relationship Id="rId35" Type="http://schemas.openxmlformats.org/officeDocument/2006/relationships/hyperlink" Target="https://www.edu.cz/strategie-msmt/mladez-v-pohybu-a-ve-zdravi-2024-2028/" TargetMode="External"/><Relationship Id="rId8" Type="http://schemas.openxmlformats.org/officeDocument/2006/relationships/hyperlink" Target="https://hdr.undp.org/data-center/specific-country-data" TargetMode="External"/><Relationship Id="rId3" Type="http://schemas.openxmlformats.org/officeDocument/2006/relationships/hyperlink" Target="https://asiasociety.org/policy-institute/china-climate-introduction-weaving-chinas-climate-policy-tapestry" TargetMode="External"/></Relationships>
</file>

<file path=word/charts/_rels/chart1.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frhome\data$\21100\_HLAVN&#205;%20&#218;KOLY\HOSPOD&#193;&#344;SK&#193;%20STRATEGIE\KAPITOLY_TEXTY\Archiv\01_&#250;vodn&#237;%20kapitola\20240514%20Makro%20kapitola_grafy.xlsx" TargetMode="External"/></Relationships>
</file>

<file path=word/charts/_rels/chart2.xml.rels><?xml version="1.0" encoding="UTF-8" standalone="yes"?>
<Relationships xmlns="http://schemas.openxmlformats.org/package/2006/relationships"><Relationship Id="rId3" Type="http://schemas.openxmlformats.org/officeDocument/2006/relationships/oleObject" Target="file:///C:\Users\papai\AppData\Local\Microsoft\Windows\INetCache\Content.Outlook\BRVK00F7\20240429%20Makro%20kapitola_grafy.xlsx" TargetMode="External"/><Relationship Id="rId2" Type="http://schemas.microsoft.com/office/2011/relationships/chartColorStyle" Target="colors1.xml"/><Relationship Id="rId1" Type="http://schemas.microsoft.com/office/2011/relationships/chartStyle" Target="style1.xml"/></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oleObject" Target="file:///\\frhome\data$\21100\_HLAVN&#205;%20&#218;KOLY\HOSPOD&#193;&#344;SK&#193;%20STRATEGIE\&#250;vodn&#237;%20kapitola\Kopie%20-%20Kopie%20-%20HS_V&#253;voj%20ekonomiky_.xlsx" TargetMode="External"/></Relationships>
</file>

<file path=word/charts/_rels/chart4.xml.rels><?xml version="1.0" encoding="UTF-8" standalone="yes"?>
<Relationships xmlns="http://schemas.openxmlformats.org/package/2006/relationships"><Relationship Id="rId3" Type="http://schemas.openxmlformats.org/officeDocument/2006/relationships/oleObject" Target="file:///D:\Users\ODBOR_Ekonomick&#253;ch_anal&#253;z\_V&#221;STUPY\_HLAVN&#205;%20&#218;KOLY\HOSPOD&#193;&#344;SK&#193;%20STRATEGIE\_VONDR&#193;&#268;KOV&#193;_Veronika\V&#221;STUP\Hotovo_20240430\20240429%20Makro%20kapitola_grafy.xlsx" TargetMode="External"/><Relationship Id="rId2" Type="http://schemas.microsoft.com/office/2011/relationships/chartColorStyle" Target="colors3.xml"/><Relationship Id="rId1" Type="http://schemas.microsoft.com/office/2011/relationships/chartStyle" Target="style3.xml"/></Relationships>
</file>

<file path=word/charts/_rels/chart5.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oleObject" Target="file:///\\frhome\data$\21100\_HLAVN&#205;%20&#218;KOLY\HOSPOD&#193;&#344;SK&#193;%20STRATEGIE\&#250;vodn&#237;%20kapitola\Kopie%20-%20Kopie%20-%20HS_V&#253;voj%20ekonomiky_.xlsx" TargetMode="External"/></Relationships>
</file>

<file path=word/charts/_rels/chart6.xml.rels><?xml version="1.0" encoding="UTF-8" standalone="yes"?>
<Relationships xmlns="http://schemas.openxmlformats.org/package/2006/relationships"><Relationship Id="rId3" Type="http://schemas.openxmlformats.org/officeDocument/2006/relationships/oleObject" Target="file:///\\frhome\data$\21100\_HLAVN&#205;%20&#218;KOLY\HOSPOD&#193;&#344;SK&#193;%20STRATEGIE\&#250;vodn&#237;%20kapitola\Kopie%20-%20Kopie%20-%20HS_V&#253;voj%20ekonomiky_.xlsx" TargetMode="External"/><Relationship Id="rId2" Type="http://schemas.microsoft.com/office/2011/relationships/chartColorStyle" Target="colors5.xml"/><Relationship Id="rId1" Type="http://schemas.microsoft.com/office/2011/relationships/chartStyle" Target="style5.xml"/></Relationships>
</file>

<file path=word/charts/_rels/chart7.xml.rels><?xml version="1.0" encoding="UTF-8" standalone="yes"?>
<Relationships xmlns="http://schemas.openxmlformats.org/package/2006/relationships"><Relationship Id="rId1" Type="http://schemas.openxmlformats.org/officeDocument/2006/relationships/oleObject" Target="file:///\\frhome\data$\21100\_HLAVN&#205;%20&#218;KOLY\HOSPOD&#193;&#344;SK&#193;%20STRATEGIE\&#250;vodn&#237;%20kapitola\HS_V&#253;voj%20ekonomiky_grafy.xlsx" TargetMode="External"/></Relationships>
</file>

<file path=word/charts/_rels/chart8.xml.rels><?xml version="1.0" encoding="UTF-8" standalone="yes"?>
<Relationships xmlns="http://schemas.openxmlformats.org/package/2006/relationships"><Relationship Id="rId3" Type="http://schemas.openxmlformats.org/officeDocument/2006/relationships/oleObject" Target="file:///\\frhome\data$\21100\_HLAVN&#205;%20&#218;KOLY\HOSPOD&#193;&#344;SK&#193;%20STRATEGIE\&#250;vodn&#237;%20kapitola\Kopie%20-%20Kopie%20-%20HS_V&#253;voj%20ekonomiky_.xlsx" TargetMode="External"/><Relationship Id="rId2" Type="http://schemas.microsoft.com/office/2011/relationships/chartColorStyle" Target="colors6.xml"/><Relationship Id="rId1" Type="http://schemas.microsoft.com/office/2011/relationships/chartStyle" Target="style6.xml"/></Relationships>
</file>

<file path=word/charts/_rels/chart9.xml.rels><?xml version="1.0" encoding="UTF-8" standalone="yes"?>
<Relationships xmlns="http://schemas.openxmlformats.org/package/2006/relationships"><Relationship Id="rId1" Type="http://schemas.openxmlformats.org/officeDocument/2006/relationships/oleObject" Target="file:///\\frhome\data$\21100\_HLAVN&#205;%20&#218;KOLY\HOSPOD&#193;&#344;SK&#193;%20STRATEGIE\&#250;vodn&#237;%20kapitola\HS_V&#253;voj%20ekonomiky_grafy.xlsx" TargetMode="External"/></Relationships>
</file>

<file path=word/charts/_rels/chart10.xml.rels><?xml version="1.0" encoding="UTF-8" standalone="yes"?>
<Relationships xmlns="http://schemas.openxmlformats.org/package/2006/relationships"><Relationship Id="rId3" Type="http://schemas.openxmlformats.org/officeDocument/2006/relationships/oleObject" Target="file:///\\frhome\data$\21100\_HLAVN&#205;%20&#218;KOLY\HOSPOD&#193;&#344;SK&#193;%20STRATEGIE\KAPITOLY_TEXTY\01_&#250;vodn&#237;%20kapitola\20240429%20Makro%20kapitola_grafy.xlsx" TargetMode="External"/><Relationship Id="rId2" Type="http://schemas.microsoft.com/office/2011/relationships/chartColorStyle" Target="colors7.xml"/><Relationship Id="rId1" Type="http://schemas.microsoft.com/office/2011/relationships/chartStyle" Target="style7.xml"/></Relationships>
</file>

<file path=word/charts/_rels/chart11.xml.rels><?xml version="1.0" encoding="UTF-8" standalone="yes"?>
<Relationships xmlns="http://schemas.openxmlformats.org/package/2006/relationships"><Relationship Id="rId3" Type="http://schemas.openxmlformats.org/officeDocument/2006/relationships/oleObject" Target="file:///\\frhome\home$\silhanova\Dokumenty\Kopie%20-%20Kopie%20-%20HS_V&#253;voj%20ekonomiky_.xlsx" TargetMode="External"/><Relationship Id="rId2" Type="http://schemas.microsoft.com/office/2011/relationships/chartColorStyle" Target="colors8.xml"/><Relationship Id="rId1" Type="http://schemas.microsoft.com/office/2011/relationships/chartStyle" Target="style8.xml"/></Relationships>
</file>

<file path=word/charts/_rels/chart12.xml.rels><?xml version="1.0" encoding="UTF-8" standalone="yes"?>
<Relationships xmlns="http://schemas.openxmlformats.org/package/2006/relationships"><Relationship Id="rId3" Type="http://schemas.openxmlformats.org/officeDocument/2006/relationships/oleObject" Target="file:///\\frhome\data$\21100\_HLAVN&#205;%20&#218;KOLY\HOSPOD&#193;&#344;SK&#193;%20STRATEGIE\&#250;vodn&#237;%20kapitola\HS_V&#253;voj%20ekonomiky_grafy.xlsx" TargetMode="External"/><Relationship Id="rId2" Type="http://schemas.microsoft.com/office/2011/relationships/chartColorStyle" Target="colors9.xml"/><Relationship Id="rId1" Type="http://schemas.microsoft.com/office/2011/relationships/chartStyle" Target="style9.xml"/></Relationships>
</file>

<file path=word/charts/_rels/chart13.xml.rels><?xml version="1.0" encoding="UTF-8" standalone="yes"?>
<Relationships xmlns="http://schemas.openxmlformats.org/package/2006/relationships"><Relationship Id="rId3" Type="http://schemas.openxmlformats.org/officeDocument/2006/relationships/oleObject" Target="file:///C:\Users\hronza\AppData\Local\Microsoft\Windows\INetCache\Content.Outlook\FKPR0I11\HS.xlsx" TargetMode="External"/><Relationship Id="rId2" Type="http://schemas.microsoft.com/office/2011/relationships/chartColorStyle" Target="colors10.xml"/><Relationship Id="rId1" Type="http://schemas.microsoft.com/office/2011/relationships/chartStyle" Target="style10.xml"/></Relationships>
</file>

<file path=word/charts/_rels/chart14.xml.rels><?xml version="1.0" encoding="UTF-8" standalone="yes"?>
<Relationships xmlns="http://schemas.openxmlformats.org/package/2006/relationships"><Relationship Id="rId3" Type="http://schemas.openxmlformats.org/officeDocument/2006/relationships/oleObject" Target="file:///\\frhome\data$\21100\_HLAVN&#205;%20&#218;KOLY\HOSPOD&#193;&#344;SK&#193;%20STRATEGIE\KAPITOLY_TEXTY\_VV_graf\HS&#268;R_graf_Mzdy_HPH.xlsx" TargetMode="External"/><Relationship Id="rId2" Type="http://schemas.microsoft.com/office/2011/relationships/chartColorStyle" Target="colors11.xml"/><Relationship Id="rId1" Type="http://schemas.microsoft.com/office/2011/relationships/chartStyle" Target="style11.xml"/></Relationships>
</file>

<file path=word/charts/_rels/chart15.xml.rels><?xml version="1.0" encoding="UTF-8" standalone="yes"?>
<Relationships xmlns="http://schemas.openxmlformats.org/package/2006/relationships"><Relationship Id="rId3" Type="http://schemas.openxmlformats.org/officeDocument/2006/relationships/oleObject" Target="file:///\\frhome\data$\21100\_HLAVN&#205;%20&#218;KOLY\HOSPOD&#193;&#344;SK&#193;%20STRATEGIE\KAPITOLY_TEXTY\_VV_graf\HS&#268;R_graf_Mzdy_HPH.xlsx" TargetMode="External"/><Relationship Id="rId2" Type="http://schemas.microsoft.com/office/2011/relationships/chartColorStyle" Target="colors12.xml"/><Relationship Id="rId1" Type="http://schemas.microsoft.com/office/2011/relationships/chartStyle" Target="style12.xml"/></Relationships>
</file>

<file path=word/charts/_rels/chart16.xml.rels><?xml version="1.0" encoding="UTF-8" standalone="yes"?>
<Relationships xmlns="http://schemas.openxmlformats.org/package/2006/relationships"><Relationship Id="rId3" Type="http://schemas.openxmlformats.org/officeDocument/2006/relationships/oleObject" Target="file:///\\frhome\data$\21100\_HLAVN&#205;%20&#218;KOLY\HOSPOD&#193;&#344;SK&#193;%20STRATEGIE\KAPITOLY_TEXTY\01_&#250;vodn&#237;%20kapitola\OECD_real_wage_growth.xlsx" TargetMode="External"/><Relationship Id="rId2" Type="http://schemas.microsoft.com/office/2011/relationships/chartColorStyle" Target="colors13.xml"/><Relationship Id="rId1" Type="http://schemas.microsoft.com/office/2011/relationships/chartStyle" Target="style13.xml"/></Relationships>
</file>

<file path=word/charts/_rels/chart17.xml.rels><?xml version="1.0" encoding="UTF-8" standalone="yes"?>
<Relationships xmlns="http://schemas.openxmlformats.org/package/2006/relationships"><Relationship Id="rId3" Type="http://schemas.openxmlformats.org/officeDocument/2006/relationships/oleObject" Target="file:///\\frhome\data$\21100\_HLAVN&#205;%20&#218;KOLY\HOSPOD&#193;&#344;SK&#193;%20STRATEGIE\KAPITOLY_TEXTY\01_&#250;vodn&#237;%20kapitola\data\dividendy\20240614%20CNB%20PZI_odv&#283;tv&#237;_pod&#237;lHDP.xlsx" TargetMode="External"/><Relationship Id="rId2" Type="http://schemas.microsoft.com/office/2011/relationships/chartColorStyle" Target="colors14.xml"/><Relationship Id="rId1" Type="http://schemas.microsoft.com/office/2011/relationships/chartStyle" Target="style14.xml"/></Relationships>
</file>

<file path=word/charts/_rels/chart18.xml.rels><?xml version="1.0" encoding="UTF-8" standalone="yes"?>
<Relationships xmlns="http://schemas.openxmlformats.org/package/2006/relationships"><Relationship Id="rId3" Type="http://schemas.openxmlformats.org/officeDocument/2006/relationships/oleObject" Target="file:///\\frhome\data$\21100\_HLAVN&#205;%20&#218;KOLY\HOSPOD&#193;&#344;SK&#193;%20STRATEGIE\KAPITOLY_TEXTY\01_&#250;vodn&#237;%20kapitola\data\dividendy\20240614%20CNB_PZI_all.xlsx" TargetMode="External"/><Relationship Id="rId2" Type="http://schemas.microsoft.com/office/2011/relationships/chartColorStyle" Target="colors15.xml"/><Relationship Id="rId1" Type="http://schemas.microsoft.com/office/2011/relationships/chartStyle" Target="style15.xml"/></Relationships>
</file>

<file path=word/charts/_rels/chart19.xml.rels><?xml version="1.0" encoding="UTF-8" standalone="yes"?>
<Relationships xmlns="http://schemas.openxmlformats.org/package/2006/relationships"><Relationship Id="rId3" Type="http://schemas.openxmlformats.org/officeDocument/2006/relationships/oleObject" Target="file:///\\frhome\data$\21100\_HLAVN&#205;%20&#218;KOLY\HOSPOD&#193;&#344;SK&#193;%20STRATEGIE\KAPITOLY_TEXTY\01_&#250;vodn&#237;%20kapitola\data\dividendy\20240523%20OECD_dividendy_v2.xlsx" TargetMode="External"/><Relationship Id="rId2" Type="http://schemas.microsoft.com/office/2011/relationships/chartColorStyle" Target="colors16.xml"/><Relationship Id="rId1" Type="http://schemas.microsoft.com/office/2011/relationships/chartStyle" Target="style16.xml"/></Relationships>
</file>

<file path=word/charts/_rels/chart20.xml.rels><?xml version="1.0" encoding="UTF-8" standalone="yes"?>
<Relationships xmlns="http://schemas.openxmlformats.org/package/2006/relationships"><Relationship Id="rId3" Type="http://schemas.openxmlformats.org/officeDocument/2006/relationships/oleObject" Target="file:///\\frhome\data$\21100\FA\__Akutni\240215_Produktivita_prace\output_quartiles_20240226_22.xlsx" TargetMode="External"/><Relationship Id="rId2" Type="http://schemas.microsoft.com/office/2011/relationships/chartColorStyle" Target="colors18.xml"/><Relationship Id="rId1" Type="http://schemas.microsoft.com/office/2011/relationships/chartStyle" Target="style18.xml"/></Relationships>
</file>

<file path=word/charts/_rels/chart21.xml.rels><?xml version="1.0" encoding="UTF-8" standalone="yes"?>
<Relationships xmlns="http://schemas.openxmlformats.org/package/2006/relationships"><Relationship Id="rId3" Type="http://schemas.openxmlformats.org/officeDocument/2006/relationships/oleObject" Target="file:///C:\Users\hronza\AppData\Local\Microsoft\Windows\INetCache\Content.Outlook\FKPR0I11\TiVA_HS.xlsx" TargetMode="External"/><Relationship Id="rId2" Type="http://schemas.microsoft.com/office/2011/relationships/chartColorStyle" Target="colors19.xml"/><Relationship Id="rId1" Type="http://schemas.microsoft.com/office/2011/relationships/chartStyle" Target="style19.xml"/></Relationships>
</file>

<file path=word/charts/_rels/chart22.xml.rels><?xml version="1.0" encoding="UTF-8" standalone="yes"?>
<Relationships xmlns="http://schemas.openxmlformats.org/package/2006/relationships"><Relationship Id="rId3" Type="http://schemas.openxmlformats.org/officeDocument/2006/relationships/oleObject" Target="file:///\\frhome\data$\21100\_HLAVN&#205;%20&#218;KOLY\HOSPOD&#193;&#344;SK&#193;%20STRATEGIE\KAPITOLY_TEXTY\01_&#250;vodn&#237;%20kapitola\data\ROE_dom_zahr.xlsx" TargetMode="External"/><Relationship Id="rId2" Type="http://schemas.microsoft.com/office/2011/relationships/chartColorStyle" Target="colors20.xml"/><Relationship Id="rId1" Type="http://schemas.microsoft.com/office/2011/relationships/chartStyle" Target="style20.xml"/></Relationships>
</file>

<file path=word/charts/_rels/chart23.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21.xml"/><Relationship Id="rId1" Type="http://schemas.microsoft.com/office/2011/relationships/chartStyle" Target="style21.xml"/><Relationship Id="rId4" Type="http://schemas.openxmlformats.org/officeDocument/2006/relationships/package" Target="../embeddings/Microsoft_Excel_Worksheet.xlsx"/></Relationships>
</file>

<file path=word/charts/_rels/chart24.xml.rels><?xml version="1.0" encoding="UTF-8" standalone="yes"?>
<Relationships xmlns="http://schemas.openxmlformats.org/package/2006/relationships"><Relationship Id="rId3" Type="http://schemas.openxmlformats.org/officeDocument/2006/relationships/oleObject" Target="file:///\\frhome\data$\21100\_HLAVN&#205;%20&#218;KOLY\HOSPOD&#193;&#344;SK&#193;%20STRATEGIE\KAPITOLY_TEXTY\01_&#250;vodn&#237;%20kapitola\data\sdg_08_11_page_spreadsheet.xlsx" TargetMode="External"/><Relationship Id="rId2" Type="http://schemas.microsoft.com/office/2011/relationships/chartColorStyle" Target="colors22.xml"/><Relationship Id="rId1" Type="http://schemas.microsoft.com/office/2011/relationships/chartStyle" Target="style22.xml"/></Relationships>
</file>

<file path=word/charts/_rels/chart25.xml.rels><?xml version="1.0" encoding="UTF-8" standalone="yes"?>
<Relationships xmlns="http://schemas.openxmlformats.org/package/2006/relationships"><Relationship Id="rId3" Type="http://schemas.openxmlformats.org/officeDocument/2006/relationships/oleObject" Target="file:///\\frhome\data$\21100\_HLAVN&#205;%20&#218;KOLY\HOSPOD&#193;&#344;SK&#193;%20STRATEGIE\KAPITOLY_TEXTY\01_&#250;vodn&#237;%20kapitola\data\sdg_08_11_page_spreadsheet.xlsx" TargetMode="External"/><Relationship Id="rId2" Type="http://schemas.microsoft.com/office/2011/relationships/chartColorStyle" Target="colors23.xml"/><Relationship Id="rId1" Type="http://schemas.microsoft.com/office/2011/relationships/chartStyle" Target="style23.xml"/></Relationships>
</file>

<file path=word/charts/_rels/chart26.xml.rels><?xml version="1.0" encoding="UTF-8" standalone="yes"?>
<Relationships xmlns="http://schemas.openxmlformats.org/package/2006/relationships"><Relationship Id="rId3" Type="http://schemas.openxmlformats.org/officeDocument/2006/relationships/oleObject" Target="file:///\\frhome\data$\21100\FA\__Akutni\240215_Produktivita_prace\output_quartiles_20240226_22.xlsx" TargetMode="External"/><Relationship Id="rId2" Type="http://schemas.microsoft.com/office/2011/relationships/chartColorStyle" Target="colors24.xml"/><Relationship Id="rId1" Type="http://schemas.microsoft.com/office/2011/relationships/chartStyle" Target="style24.xml"/></Relationships>
</file>

<file path=word/charts/_rels/chart27.xml.rels><?xml version="1.0" encoding="UTF-8" standalone="yes"?>
<Relationships xmlns="http://schemas.openxmlformats.org/package/2006/relationships"><Relationship Id="rId3" Type="http://schemas.openxmlformats.org/officeDocument/2006/relationships/oleObject" Target="file:///\\frhome\data$\21100\FA\__Akutni\240215_Produktivita_prace\output_quartiles_20240226_22.xlsx" TargetMode="External"/><Relationship Id="rId2" Type="http://schemas.microsoft.com/office/2011/relationships/chartColorStyle" Target="colors25.xml"/><Relationship Id="rId1" Type="http://schemas.microsoft.com/office/2011/relationships/chartStyle" Target="style25.xml"/></Relationships>
</file>

<file path=word/charts/_rels/chart28.xml.rels><?xml version="1.0" encoding="UTF-8" standalone="yes"?>
<Relationships xmlns="http://schemas.openxmlformats.org/package/2006/relationships"><Relationship Id="rId3" Type="http://schemas.openxmlformats.org/officeDocument/2006/relationships/oleObject" Target="file:///\\frhome\data$\21100\_HLAVN&#205;%20&#218;KOLY\HOSPOD&#193;&#344;SK&#193;%20STRATEGIE\KAPITOLY_TEXTY\07_regio\Region&#225;ln&#237;%20dimenze.1.xlsx" TargetMode="External"/><Relationship Id="rId2" Type="http://schemas.microsoft.com/office/2011/relationships/chartColorStyle" Target="colors26.xml"/><Relationship Id="rId1" Type="http://schemas.microsoft.com/office/2011/relationships/chartStyle" Target="style26.xml"/></Relationships>
</file>

<file path=word/charts/_rels/chart29.xml.rels><?xml version="1.0" encoding="UTF-8" standalone="yes"?>
<Relationships xmlns="http://schemas.openxmlformats.org/package/2006/relationships"><Relationship Id="rId3" Type="http://schemas.openxmlformats.org/officeDocument/2006/relationships/oleObject" Target="file:///\\frhome\data$\21100\_HLAVN&#205;%20&#218;KOLY\HOSPOD&#193;&#344;SK&#193;%20STRATEGIE\KAPITOLY_TEXTY\01_&#250;vodn&#237;%20kapitola\20240514%20Makro%20kapitola_grafy.xlsx" TargetMode="External"/><Relationship Id="rId2" Type="http://schemas.microsoft.com/office/2011/relationships/chartColorStyle" Target="colors27.xml"/><Relationship Id="rId1" Type="http://schemas.microsoft.com/office/2011/relationships/chartStyle" Target="style27.xml"/></Relationships>
</file>

<file path=word/charts/_rels/chart30.xml.rels><?xml version="1.0" encoding="UTF-8" standalone="yes"?>
<Relationships xmlns="http://schemas.openxmlformats.org/package/2006/relationships"><Relationship Id="rId3" Type="http://schemas.openxmlformats.org/officeDocument/2006/relationships/oleObject" Target="file:///\\frhome\data$\21100\_HLAVN&#205;%20&#218;KOLY\HOSPOD&#193;&#344;SK&#193;%20STRATEGIE\KAPITOLY_TEXTY\07_regio\Region&#225;ln&#237;%20dimenze.1.xlsx" TargetMode="External"/><Relationship Id="rId2" Type="http://schemas.microsoft.com/office/2011/relationships/chartColorStyle" Target="colors28.xml"/><Relationship Id="rId1" Type="http://schemas.microsoft.com/office/2011/relationships/chartStyle" Target="style28.xml"/></Relationships>
</file>

<file path=word/charts/_rels/chart31.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29.xml"/><Relationship Id="rId1" Type="http://schemas.microsoft.com/office/2011/relationships/chartStyle" Target="style29.xml"/><Relationship Id="rId4" Type="http://schemas.openxmlformats.org/officeDocument/2006/relationships/package" Target="../embeddings/Microsoft_Excel_Worksheet1.xlsx"/></Relationships>
</file>

<file path=word/charts/_rels/chart32.xml.rels><?xml version="1.0" encoding="UTF-8" standalone="yes"?>
<Relationships xmlns="http://schemas.openxmlformats.org/package/2006/relationships"><Relationship Id="rId3" Type="http://schemas.openxmlformats.org/officeDocument/2006/relationships/oleObject" Target="file:///\\frhome\data$\21100\_HLAVN&#205;%20&#218;KOLY\HOSPOD&#193;&#344;SK&#193;%20STRATEGIE\KAPITOLY_TEXTY\01_&#250;vodn&#237;%20kapitola\data\Eurostat_POP%20projection.xlsx" TargetMode="External"/><Relationship Id="rId2" Type="http://schemas.microsoft.com/office/2011/relationships/chartColorStyle" Target="colors30.xml"/><Relationship Id="rId1" Type="http://schemas.microsoft.com/office/2011/relationships/chartStyle" Target="style30.xml"/></Relationships>
</file>

<file path=word/charts/_rels/chart33.xml.rels><?xml version="1.0" encoding="UTF-8" standalone="yes"?>
<Relationships xmlns="http://schemas.openxmlformats.org/package/2006/relationships"><Relationship Id="rId3" Type="http://schemas.openxmlformats.org/officeDocument/2006/relationships/oleObject" Target="file:///D:\Users\ODBOR_Ekonomick&#253;ch_anal&#253;z\_V&#221;STUPY\_HLAVN&#205;%20&#218;KOLY\HOSPOD&#193;&#344;SK&#193;%20STRATEGIE\_VONDR&#193;&#268;KOV&#193;_Veronika\V&#221;STUP\Podklady\01_01__Lidsk&#253;_kapit&#225;l\patd08.xlsx" TargetMode="External"/><Relationship Id="rId2" Type="http://schemas.microsoft.com/office/2011/relationships/chartColorStyle" Target="colors31.xml"/><Relationship Id="rId1" Type="http://schemas.microsoft.com/office/2011/relationships/chartStyle" Target="style31.xml"/></Relationships>
</file>

<file path=word/charts/_rels/chart34.xml.rels><?xml version="1.0" encoding="UTF-8" standalone="yes"?>
<Relationships xmlns="http://schemas.openxmlformats.org/package/2006/relationships"><Relationship Id="rId3" Type="http://schemas.openxmlformats.org/officeDocument/2006/relationships/oleObject" Target="file:///D:\Users\ODBOR_Ekonomick&#253;ch_anal&#253;z\_V&#221;STUPY\_HLAVN&#205;%20&#218;KOLY\HOSPOD&#193;&#344;SK&#193;%20STRATEGIE\_VONDR&#193;&#268;KOV&#193;_Veronika\V&#221;STUP\Podklady\01_01_\01_01_HS_Tabulky_Vondr&#225;&#269;kov&#225;Veronika_02.xlsx" TargetMode="External"/><Relationship Id="rId2" Type="http://schemas.microsoft.com/office/2011/relationships/chartColorStyle" Target="colors32.xml"/><Relationship Id="rId1" Type="http://schemas.microsoft.com/office/2011/relationships/chartStyle" Target="style32.xml"/></Relationships>
</file>

<file path=word/charts/_rels/chart35.xml.rels><?xml version="1.0" encoding="UTF-8" standalone="yes"?>
<Relationships xmlns="http://schemas.openxmlformats.org/package/2006/relationships"><Relationship Id="rId3" Type="http://schemas.openxmlformats.org/officeDocument/2006/relationships/oleObject" Target="file:///D:\Users\ODBOR_Ekonomick&#253;ch_anal&#253;z\_V&#221;STUPY\_HLAVN&#205;%20&#218;KOLY\HOSPOD&#193;&#344;SK&#193;%20STRATEGIE\_VONDR&#193;&#268;KOV&#193;_Veronika\V&#221;STUP\Podklady\01_01__Lidsk&#253;_kapit&#225;l\h87wiz.xlsx" TargetMode="External"/><Relationship Id="rId2" Type="http://schemas.microsoft.com/office/2011/relationships/chartColorStyle" Target="colors33.xml"/><Relationship Id="rId1" Type="http://schemas.microsoft.com/office/2011/relationships/chartStyle" Target="style33.xml"/></Relationships>
</file>

<file path=word/charts/_rels/chartEx1.xml.rels><?xml version="1.0" encoding="UTF-8" standalone="yes"?>
<Relationships xmlns="http://schemas.openxmlformats.org/package/2006/relationships"><Relationship Id="rId3" Type="http://schemas.microsoft.com/office/2011/relationships/chartColorStyle" Target="colors17.xml"/><Relationship Id="rId2" Type="http://schemas.microsoft.com/office/2011/relationships/chartStyle" Target="style17.xml"/><Relationship Id="rId1" Type="http://schemas.openxmlformats.org/officeDocument/2006/relationships/oleObject" Target="file:///\\frhome\data$\21100\_HLAVN&#205;%20&#218;KOLY\HOSPOD&#193;&#344;SK&#193;%20STRATEGIE\KAPITOLY_TEXTY\Archiv\01_&#250;vodn&#237;%20kapitola\data\data%20mapy.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ubbleChart>
        <c:varyColors val="0"/>
        <c:ser>
          <c:idx val="0"/>
          <c:order val="0"/>
          <c:spPr>
            <a:solidFill>
              <a:schemeClr val="accent3">
                <a:lumMod val="20000"/>
                <a:lumOff val="80000"/>
              </a:schemeClr>
            </a:solidFill>
            <a:ln w="12700">
              <a:solidFill>
                <a:schemeClr val="accent3">
                  <a:alpha val="50000"/>
                </a:schemeClr>
              </a:solidFill>
            </a:ln>
            <a:effectLst/>
          </c:spPr>
          <c:invertIfNegative val="0"/>
          <c:dPt>
            <c:idx val="5"/>
            <c:invertIfNegative val="0"/>
            <c:bubble3D val="0"/>
            <c:spPr>
              <a:solidFill>
                <a:schemeClr val="accent1">
                  <a:lumMod val="20000"/>
                  <a:lumOff val="80000"/>
                </a:schemeClr>
              </a:solidFill>
              <a:ln w="12700">
                <a:solidFill>
                  <a:schemeClr val="accent1">
                    <a:alpha val="50000"/>
                  </a:schemeClr>
                </a:solidFill>
              </a:ln>
              <a:effectLst/>
            </c:spPr>
            <c:extLst>
              <c:ext xmlns:c16="http://schemas.microsoft.com/office/drawing/2014/chart" uri="{C3380CC4-5D6E-409C-BE32-E72D297353CC}">
                <c16:uniqueId val="{00000001-BC89-4985-94A3-678089C099D4}"/>
              </c:ext>
            </c:extLst>
          </c:dPt>
          <c:dPt>
            <c:idx val="6"/>
            <c:invertIfNegative val="0"/>
            <c:bubble3D val="0"/>
            <c:spPr>
              <a:solidFill>
                <a:schemeClr val="accent1">
                  <a:lumMod val="20000"/>
                  <a:lumOff val="80000"/>
                </a:schemeClr>
              </a:solidFill>
              <a:ln w="12700">
                <a:solidFill>
                  <a:schemeClr val="accent1">
                    <a:alpha val="50000"/>
                  </a:schemeClr>
                </a:solidFill>
              </a:ln>
              <a:effectLst/>
            </c:spPr>
            <c:extLst>
              <c:ext xmlns:c16="http://schemas.microsoft.com/office/drawing/2014/chart" uri="{C3380CC4-5D6E-409C-BE32-E72D297353CC}">
                <c16:uniqueId val="{00000003-BC89-4985-94A3-678089C099D4}"/>
              </c:ext>
            </c:extLst>
          </c:dPt>
          <c:dPt>
            <c:idx val="9"/>
            <c:invertIfNegative val="0"/>
            <c:bubble3D val="0"/>
            <c:spPr>
              <a:solidFill>
                <a:schemeClr val="accent1">
                  <a:lumMod val="20000"/>
                  <a:lumOff val="80000"/>
                </a:schemeClr>
              </a:solidFill>
              <a:ln w="12700">
                <a:solidFill>
                  <a:schemeClr val="accent1">
                    <a:alpha val="50000"/>
                  </a:schemeClr>
                </a:solidFill>
              </a:ln>
              <a:effectLst/>
            </c:spPr>
            <c:extLst>
              <c:ext xmlns:c16="http://schemas.microsoft.com/office/drawing/2014/chart" uri="{C3380CC4-5D6E-409C-BE32-E72D297353CC}">
                <c16:uniqueId val="{00000005-BC89-4985-94A3-678089C099D4}"/>
              </c:ext>
            </c:extLst>
          </c:dPt>
          <c:dPt>
            <c:idx val="11"/>
            <c:invertIfNegative val="0"/>
            <c:bubble3D val="0"/>
            <c:spPr>
              <a:solidFill>
                <a:schemeClr val="accent1">
                  <a:lumMod val="20000"/>
                  <a:lumOff val="80000"/>
                </a:schemeClr>
              </a:solidFill>
              <a:ln w="12700">
                <a:solidFill>
                  <a:schemeClr val="accent1">
                    <a:alpha val="50000"/>
                  </a:schemeClr>
                </a:solidFill>
              </a:ln>
              <a:effectLst/>
            </c:spPr>
            <c:extLst>
              <c:ext xmlns:c16="http://schemas.microsoft.com/office/drawing/2014/chart" uri="{C3380CC4-5D6E-409C-BE32-E72D297353CC}">
                <c16:uniqueId val="{00000007-BC89-4985-94A3-678089C099D4}"/>
              </c:ext>
            </c:extLst>
          </c:dPt>
          <c:dPt>
            <c:idx val="13"/>
            <c:invertIfNegative val="0"/>
            <c:bubble3D val="0"/>
            <c:spPr>
              <a:solidFill>
                <a:schemeClr val="accent1">
                  <a:lumMod val="20000"/>
                  <a:lumOff val="80000"/>
                </a:schemeClr>
              </a:solidFill>
              <a:ln w="12700">
                <a:solidFill>
                  <a:schemeClr val="accent1">
                    <a:alpha val="50000"/>
                  </a:schemeClr>
                </a:solidFill>
              </a:ln>
              <a:effectLst/>
            </c:spPr>
            <c:extLst>
              <c:ext xmlns:c16="http://schemas.microsoft.com/office/drawing/2014/chart" uri="{C3380CC4-5D6E-409C-BE32-E72D297353CC}">
                <c16:uniqueId val="{00000009-BC89-4985-94A3-678089C099D4}"/>
              </c:ext>
            </c:extLst>
          </c:dPt>
          <c:dPt>
            <c:idx val="14"/>
            <c:invertIfNegative val="0"/>
            <c:bubble3D val="0"/>
            <c:spPr>
              <a:noFill/>
              <a:ln w="12700">
                <a:noFill/>
              </a:ln>
              <a:effectLst/>
            </c:spPr>
            <c:extLst>
              <c:ext xmlns:c16="http://schemas.microsoft.com/office/drawing/2014/chart" uri="{C3380CC4-5D6E-409C-BE32-E72D297353CC}">
                <c16:uniqueId val="{0000000B-BC89-4985-94A3-678089C099D4}"/>
              </c:ext>
            </c:extLst>
          </c:dPt>
          <c:dPt>
            <c:idx val="15"/>
            <c:invertIfNegative val="0"/>
            <c:bubble3D val="0"/>
            <c:spPr>
              <a:solidFill>
                <a:schemeClr val="accent1">
                  <a:lumMod val="20000"/>
                  <a:lumOff val="80000"/>
                </a:schemeClr>
              </a:solidFill>
              <a:ln w="12700">
                <a:solidFill>
                  <a:schemeClr val="accent1">
                    <a:alpha val="50000"/>
                  </a:schemeClr>
                </a:solidFill>
              </a:ln>
              <a:effectLst/>
            </c:spPr>
            <c:extLst>
              <c:ext xmlns:c16="http://schemas.microsoft.com/office/drawing/2014/chart" uri="{C3380CC4-5D6E-409C-BE32-E72D297353CC}">
                <c16:uniqueId val="{0000000D-BC89-4985-94A3-678089C099D4}"/>
              </c:ext>
            </c:extLst>
          </c:dPt>
          <c:dPt>
            <c:idx val="16"/>
            <c:invertIfNegative val="0"/>
            <c:bubble3D val="0"/>
            <c:spPr>
              <a:solidFill>
                <a:schemeClr val="accent1">
                  <a:lumMod val="20000"/>
                  <a:lumOff val="80000"/>
                </a:schemeClr>
              </a:solidFill>
              <a:ln w="12700">
                <a:solidFill>
                  <a:schemeClr val="accent1">
                    <a:alpha val="50000"/>
                  </a:schemeClr>
                </a:solidFill>
              </a:ln>
              <a:effectLst/>
            </c:spPr>
            <c:extLst>
              <c:ext xmlns:c16="http://schemas.microsoft.com/office/drawing/2014/chart" uri="{C3380CC4-5D6E-409C-BE32-E72D297353CC}">
                <c16:uniqueId val="{0000000F-BC89-4985-94A3-678089C099D4}"/>
              </c:ext>
            </c:extLst>
          </c:dPt>
          <c:dLbls>
            <c:dLbl>
              <c:idx val="0"/>
              <c:tx>
                <c:rich>
                  <a:bodyPr/>
                  <a:lstStyle/>
                  <a:p>
                    <a:fld id="{25CD79CA-0880-4683-B5A6-417C7CD35D19}" type="CELLRANGE">
                      <a:rPr lang="en-US"/>
                      <a:pPr/>
                      <a:t>[OBLAST BUNĚK]</a:t>
                    </a:fld>
                    <a:endParaRPr lang="cs-CZ"/>
                  </a:p>
                </c:rich>
              </c:tx>
              <c:dLblPos val="ct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BC89-4985-94A3-678089C099D4}"/>
                </c:ext>
              </c:extLst>
            </c:dLbl>
            <c:dLbl>
              <c:idx val="1"/>
              <c:tx>
                <c:rich>
                  <a:bodyPr/>
                  <a:lstStyle/>
                  <a:p>
                    <a:fld id="{F954A346-5CA8-4E6C-89BB-424CCD49E234}" type="CELLRANGE">
                      <a:rPr lang="cs-CZ"/>
                      <a:pPr/>
                      <a:t>[OBLAST BUNĚK]</a:t>
                    </a:fld>
                    <a:endParaRPr lang="cs-CZ"/>
                  </a:p>
                </c:rich>
              </c:tx>
              <c:dLblPos val="ctr"/>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BC89-4985-94A3-678089C099D4}"/>
                </c:ext>
              </c:extLst>
            </c:dLbl>
            <c:dLbl>
              <c:idx val="2"/>
              <c:tx>
                <c:rich>
                  <a:bodyPr/>
                  <a:lstStyle/>
                  <a:p>
                    <a:fld id="{BA647FCA-23A0-4412-A7B3-32A1DC6734D3}" type="CELLRANGE">
                      <a:rPr lang="cs-CZ"/>
                      <a:pPr/>
                      <a:t>[OBLAST BUNĚK]</a:t>
                    </a:fld>
                    <a:endParaRPr lang="cs-CZ"/>
                  </a:p>
                </c:rich>
              </c:tx>
              <c:dLblPos val="ctr"/>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2-BC89-4985-94A3-678089C099D4}"/>
                </c:ext>
              </c:extLst>
            </c:dLbl>
            <c:dLbl>
              <c:idx val="3"/>
              <c:tx>
                <c:rich>
                  <a:bodyPr/>
                  <a:lstStyle/>
                  <a:p>
                    <a:fld id="{48C599E0-E3FA-4CFD-B283-DD8DCE43FC3D}" type="CELLRANGE">
                      <a:rPr lang="cs-CZ"/>
                      <a:pPr/>
                      <a:t>[OBLAST BUNĚK]</a:t>
                    </a:fld>
                    <a:endParaRPr lang="cs-CZ"/>
                  </a:p>
                </c:rich>
              </c:tx>
              <c:dLblPos val="ctr"/>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3-BC89-4985-94A3-678089C099D4}"/>
                </c:ext>
              </c:extLst>
            </c:dLbl>
            <c:dLbl>
              <c:idx val="4"/>
              <c:tx>
                <c:rich>
                  <a:bodyPr/>
                  <a:lstStyle/>
                  <a:p>
                    <a:fld id="{1FFBC4DD-8538-4E21-9E24-570D2CAC6A0B}" type="CELLRANGE">
                      <a:rPr lang="cs-CZ"/>
                      <a:pPr/>
                      <a:t>[OBLAST BUNĚK]</a:t>
                    </a:fld>
                    <a:endParaRPr lang="cs-CZ"/>
                  </a:p>
                </c:rich>
              </c:tx>
              <c:dLblPos val="ctr"/>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BC89-4985-94A3-678089C099D4}"/>
                </c:ext>
              </c:extLst>
            </c:dLbl>
            <c:dLbl>
              <c:idx val="5"/>
              <c:tx>
                <c:rich>
                  <a:bodyPr/>
                  <a:lstStyle/>
                  <a:p>
                    <a:fld id="{B73AEBE8-8DCB-4CF8-AC7A-E3A16CF41285}" type="CELLRANGE">
                      <a:rPr lang="cs-CZ"/>
                      <a:pPr/>
                      <a:t>[OBLAST BUNĚK]</a:t>
                    </a:fld>
                    <a:endParaRPr lang="cs-CZ"/>
                  </a:p>
                </c:rich>
              </c:tx>
              <c:dLblPos val="ctr"/>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1-BC89-4985-94A3-678089C099D4}"/>
                </c:ext>
              </c:extLst>
            </c:dLbl>
            <c:dLbl>
              <c:idx val="6"/>
              <c:tx>
                <c:rich>
                  <a:bodyPr/>
                  <a:lstStyle/>
                  <a:p>
                    <a:fld id="{085528AA-D512-4E3F-9309-58CBBCD5D9C2}" type="CELLRANGE">
                      <a:rPr lang="cs-CZ"/>
                      <a:pPr/>
                      <a:t>[OBLAST BUNĚK]</a:t>
                    </a:fld>
                    <a:endParaRPr lang="cs-CZ"/>
                  </a:p>
                </c:rich>
              </c:tx>
              <c:dLblPos val="ctr"/>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3-BC89-4985-94A3-678089C099D4}"/>
                </c:ext>
              </c:extLst>
            </c:dLbl>
            <c:dLbl>
              <c:idx val="7"/>
              <c:tx>
                <c:rich>
                  <a:bodyPr/>
                  <a:lstStyle/>
                  <a:p>
                    <a:fld id="{2887493B-8BD0-4F04-A363-4C26433AF4EC}" type="CELLRANGE">
                      <a:rPr lang="cs-CZ"/>
                      <a:pPr/>
                      <a:t>[OBLAST BUNĚK]</a:t>
                    </a:fld>
                    <a:endParaRPr lang="cs-CZ"/>
                  </a:p>
                </c:rich>
              </c:tx>
              <c:dLblPos val="ct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BC89-4985-94A3-678089C099D4}"/>
                </c:ext>
              </c:extLst>
            </c:dLbl>
            <c:dLbl>
              <c:idx val="8"/>
              <c:tx>
                <c:rich>
                  <a:bodyPr/>
                  <a:lstStyle/>
                  <a:p>
                    <a:fld id="{3F85E09B-EFCE-4B5C-9D0A-3A589F74057A}" type="CELLRANGE">
                      <a:rPr lang="cs-CZ"/>
                      <a:pPr/>
                      <a:t>[OBLAST BUNĚK]</a:t>
                    </a:fld>
                    <a:endParaRPr lang="cs-CZ"/>
                  </a:p>
                </c:rich>
              </c:tx>
              <c:dLblPos val="ctr"/>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6-BC89-4985-94A3-678089C099D4}"/>
                </c:ext>
              </c:extLst>
            </c:dLbl>
            <c:dLbl>
              <c:idx val="9"/>
              <c:tx>
                <c:rich>
                  <a:bodyPr/>
                  <a:lstStyle/>
                  <a:p>
                    <a:fld id="{BE72E7B9-7108-4513-8129-C3B5E8B0023A}" type="CELLRANGE">
                      <a:rPr lang="cs-CZ"/>
                      <a:pPr/>
                      <a:t>[OBLAST BUNĚK]</a:t>
                    </a:fld>
                    <a:endParaRPr lang="cs-CZ"/>
                  </a:p>
                </c:rich>
              </c:tx>
              <c:dLblPos val="ctr"/>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5-BC89-4985-94A3-678089C099D4}"/>
                </c:ext>
              </c:extLst>
            </c:dLbl>
            <c:dLbl>
              <c:idx val="10"/>
              <c:tx>
                <c:rich>
                  <a:bodyPr/>
                  <a:lstStyle/>
                  <a:p>
                    <a:fld id="{1FA3DDCD-6E0C-4771-B5A7-8E9E5FF98ECD}" type="CELLRANGE">
                      <a:rPr lang="cs-CZ"/>
                      <a:pPr/>
                      <a:t>[OBLAST BUNĚK]</a:t>
                    </a:fld>
                    <a:endParaRPr lang="cs-CZ"/>
                  </a:p>
                </c:rich>
              </c:tx>
              <c:dLblPos val="ctr"/>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BC89-4985-94A3-678089C099D4}"/>
                </c:ext>
              </c:extLst>
            </c:dLbl>
            <c:dLbl>
              <c:idx val="11"/>
              <c:tx>
                <c:rich>
                  <a:bodyPr/>
                  <a:lstStyle/>
                  <a:p>
                    <a:fld id="{BCB97AE9-46B1-40F5-90BA-9CEB51C2AE37}" type="CELLRANGE">
                      <a:rPr lang="cs-CZ"/>
                      <a:pPr/>
                      <a:t>[OBLAST BUNĚK]</a:t>
                    </a:fld>
                    <a:endParaRPr lang="cs-CZ"/>
                  </a:p>
                </c:rich>
              </c:tx>
              <c:dLblPos val="ctr"/>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7-BC89-4985-94A3-678089C099D4}"/>
                </c:ext>
              </c:extLst>
            </c:dLbl>
            <c:dLbl>
              <c:idx val="12"/>
              <c:tx>
                <c:rich>
                  <a:bodyPr/>
                  <a:lstStyle/>
                  <a:p>
                    <a:fld id="{7131581E-1B92-405F-A54C-E052D291E784}" type="CELLRANGE">
                      <a:rPr lang="cs-CZ"/>
                      <a:pPr/>
                      <a:t>[OBLAST BUNĚK]</a:t>
                    </a:fld>
                    <a:endParaRPr lang="cs-CZ"/>
                  </a:p>
                </c:rich>
              </c:tx>
              <c:dLblPos val="ctr"/>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8-BC89-4985-94A3-678089C099D4}"/>
                </c:ext>
              </c:extLst>
            </c:dLbl>
            <c:dLbl>
              <c:idx val="13"/>
              <c:tx>
                <c:rich>
                  <a:bodyPr/>
                  <a:lstStyle/>
                  <a:p>
                    <a:fld id="{75CBDFB0-C2A7-4D78-805F-4844B8A5515A}" type="CELLRANGE">
                      <a:rPr lang="cs-CZ"/>
                      <a:pPr/>
                      <a:t>[OBLAST BUNĚK]</a:t>
                    </a:fld>
                    <a:endParaRPr lang="cs-CZ"/>
                  </a:p>
                </c:rich>
              </c:tx>
              <c:dLblPos val="ctr"/>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9-BC89-4985-94A3-678089C099D4}"/>
                </c:ext>
              </c:extLst>
            </c:dLbl>
            <c:dLbl>
              <c:idx val="14"/>
              <c:tx>
                <c:rich>
                  <a:bodyPr/>
                  <a:lstStyle/>
                  <a:p>
                    <a:fld id="{39328B55-CC25-4B28-ABD2-5CC63A2AA74D}" type="CELLRANGE">
                      <a:rPr lang="cs-CZ"/>
                      <a:pPr/>
                      <a:t>[OBLAST BUNĚK]</a:t>
                    </a:fld>
                    <a:endParaRPr lang="cs-CZ"/>
                  </a:p>
                </c:rich>
              </c:tx>
              <c:dLblPos val="ct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B-BC89-4985-94A3-678089C099D4}"/>
                </c:ext>
              </c:extLst>
            </c:dLbl>
            <c:dLbl>
              <c:idx val="15"/>
              <c:tx>
                <c:rich>
                  <a:bodyPr/>
                  <a:lstStyle/>
                  <a:p>
                    <a:fld id="{790E2C43-F74B-4C9E-920A-F295129FA09C}" type="CELLRANGE">
                      <a:rPr lang="cs-CZ"/>
                      <a:pPr/>
                      <a:t>[OBLAST BUNĚK]</a:t>
                    </a:fld>
                    <a:endParaRPr lang="cs-CZ"/>
                  </a:p>
                </c:rich>
              </c:tx>
              <c:dLblPos val="ctr"/>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D-BC89-4985-94A3-678089C099D4}"/>
                </c:ext>
              </c:extLst>
            </c:dLbl>
            <c:dLbl>
              <c:idx val="16"/>
              <c:tx>
                <c:rich>
                  <a:bodyPr/>
                  <a:lstStyle/>
                  <a:p>
                    <a:fld id="{C04107CE-8E4F-47F2-A448-050787E65FA9}" type="CELLRANGE">
                      <a:rPr lang="cs-CZ"/>
                      <a:pPr/>
                      <a:t>[OBLAST BUNĚK]</a:t>
                    </a:fld>
                    <a:endParaRPr lang="cs-CZ"/>
                  </a:p>
                </c:rich>
              </c:tx>
              <c:dLblPos val="ctr"/>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F-BC89-4985-94A3-678089C099D4}"/>
                </c:ext>
              </c:extLst>
            </c:dLbl>
            <c:spPr>
              <a:noFill/>
              <a:ln>
                <a:noFill/>
              </a:ln>
              <a:effectLst/>
            </c:spPr>
            <c:txPr>
              <a:bodyPr rot="-5400000" spcFirstLastPara="1" vertOverflow="ellipsis"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cs-CZ"/>
              </a:p>
            </c:txPr>
            <c:dLblPos val="ctr"/>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1"/>
                <c15:leaderLines>
                  <c:spPr>
                    <a:ln w="9525" cap="flat" cmpd="sng" algn="ctr">
                      <a:solidFill>
                        <a:schemeClr val="tx1">
                          <a:lumMod val="35000"/>
                          <a:lumOff val="65000"/>
                        </a:schemeClr>
                      </a:solidFill>
                      <a:round/>
                    </a:ln>
                    <a:effectLst/>
                  </c:spPr>
                </c15:leaderLines>
              </c:ext>
            </c:extLst>
          </c:dLbls>
          <c:xVal>
            <c:numRef>
              <c:f>'Milníky ČR (3)'!$F$3:$F$19</c:f>
              <c:numCache>
                <c:formatCode>General</c:formatCode>
                <c:ptCount val="17"/>
                <c:pt idx="0">
                  <c:v>1989</c:v>
                </c:pt>
                <c:pt idx="1">
                  <c:v>1990</c:v>
                </c:pt>
                <c:pt idx="2">
                  <c:v>1993</c:v>
                </c:pt>
                <c:pt idx="3">
                  <c:v>1995</c:v>
                </c:pt>
                <c:pt idx="4">
                  <c:v>1996</c:v>
                </c:pt>
                <c:pt idx="5">
                  <c:v>1997</c:v>
                </c:pt>
                <c:pt idx="6">
                  <c:v>2001.5</c:v>
                </c:pt>
                <c:pt idx="7">
                  <c:v>2002</c:v>
                </c:pt>
                <c:pt idx="8">
                  <c:v>2004</c:v>
                </c:pt>
                <c:pt idx="9">
                  <c:v>2008</c:v>
                </c:pt>
                <c:pt idx="10">
                  <c:v>2010</c:v>
                </c:pt>
                <c:pt idx="11">
                  <c:v>2011</c:v>
                </c:pt>
                <c:pt idx="12">
                  <c:v>2014</c:v>
                </c:pt>
                <c:pt idx="13">
                  <c:v>2014</c:v>
                </c:pt>
                <c:pt idx="14">
                  <c:v>2018</c:v>
                </c:pt>
                <c:pt idx="15">
                  <c:v>2019</c:v>
                </c:pt>
                <c:pt idx="16">
                  <c:v>2021</c:v>
                </c:pt>
              </c:numCache>
            </c:numRef>
          </c:xVal>
          <c:yVal>
            <c:numRef>
              <c:f>'Milníky ČR (3)'!$G$3:$G$19</c:f>
              <c:numCache>
                <c:formatCode>General</c:formatCode>
                <c:ptCount val="17"/>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0</c:v>
                </c:pt>
                <c:pt idx="16">
                  <c:v>0</c:v>
                </c:pt>
              </c:numCache>
            </c:numRef>
          </c:yVal>
          <c:bubbleSize>
            <c:numRef>
              <c:f>'Milníky ČR (3)'!$H$3:$H$19</c:f>
              <c:numCache>
                <c:formatCode>0%</c:formatCode>
                <c:ptCount val="17"/>
                <c:pt idx="0">
                  <c:v>0.35</c:v>
                </c:pt>
                <c:pt idx="1">
                  <c:v>0.35</c:v>
                </c:pt>
                <c:pt idx="2">
                  <c:v>0.35</c:v>
                </c:pt>
                <c:pt idx="3">
                  <c:v>0.35</c:v>
                </c:pt>
                <c:pt idx="4">
                  <c:v>0.35</c:v>
                </c:pt>
                <c:pt idx="5">
                  <c:v>0.5</c:v>
                </c:pt>
                <c:pt idx="6">
                  <c:v>0.5</c:v>
                </c:pt>
                <c:pt idx="7">
                  <c:v>0.35</c:v>
                </c:pt>
                <c:pt idx="8">
                  <c:v>0.35</c:v>
                </c:pt>
                <c:pt idx="9">
                  <c:v>0.5</c:v>
                </c:pt>
                <c:pt idx="10">
                  <c:v>0.35</c:v>
                </c:pt>
                <c:pt idx="11">
                  <c:v>0.5</c:v>
                </c:pt>
                <c:pt idx="12">
                  <c:v>0.75</c:v>
                </c:pt>
                <c:pt idx="13">
                  <c:v>0.35</c:v>
                </c:pt>
                <c:pt idx="14">
                  <c:v>1</c:v>
                </c:pt>
                <c:pt idx="15">
                  <c:v>0.5</c:v>
                </c:pt>
                <c:pt idx="16">
                  <c:v>0.5</c:v>
                </c:pt>
              </c:numCache>
            </c:numRef>
          </c:bubbleSize>
          <c:bubble3D val="0"/>
          <c:extLst>
            <c:ext xmlns:c15="http://schemas.microsoft.com/office/drawing/2012/chart" uri="{02D57815-91ED-43cb-92C2-25804820EDAC}">
              <c15:datalabelsRange>
                <c15:f>'Milníky ČR (3)'!$I$3:$I$19</c15:f>
                <c15:dlblRangeCache>
                  <c:ptCount val="17"/>
                  <c:pt idx="0">
                    <c:v>1989</c:v>
                  </c:pt>
                  <c:pt idx="1">
                    <c:v>1990</c:v>
                  </c:pt>
                  <c:pt idx="2">
                    <c:v>1993</c:v>
                  </c:pt>
                  <c:pt idx="3">
                    <c:v>1995</c:v>
                  </c:pt>
                  <c:pt idx="4">
                    <c:v>1996</c:v>
                  </c:pt>
                  <c:pt idx="5">
                    <c:v>1997-
1998</c:v>
                  </c:pt>
                  <c:pt idx="6">
                    <c:v>2001-
2002</c:v>
                  </c:pt>
                  <c:pt idx="8">
                    <c:v>2004</c:v>
                  </c:pt>
                  <c:pt idx="9">
                    <c:v>2008-
2009</c:v>
                  </c:pt>
                  <c:pt idx="10">
                    <c:v>2010</c:v>
                  </c:pt>
                  <c:pt idx="11">
                    <c:v>2011-
2012</c:v>
                  </c:pt>
                  <c:pt idx="12">
                    <c:v>2013
2017</c:v>
                  </c:pt>
                  <c:pt idx="13">
                    <c:v>2015</c:v>
                  </c:pt>
                  <c:pt idx="15">
                    <c:v>2020-
2021</c:v>
                  </c:pt>
                  <c:pt idx="16">
                    <c:v>2022-
2023</c:v>
                  </c:pt>
                </c15:dlblRangeCache>
              </c15:datalabelsRange>
            </c:ext>
            <c:ext xmlns:c16="http://schemas.microsoft.com/office/drawing/2014/chart" uri="{C3380CC4-5D6E-409C-BE32-E72D297353CC}">
              <c16:uniqueId val="{00000019-BC89-4985-94A3-678089C099D4}"/>
            </c:ext>
          </c:extLst>
        </c:ser>
        <c:ser>
          <c:idx val="1"/>
          <c:order val="1"/>
          <c:tx>
            <c:v>Milníky</c:v>
          </c:tx>
          <c:spPr>
            <a:solidFill>
              <a:schemeClr val="tx2">
                <a:lumMod val="40000"/>
                <a:lumOff val="60000"/>
              </a:schemeClr>
            </a:solidFill>
            <a:ln w="12700">
              <a:solidFill>
                <a:schemeClr val="tx2"/>
              </a:solidFill>
            </a:ln>
            <a:effectLst/>
          </c:spPr>
          <c:invertIfNegative val="0"/>
          <c:dPt>
            <c:idx val="4"/>
            <c:invertIfNegative val="0"/>
            <c:bubble3D val="0"/>
            <c:extLst>
              <c:ext xmlns:c16="http://schemas.microsoft.com/office/drawing/2014/chart" uri="{C3380CC4-5D6E-409C-BE32-E72D297353CC}">
                <c16:uniqueId val="{0000001A-BC89-4985-94A3-678089C099D4}"/>
              </c:ext>
            </c:extLst>
          </c:dPt>
          <c:dPt>
            <c:idx val="5"/>
            <c:invertIfNegative val="0"/>
            <c:bubble3D val="0"/>
            <c:spPr>
              <a:solidFill>
                <a:schemeClr val="accent1">
                  <a:lumMod val="40000"/>
                  <a:lumOff val="60000"/>
                </a:schemeClr>
              </a:solidFill>
              <a:ln w="12700">
                <a:solidFill>
                  <a:schemeClr val="accent1"/>
                </a:solidFill>
              </a:ln>
              <a:effectLst/>
            </c:spPr>
            <c:extLst>
              <c:ext xmlns:c16="http://schemas.microsoft.com/office/drawing/2014/chart" uri="{C3380CC4-5D6E-409C-BE32-E72D297353CC}">
                <c16:uniqueId val="{0000001C-BC89-4985-94A3-678089C099D4}"/>
              </c:ext>
            </c:extLst>
          </c:dPt>
          <c:dPt>
            <c:idx val="6"/>
            <c:invertIfNegative val="0"/>
            <c:bubble3D val="0"/>
            <c:spPr>
              <a:solidFill>
                <a:schemeClr val="accent1">
                  <a:lumMod val="40000"/>
                  <a:lumOff val="60000"/>
                </a:schemeClr>
              </a:solidFill>
              <a:ln w="12700">
                <a:solidFill>
                  <a:schemeClr val="accent1"/>
                </a:solidFill>
              </a:ln>
              <a:effectLst/>
            </c:spPr>
            <c:extLst>
              <c:ext xmlns:c16="http://schemas.microsoft.com/office/drawing/2014/chart" uri="{C3380CC4-5D6E-409C-BE32-E72D297353CC}">
                <c16:uniqueId val="{0000001E-BC89-4985-94A3-678089C099D4}"/>
              </c:ext>
            </c:extLst>
          </c:dPt>
          <c:dPt>
            <c:idx val="8"/>
            <c:invertIfNegative val="0"/>
            <c:bubble3D val="0"/>
            <c:extLst>
              <c:ext xmlns:c16="http://schemas.microsoft.com/office/drawing/2014/chart" uri="{C3380CC4-5D6E-409C-BE32-E72D297353CC}">
                <c16:uniqueId val="{0000001F-BC89-4985-94A3-678089C099D4}"/>
              </c:ext>
            </c:extLst>
          </c:dPt>
          <c:dPt>
            <c:idx val="9"/>
            <c:invertIfNegative val="0"/>
            <c:bubble3D val="0"/>
            <c:spPr>
              <a:solidFill>
                <a:schemeClr val="accent1">
                  <a:lumMod val="40000"/>
                  <a:lumOff val="60000"/>
                </a:schemeClr>
              </a:solidFill>
              <a:ln w="12700">
                <a:solidFill>
                  <a:schemeClr val="accent1"/>
                </a:solidFill>
              </a:ln>
              <a:effectLst/>
            </c:spPr>
            <c:extLst>
              <c:ext xmlns:c16="http://schemas.microsoft.com/office/drawing/2014/chart" uri="{C3380CC4-5D6E-409C-BE32-E72D297353CC}">
                <c16:uniqueId val="{00000021-BC89-4985-94A3-678089C099D4}"/>
              </c:ext>
            </c:extLst>
          </c:dPt>
          <c:dPt>
            <c:idx val="10"/>
            <c:invertIfNegative val="0"/>
            <c:bubble3D val="0"/>
            <c:extLst>
              <c:ext xmlns:c16="http://schemas.microsoft.com/office/drawing/2014/chart" uri="{C3380CC4-5D6E-409C-BE32-E72D297353CC}">
                <c16:uniqueId val="{00000022-BC89-4985-94A3-678089C099D4}"/>
              </c:ext>
            </c:extLst>
          </c:dPt>
          <c:dPt>
            <c:idx val="11"/>
            <c:invertIfNegative val="0"/>
            <c:bubble3D val="0"/>
            <c:spPr>
              <a:solidFill>
                <a:schemeClr val="accent1">
                  <a:lumMod val="40000"/>
                  <a:lumOff val="60000"/>
                </a:schemeClr>
              </a:solidFill>
              <a:ln w="12700">
                <a:solidFill>
                  <a:schemeClr val="accent1"/>
                </a:solidFill>
              </a:ln>
              <a:effectLst/>
            </c:spPr>
            <c:extLst>
              <c:ext xmlns:c16="http://schemas.microsoft.com/office/drawing/2014/chart" uri="{C3380CC4-5D6E-409C-BE32-E72D297353CC}">
                <c16:uniqueId val="{00000024-BC89-4985-94A3-678089C099D4}"/>
              </c:ext>
            </c:extLst>
          </c:dPt>
          <c:dPt>
            <c:idx val="13"/>
            <c:invertIfNegative val="0"/>
            <c:bubble3D val="0"/>
            <c:spPr>
              <a:solidFill>
                <a:schemeClr val="accent1">
                  <a:lumMod val="40000"/>
                  <a:lumOff val="60000"/>
                </a:schemeClr>
              </a:solidFill>
              <a:ln w="12700">
                <a:solidFill>
                  <a:schemeClr val="accent1"/>
                </a:solidFill>
              </a:ln>
              <a:effectLst/>
            </c:spPr>
            <c:extLst>
              <c:ext xmlns:c16="http://schemas.microsoft.com/office/drawing/2014/chart" uri="{C3380CC4-5D6E-409C-BE32-E72D297353CC}">
                <c16:uniqueId val="{00000026-BC89-4985-94A3-678089C099D4}"/>
              </c:ext>
            </c:extLst>
          </c:dPt>
          <c:dPt>
            <c:idx val="14"/>
            <c:invertIfNegative val="0"/>
            <c:bubble3D val="0"/>
            <c:spPr>
              <a:solidFill>
                <a:schemeClr val="accent1">
                  <a:lumMod val="40000"/>
                  <a:lumOff val="60000"/>
                </a:schemeClr>
              </a:solidFill>
              <a:ln w="12700">
                <a:solidFill>
                  <a:schemeClr val="accent1"/>
                </a:solidFill>
              </a:ln>
              <a:effectLst/>
            </c:spPr>
            <c:extLst>
              <c:ext xmlns:c16="http://schemas.microsoft.com/office/drawing/2014/chart" uri="{C3380CC4-5D6E-409C-BE32-E72D297353CC}">
                <c16:uniqueId val="{00000028-BC89-4985-94A3-678089C099D4}"/>
              </c:ext>
            </c:extLst>
          </c:dPt>
          <c:dPt>
            <c:idx val="15"/>
            <c:invertIfNegative val="0"/>
            <c:bubble3D val="0"/>
            <c:spPr>
              <a:solidFill>
                <a:schemeClr val="accent1">
                  <a:lumMod val="40000"/>
                  <a:lumOff val="60000"/>
                </a:schemeClr>
              </a:solidFill>
              <a:ln w="12700">
                <a:solidFill>
                  <a:schemeClr val="accent1"/>
                </a:solidFill>
              </a:ln>
              <a:effectLst/>
            </c:spPr>
            <c:extLst>
              <c:ext xmlns:c16="http://schemas.microsoft.com/office/drawing/2014/chart" uri="{C3380CC4-5D6E-409C-BE32-E72D297353CC}">
                <c16:uniqueId val="{0000002A-BC89-4985-94A3-678089C099D4}"/>
              </c:ext>
            </c:extLst>
          </c:dPt>
          <c:dLbls>
            <c:dLbl>
              <c:idx val="0"/>
              <c:tx>
                <c:rich>
                  <a:bodyPr/>
                  <a:lstStyle/>
                  <a:p>
                    <a:fld id="{80E56D8B-F156-4E41-A6D9-A318A9AC111D}" type="CELLRANGE">
                      <a:rPr lang="en-US"/>
                      <a:pPr/>
                      <a:t>[OBLAST BUNĚK]</a:t>
                    </a:fld>
                    <a:endParaRPr lang="cs-CZ"/>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BC89-4985-94A3-678089C099D4}"/>
                </c:ext>
              </c:extLst>
            </c:dLbl>
            <c:dLbl>
              <c:idx val="1"/>
              <c:tx>
                <c:rich>
                  <a:bodyPr/>
                  <a:lstStyle/>
                  <a:p>
                    <a:fld id="{919FF77E-477E-48F8-A760-BA492E5417CF}" type="CELLRANGE">
                      <a:rPr lang="cs-CZ"/>
                      <a:pPr/>
                      <a:t>[OBLAST BUNĚK]</a:t>
                    </a:fld>
                    <a:endParaRPr lang="cs-CZ"/>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BC89-4985-94A3-678089C099D4}"/>
                </c:ext>
              </c:extLst>
            </c:dLbl>
            <c:dLbl>
              <c:idx val="2"/>
              <c:tx>
                <c:rich>
                  <a:bodyPr rot="0" spcFirstLastPara="1" vertOverflow="clip" horzOverflow="clip" vert="horz" wrap="square" lIns="0" tIns="0" rIns="0" bIns="19050" anchor="ctr" anchorCtr="1">
                    <a:noAutofit/>
                  </a:bodyPr>
                  <a:lstStyle/>
                  <a:p>
                    <a:pPr>
                      <a:defRPr sz="1000" b="0" i="0" u="none" strike="noStrike" kern="1200" baseline="0">
                        <a:solidFill>
                          <a:schemeClr val="tx1">
                            <a:lumMod val="75000"/>
                            <a:lumOff val="25000"/>
                          </a:schemeClr>
                        </a:solidFill>
                        <a:latin typeface="+mn-lt"/>
                        <a:ea typeface="+mn-ea"/>
                        <a:cs typeface="+mn-cs"/>
                      </a:defRPr>
                    </a:pPr>
                    <a:fld id="{15C90FBE-29B7-4997-8A5D-19D79EBA8A5D}" type="CELLRANGE">
                      <a:rPr lang="en-US"/>
                      <a:pPr>
                        <a:defRPr sz="1000" b="0" i="0" u="none" strike="noStrike" kern="1200" baseline="0">
                          <a:solidFill>
                            <a:schemeClr val="tx1">
                              <a:lumMod val="75000"/>
                              <a:lumOff val="25000"/>
                            </a:schemeClr>
                          </a:solidFill>
                          <a:latin typeface="+mn-lt"/>
                          <a:ea typeface="+mn-ea"/>
                          <a:cs typeface="+mn-cs"/>
                        </a:defRPr>
                      </a:pPr>
                      <a:t>[OBLAST BUNĚK]</a:t>
                    </a:fld>
                    <a:endParaRPr lang="cs-CZ"/>
                  </a:p>
                </c:rich>
              </c:tx>
              <c:spPr>
                <a:solidFill>
                  <a:schemeClr val="bg1">
                    <a:alpha val="75000"/>
                  </a:schemeClr>
                </a:solidFill>
                <a:ln>
                  <a:noFill/>
                </a:ln>
                <a:effectLst/>
              </c:spPr>
              <c:dLblPos val="t"/>
              <c:showLegendKey val="0"/>
              <c:showVal val="0"/>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15:layout>
                    <c:manualLayout>
                      <c:w val="0.15520209344851504"/>
                      <c:h val="0.13356444444444446"/>
                    </c:manualLayout>
                  </c15:layout>
                  <c15:dlblFieldTable/>
                  <c15:showDataLabelsRange val="1"/>
                </c:ext>
                <c:ext xmlns:c16="http://schemas.microsoft.com/office/drawing/2014/chart" uri="{C3380CC4-5D6E-409C-BE32-E72D297353CC}">
                  <c16:uniqueId val="{0000002D-BC89-4985-94A3-678089C099D4}"/>
                </c:ext>
              </c:extLst>
            </c:dLbl>
            <c:dLbl>
              <c:idx val="3"/>
              <c:tx>
                <c:rich>
                  <a:bodyPr/>
                  <a:lstStyle/>
                  <a:p>
                    <a:fld id="{4D69C395-5A4F-4E19-BDFD-99510DECE776}" type="CELLRANGE">
                      <a:rPr lang="cs-CZ"/>
                      <a:pPr/>
                      <a:t>[OBLAST BUNĚK]</a:t>
                    </a:fld>
                    <a:endParaRPr lang="cs-CZ"/>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E-BC89-4985-94A3-678089C099D4}"/>
                </c:ext>
              </c:extLst>
            </c:dLbl>
            <c:dLbl>
              <c:idx val="4"/>
              <c:layout>
                <c:manualLayout>
                  <c:x val="-0.11820149441957251"/>
                  <c:y val="-9.040522875816992E-2"/>
                </c:manualLayout>
              </c:layout>
              <c:tx>
                <c:rich>
                  <a:bodyPr/>
                  <a:lstStyle/>
                  <a:p>
                    <a:fld id="{17740A1A-36ED-4F41-AE0E-B53FE27415EF}" type="CELLRANGE">
                      <a:rPr lang="en-US"/>
                      <a:pPr/>
                      <a:t>[OBLAST BUNĚK]</a:t>
                    </a:fld>
                    <a:endParaRPr lang="cs-CZ"/>
                  </a:p>
                </c:rich>
              </c:tx>
              <c:dLblPos val="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A-BC89-4985-94A3-678089C099D4}"/>
                </c:ext>
              </c:extLst>
            </c:dLbl>
            <c:dLbl>
              <c:idx val="5"/>
              <c:tx>
                <c:rich>
                  <a:bodyPr/>
                  <a:lstStyle/>
                  <a:p>
                    <a:fld id="{9EF5CA71-04EA-4802-BF9E-99D35EE2A627}" type="CELLRANGE">
                      <a:rPr lang="en-US"/>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BC89-4985-94A3-678089C099D4}"/>
                </c:ext>
              </c:extLst>
            </c:dLbl>
            <c:dLbl>
              <c:idx val="6"/>
              <c:tx>
                <c:rich>
                  <a:bodyPr/>
                  <a:lstStyle/>
                  <a:p>
                    <a:fld id="{07159487-F014-4ACD-91A3-322F238A2208}" type="CELLRANGE">
                      <a:rPr lang="en-US"/>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BC89-4985-94A3-678089C099D4}"/>
                </c:ext>
              </c:extLst>
            </c:dLbl>
            <c:dLbl>
              <c:idx val="7"/>
              <c:tx>
                <c:rich>
                  <a:bodyPr/>
                  <a:lstStyle/>
                  <a:p>
                    <a:fld id="{AE313932-BCE7-4760-A596-A24EB0F77E6E}" type="CELLRANGE">
                      <a:rPr lang="cs-CZ"/>
                      <a:pPr/>
                      <a:t>[OBLAST BUNĚK]</a:t>
                    </a:fld>
                    <a:endParaRPr lang="cs-CZ"/>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F-BC89-4985-94A3-678089C099D4}"/>
                </c:ext>
              </c:extLst>
            </c:dLbl>
            <c:dLbl>
              <c:idx val="8"/>
              <c:tx>
                <c:rich>
                  <a:bodyPr/>
                  <a:lstStyle/>
                  <a:p>
                    <a:fld id="{47EEC9BC-0FC5-40AB-8BE6-9214F804A14C}" type="CELLRANGE">
                      <a:rPr lang="cs-CZ"/>
                      <a:pPr/>
                      <a:t>[OBLAST BUNĚK]</a:t>
                    </a:fld>
                    <a:endParaRPr lang="cs-CZ"/>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F-BC89-4985-94A3-678089C099D4}"/>
                </c:ext>
              </c:extLst>
            </c:dLbl>
            <c:dLbl>
              <c:idx val="9"/>
              <c:tx>
                <c:rich>
                  <a:bodyPr rot="0" spcFirstLastPara="1" vertOverflow="clip" horzOverflow="clip" vert="horz" wrap="square" lIns="0" tIns="0" rIns="0" bIns="19050" anchor="ctr" anchorCtr="1">
                    <a:noAutofit/>
                  </a:bodyPr>
                  <a:lstStyle/>
                  <a:p>
                    <a:pPr>
                      <a:defRPr sz="1000" b="0" i="0" u="none" strike="noStrike" kern="1200" baseline="0">
                        <a:solidFill>
                          <a:schemeClr val="tx1">
                            <a:lumMod val="75000"/>
                            <a:lumOff val="25000"/>
                          </a:schemeClr>
                        </a:solidFill>
                        <a:latin typeface="+mn-lt"/>
                        <a:ea typeface="+mn-ea"/>
                        <a:cs typeface="+mn-cs"/>
                      </a:defRPr>
                    </a:pPr>
                    <a:fld id="{5B42BE1F-9A14-4A6C-892C-BA248B826022}" type="CELLRANGE">
                      <a:rPr lang="en-US"/>
                      <a:pPr>
                        <a:defRPr sz="1000" b="0" i="0" u="none" strike="noStrike" kern="1200" baseline="0">
                          <a:solidFill>
                            <a:schemeClr val="tx1">
                              <a:lumMod val="75000"/>
                              <a:lumOff val="25000"/>
                            </a:schemeClr>
                          </a:solidFill>
                          <a:latin typeface="+mn-lt"/>
                          <a:ea typeface="+mn-ea"/>
                          <a:cs typeface="+mn-cs"/>
                        </a:defRPr>
                      </a:pPr>
                      <a:t>[OBLAST BUNĚK]</a:t>
                    </a:fld>
                    <a:endParaRPr lang="cs-CZ"/>
                  </a:p>
                </c:rich>
              </c:tx>
              <c:spPr>
                <a:solidFill>
                  <a:schemeClr val="bg1">
                    <a:alpha val="75000"/>
                  </a:schemeClr>
                </a:solidFill>
                <a:ln>
                  <a:noFill/>
                </a:ln>
                <a:effectLst/>
              </c:spPr>
              <c:dLblPos val="b"/>
              <c:showLegendKey val="0"/>
              <c:showVal val="0"/>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15:layout>
                    <c:manualLayout>
                      <c:w val="0.124242656449553"/>
                      <c:h val="0.13030238095238095"/>
                    </c:manualLayout>
                  </c15:layout>
                  <c15:dlblFieldTable/>
                  <c15:showDataLabelsRange val="1"/>
                </c:ext>
                <c:ext xmlns:c16="http://schemas.microsoft.com/office/drawing/2014/chart" uri="{C3380CC4-5D6E-409C-BE32-E72D297353CC}">
                  <c16:uniqueId val="{00000021-BC89-4985-94A3-678089C099D4}"/>
                </c:ext>
              </c:extLst>
            </c:dLbl>
            <c:dLbl>
              <c:idx val="10"/>
              <c:tx>
                <c:rich>
                  <a:bodyPr/>
                  <a:lstStyle/>
                  <a:p>
                    <a:fld id="{5520CC53-FBAB-4C2D-9FFC-5C93AEC98A99}" type="CELLRANGE">
                      <a:rPr lang="cs-CZ"/>
                      <a:pPr/>
                      <a:t>[OBLAST BUNĚK]</a:t>
                    </a:fld>
                    <a:endParaRPr lang="cs-CZ"/>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2-BC89-4985-94A3-678089C099D4}"/>
                </c:ext>
              </c:extLst>
            </c:dLbl>
            <c:dLbl>
              <c:idx val="11"/>
              <c:tx>
                <c:rich>
                  <a:bodyPr/>
                  <a:lstStyle/>
                  <a:p>
                    <a:fld id="{E8F81660-A271-4721-B3E8-D1CB3CD10E41}" type="CELLRANGE">
                      <a:rPr lang="en-US"/>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4-BC89-4985-94A3-678089C099D4}"/>
                </c:ext>
              </c:extLst>
            </c:dLbl>
            <c:dLbl>
              <c:idx val="12"/>
              <c:tx>
                <c:rich>
                  <a:bodyPr/>
                  <a:lstStyle/>
                  <a:p>
                    <a:fld id="{96C0FF57-FB2F-48A5-A11D-D16649761649}" type="CELLRANGE">
                      <a:rPr lang="cs-CZ"/>
                      <a:pPr/>
                      <a:t>[OBLAST BUNĚK]</a:t>
                    </a:fld>
                    <a:endParaRPr lang="cs-CZ"/>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30-BC89-4985-94A3-678089C099D4}"/>
                </c:ext>
              </c:extLst>
            </c:dLbl>
            <c:dLbl>
              <c:idx val="13"/>
              <c:tx>
                <c:rich>
                  <a:bodyPr rot="0" spcFirstLastPara="1" vertOverflow="clip" horzOverflow="clip" vert="horz" wrap="square" lIns="0" tIns="0" rIns="0" bIns="19050" anchor="ctr" anchorCtr="1">
                    <a:noAutofit/>
                  </a:bodyPr>
                  <a:lstStyle/>
                  <a:p>
                    <a:pPr>
                      <a:defRPr sz="1000" b="0" i="0" u="none" strike="noStrike" kern="1200" baseline="0">
                        <a:solidFill>
                          <a:schemeClr val="tx1">
                            <a:lumMod val="75000"/>
                            <a:lumOff val="25000"/>
                          </a:schemeClr>
                        </a:solidFill>
                        <a:latin typeface="+mn-lt"/>
                        <a:ea typeface="+mn-ea"/>
                        <a:cs typeface="+mn-cs"/>
                      </a:defRPr>
                    </a:pPr>
                    <a:fld id="{6105B1E3-D415-4714-B0AD-99244DA7B2FE}" type="CELLRANGE">
                      <a:rPr lang="en-US"/>
                      <a:pPr>
                        <a:defRPr sz="1000" b="0" i="0" u="none" strike="noStrike" kern="1200" baseline="0">
                          <a:solidFill>
                            <a:schemeClr val="tx1">
                              <a:lumMod val="75000"/>
                              <a:lumOff val="25000"/>
                            </a:schemeClr>
                          </a:solidFill>
                          <a:latin typeface="+mn-lt"/>
                          <a:ea typeface="+mn-ea"/>
                          <a:cs typeface="+mn-cs"/>
                        </a:defRPr>
                      </a:pPr>
                      <a:t>[OBLAST BUNĚK]</a:t>
                    </a:fld>
                    <a:endParaRPr lang="cs-CZ"/>
                  </a:p>
                </c:rich>
              </c:tx>
              <c:spPr>
                <a:solidFill>
                  <a:schemeClr val="bg1">
                    <a:alpha val="0"/>
                  </a:schemeClr>
                </a:solidFill>
                <a:ln>
                  <a:noFill/>
                </a:ln>
                <a:effectLst/>
              </c:spPr>
              <c:dLblPos val="b"/>
              <c:showLegendKey val="0"/>
              <c:showVal val="0"/>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15:layout>
                    <c:manualLayout>
                      <c:w val="0.14158492975734352"/>
                      <c:h val="0.18469603174603175"/>
                    </c:manualLayout>
                  </c15:layout>
                  <c15:dlblFieldTable/>
                  <c15:showDataLabelsRange val="1"/>
                </c:ext>
                <c:ext xmlns:c16="http://schemas.microsoft.com/office/drawing/2014/chart" uri="{C3380CC4-5D6E-409C-BE32-E72D297353CC}">
                  <c16:uniqueId val="{00000026-BC89-4985-94A3-678089C099D4}"/>
                </c:ext>
              </c:extLst>
            </c:dLbl>
            <c:dLbl>
              <c:idx val="14"/>
              <c:layout>
                <c:manualLayout>
                  <c:x val="-7.0247854083604094E-2"/>
                  <c:y val="0.10989146825396826"/>
                </c:manualLayout>
              </c:layout>
              <c:tx>
                <c:rich>
                  <a:bodyPr rot="0" spcFirstLastPara="1" vertOverflow="clip" horzOverflow="clip" vert="horz" wrap="square" lIns="0" tIns="0" rIns="0" bIns="19050" anchor="ctr" anchorCtr="1">
                    <a:noAutofit/>
                  </a:bodyPr>
                  <a:lstStyle/>
                  <a:p>
                    <a:pPr>
                      <a:defRPr sz="1000" b="0" i="0" u="none" strike="noStrike" kern="1200" baseline="0">
                        <a:solidFill>
                          <a:schemeClr val="tx1">
                            <a:lumMod val="75000"/>
                            <a:lumOff val="25000"/>
                          </a:schemeClr>
                        </a:solidFill>
                        <a:latin typeface="+mn-lt"/>
                        <a:ea typeface="+mn-ea"/>
                        <a:cs typeface="+mn-cs"/>
                      </a:defRPr>
                    </a:pPr>
                    <a:fld id="{EF80E094-1391-4633-8EBA-26388588A216}" type="CELLRANGE">
                      <a:rPr lang="en-US"/>
                      <a:pPr>
                        <a:defRPr sz="1000" b="0" i="0" u="none" strike="noStrike" kern="1200" baseline="0">
                          <a:solidFill>
                            <a:schemeClr val="tx1">
                              <a:lumMod val="75000"/>
                              <a:lumOff val="25000"/>
                            </a:schemeClr>
                          </a:solidFill>
                          <a:latin typeface="+mn-lt"/>
                          <a:ea typeface="+mn-ea"/>
                          <a:cs typeface="+mn-cs"/>
                        </a:defRPr>
                      </a:pPr>
                      <a:t>[OBLAST BUNĚK]</a:t>
                    </a:fld>
                    <a:endParaRPr lang="cs-CZ"/>
                  </a:p>
                </c:rich>
              </c:tx>
              <c:spPr>
                <a:solidFill>
                  <a:schemeClr val="bg1">
                    <a:alpha val="0"/>
                  </a:schemeClr>
                </a:solidFill>
                <a:ln>
                  <a:noFill/>
                </a:ln>
                <a:effectLst/>
              </c:spPr>
              <c:dLblPos val="r"/>
              <c:showLegendKey val="0"/>
              <c:showVal val="0"/>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15:layout>
                    <c:manualLayout>
                      <c:w val="9.4615900383141757E-2"/>
                      <c:h val="0.1495718253968254"/>
                    </c:manualLayout>
                  </c15:layout>
                  <c15:dlblFieldTable/>
                  <c15:showDataLabelsRange val="1"/>
                </c:ext>
                <c:ext xmlns:c16="http://schemas.microsoft.com/office/drawing/2014/chart" uri="{C3380CC4-5D6E-409C-BE32-E72D297353CC}">
                  <c16:uniqueId val="{00000028-BC89-4985-94A3-678089C099D4}"/>
                </c:ext>
              </c:extLst>
            </c:dLbl>
            <c:dLbl>
              <c:idx val="15"/>
              <c:tx>
                <c:rich>
                  <a:bodyPr/>
                  <a:lstStyle/>
                  <a:p>
                    <a:fld id="{CFBBB944-815F-47F8-B82F-29FCDD5EF1D5}" type="CELLRANGE">
                      <a:rPr lang="en-US"/>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A-BC89-4985-94A3-678089C099D4}"/>
                </c:ext>
              </c:extLst>
            </c:dLbl>
            <c:spPr>
              <a:solidFill>
                <a:schemeClr val="bg1">
                  <a:alpha val="75000"/>
                </a:schemeClr>
              </a:solidFill>
              <a:ln>
                <a:noFill/>
              </a:ln>
              <a:effectLst/>
            </c:spPr>
            <c:txPr>
              <a:bodyPr rot="0" spcFirstLastPara="1" vertOverflow="clip" horzOverflow="clip" vert="horz" wrap="square" lIns="0" tIns="0" rIns="0" bIns="19050" anchor="ctr" anchorCtr="1">
                <a:spAutoFit/>
              </a:bodyPr>
              <a:lstStyle/>
              <a:p>
                <a:pPr>
                  <a:defRPr sz="1000" b="0" i="0" u="none" strike="noStrike" kern="1200" baseline="0">
                    <a:solidFill>
                      <a:schemeClr val="tx1">
                        <a:lumMod val="75000"/>
                        <a:lumOff val="25000"/>
                      </a:schemeClr>
                    </a:solidFill>
                    <a:latin typeface="+mn-lt"/>
                    <a:ea typeface="+mn-ea"/>
                    <a:cs typeface="+mn-cs"/>
                  </a:defRPr>
                </a:pPr>
                <a:endParaRPr lang="cs-CZ"/>
              </a:p>
            </c:txPr>
            <c:dLblPos val="t"/>
            <c:showLegendKey val="0"/>
            <c:showVal val="0"/>
            <c:showCatName val="0"/>
            <c:showSerName val="0"/>
            <c:showPercent val="0"/>
            <c:showBubbleSize val="0"/>
            <c:showLeaderLines val="0"/>
            <c:extLst>
              <c:ext xmlns:c15="http://schemas.microsoft.com/office/drawing/2012/chart" uri="{CE6537A1-D6FC-4f65-9D91-7224C49458BB}">
                <c15:spPr xmlns:c15="http://schemas.microsoft.com/office/drawing/2012/chart">
                  <a:prstGeom prst="rect">
                    <a:avLst/>
                  </a:prstGeom>
                </c15:spPr>
                <c15:showDataLabelsRange val="1"/>
                <c15:showLeaderLines val="1"/>
                <c15:leaderLines>
                  <c:spPr>
                    <a:ln w="9525" cap="flat" cmpd="sng" algn="ctr">
                      <a:noFill/>
                      <a:round/>
                    </a:ln>
                    <a:effectLst/>
                  </c:spPr>
                </c15:leaderLines>
              </c:ext>
            </c:extLst>
          </c:dLbls>
          <c:errBars>
            <c:errDir val="y"/>
            <c:errBarType val="minus"/>
            <c:errValType val="percentage"/>
            <c:noEndCap val="1"/>
            <c:val val="100"/>
            <c:spPr>
              <a:noFill/>
              <a:ln w="12700" cap="flat" cmpd="sng" algn="ctr">
                <a:solidFill>
                  <a:schemeClr val="tx2"/>
                </a:solidFill>
                <a:round/>
              </a:ln>
              <a:effectLst/>
            </c:spPr>
          </c:errBars>
          <c:xVal>
            <c:numRef>
              <c:f>'Milníky ČR (3)'!$K$3:$K$18</c:f>
              <c:numCache>
                <c:formatCode>General</c:formatCode>
                <c:ptCount val="16"/>
                <c:pt idx="0">
                  <c:v>1989</c:v>
                </c:pt>
                <c:pt idx="1">
                  <c:v>1990</c:v>
                </c:pt>
                <c:pt idx="2">
                  <c:v>1993</c:v>
                </c:pt>
                <c:pt idx="3">
                  <c:v>1995</c:v>
                </c:pt>
                <c:pt idx="4">
                  <c:v>1996</c:v>
                </c:pt>
                <c:pt idx="5">
                  <c:v>1997</c:v>
                </c:pt>
                <c:pt idx="6">
                  <c:v>2001.5</c:v>
                </c:pt>
                <c:pt idx="7">
                  <c:v>2002</c:v>
                </c:pt>
                <c:pt idx="8">
                  <c:v>2004</c:v>
                </c:pt>
                <c:pt idx="9">
                  <c:v>2008</c:v>
                </c:pt>
                <c:pt idx="10">
                  <c:v>2010</c:v>
                </c:pt>
                <c:pt idx="11">
                  <c:v>2011</c:v>
                </c:pt>
                <c:pt idx="12">
                  <c:v>2014</c:v>
                </c:pt>
                <c:pt idx="13">
                  <c:v>2014</c:v>
                </c:pt>
                <c:pt idx="14">
                  <c:v>2019</c:v>
                </c:pt>
                <c:pt idx="15">
                  <c:v>2021</c:v>
                </c:pt>
              </c:numCache>
            </c:numRef>
          </c:xVal>
          <c:yVal>
            <c:numRef>
              <c:f>'Milníky ČR (3)'!$L$3:$L$18</c:f>
              <c:numCache>
                <c:formatCode>0%</c:formatCode>
                <c:ptCount val="16"/>
                <c:pt idx="0">
                  <c:v>0.45</c:v>
                </c:pt>
                <c:pt idx="1">
                  <c:v>1.8</c:v>
                </c:pt>
                <c:pt idx="2">
                  <c:v>0.6</c:v>
                </c:pt>
                <c:pt idx="3">
                  <c:v>2.25</c:v>
                </c:pt>
                <c:pt idx="4">
                  <c:v>1.45</c:v>
                </c:pt>
                <c:pt idx="5">
                  <c:v>-0.6</c:v>
                </c:pt>
                <c:pt idx="6">
                  <c:v>-1</c:v>
                </c:pt>
                <c:pt idx="7">
                  <c:v>1.1000000000000001</c:v>
                </c:pt>
                <c:pt idx="8">
                  <c:v>0.5</c:v>
                </c:pt>
                <c:pt idx="9">
                  <c:v>-0.7</c:v>
                </c:pt>
                <c:pt idx="10">
                  <c:v>0.75</c:v>
                </c:pt>
                <c:pt idx="11">
                  <c:v>-1.3</c:v>
                </c:pt>
                <c:pt idx="12">
                  <c:v>1.3</c:v>
                </c:pt>
                <c:pt idx="13">
                  <c:v>-0.6</c:v>
                </c:pt>
                <c:pt idx="14">
                  <c:v>-0.55000000000000004</c:v>
                </c:pt>
                <c:pt idx="15">
                  <c:v>-1.25</c:v>
                </c:pt>
              </c:numCache>
            </c:numRef>
          </c:yVal>
          <c:bubbleSize>
            <c:numRef>
              <c:f>'Milníky ČR (3)'!$N$3:$N$18</c:f>
              <c:numCache>
                <c:formatCode>0%</c:formatCode>
                <c:ptCount val="16"/>
                <c:pt idx="0">
                  <c:v>0.05</c:v>
                </c:pt>
                <c:pt idx="1">
                  <c:v>0.05</c:v>
                </c:pt>
                <c:pt idx="2">
                  <c:v>0.05</c:v>
                </c:pt>
                <c:pt idx="3">
                  <c:v>0.05</c:v>
                </c:pt>
                <c:pt idx="4">
                  <c:v>0.05</c:v>
                </c:pt>
                <c:pt idx="5">
                  <c:v>0.05</c:v>
                </c:pt>
                <c:pt idx="6">
                  <c:v>0.05</c:v>
                </c:pt>
                <c:pt idx="7">
                  <c:v>0.05</c:v>
                </c:pt>
                <c:pt idx="8">
                  <c:v>0.05</c:v>
                </c:pt>
                <c:pt idx="9">
                  <c:v>0.05</c:v>
                </c:pt>
                <c:pt idx="10">
                  <c:v>0.05</c:v>
                </c:pt>
                <c:pt idx="11">
                  <c:v>0.05</c:v>
                </c:pt>
                <c:pt idx="12">
                  <c:v>0.05</c:v>
                </c:pt>
                <c:pt idx="13">
                  <c:v>0.05</c:v>
                </c:pt>
                <c:pt idx="14">
                  <c:v>0.05</c:v>
                </c:pt>
                <c:pt idx="15">
                  <c:v>0.05</c:v>
                </c:pt>
              </c:numCache>
            </c:numRef>
          </c:bubbleSize>
          <c:bubble3D val="0"/>
          <c:extLst>
            <c:ext xmlns:c15="http://schemas.microsoft.com/office/drawing/2012/chart" uri="{02D57815-91ED-43cb-92C2-25804820EDAC}">
              <c15:datalabelsRange>
                <c15:f>'Milníky ČR (3)'!$O$3:$O$18</c15:f>
                <c15:dlblRangeCache>
                  <c:ptCount val="16"/>
                  <c:pt idx="0">
                    <c:v>Pád socialismu</c:v>
                  </c:pt>
                  <c:pt idx="1">
                    <c:v>Zahájení privatizace</c:v>
                  </c:pt>
                  <c:pt idx="2">
                    <c:v>Vznik samostatné České republiky</c:v>
                  </c:pt>
                  <c:pt idx="3">
                    <c:v>Vstup do OECD a WTO</c:v>
                  </c:pt>
                  <c:pt idx="4">
                    <c:v>Zavedení stabilizačního programu</c:v>
                  </c:pt>
                  <c:pt idx="5">
                    <c:v>Měnová krize</c:v>
                  </c:pt>
                  <c:pt idx="6">
                    <c:v>Hospodářský útlum</c:v>
                  </c:pt>
                  <c:pt idx="7">
                    <c:v>ČNB přešla k cílování celkové inflace</c:v>
                  </c:pt>
                  <c:pt idx="8">
                    <c:v>Vstup do Evropské unie</c:v>
                  </c:pt>
                  <c:pt idx="9">
                    <c:v>Světová finanční krize</c:v>
                  </c:pt>
                  <c:pt idx="10">
                    <c:v>ČNB stanovila inflační cíl na úrovni 2 %</c:v>
                  </c:pt>
                  <c:pt idx="11">
                    <c:v>Evropská dluhová krize</c:v>
                  </c:pt>
                  <c:pt idx="12">
                    <c:v>Kurzový závazek ČNB</c:v>
                  </c:pt>
                  <c:pt idx="13">
                    <c:v>Počátek migrace a uprchlické krize</c:v>
                  </c:pt>
                  <c:pt idx="14">
                    <c:v>Pandemie COVID-19</c:v>
                  </c:pt>
                  <c:pt idx="15">
                    <c:v>Energetická krize</c:v>
                  </c:pt>
                </c15:dlblRangeCache>
              </c15:datalabelsRange>
            </c:ext>
            <c:ext xmlns:c16="http://schemas.microsoft.com/office/drawing/2014/chart" uri="{C3380CC4-5D6E-409C-BE32-E72D297353CC}">
              <c16:uniqueId val="{00000031-BC89-4985-94A3-678089C099D4}"/>
            </c:ext>
          </c:extLst>
        </c:ser>
        <c:dLbls>
          <c:showLegendKey val="0"/>
          <c:showVal val="0"/>
          <c:showCatName val="0"/>
          <c:showSerName val="0"/>
          <c:showPercent val="0"/>
          <c:showBubbleSize val="0"/>
        </c:dLbls>
        <c:bubbleScale val="100"/>
        <c:showNegBubbles val="0"/>
        <c:axId val="778187135"/>
        <c:axId val="778177151"/>
      </c:bubbleChart>
      <c:valAx>
        <c:axId val="778187135"/>
        <c:scaling>
          <c:orientation val="minMax"/>
          <c:max val="2023"/>
          <c:min val="1987"/>
        </c:scaling>
        <c:delete val="0"/>
        <c:axPos val="b"/>
        <c:majorGridlines>
          <c:spPr>
            <a:ln w="9525" cap="flat" cmpd="sng" algn="ctr">
              <a:noFill/>
              <a:round/>
            </a:ln>
            <a:effectLst/>
          </c:spPr>
        </c:majorGridlines>
        <c:numFmt formatCode="General" sourceLinked="1"/>
        <c:majorTickMark val="none"/>
        <c:minorTickMark val="none"/>
        <c:tickLblPos val="none"/>
        <c:spPr>
          <a:noFill/>
          <a:ln w="12700" cap="flat" cmpd="sng" algn="ctr">
            <a:solidFill>
              <a:schemeClr val="tx2"/>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778177151"/>
        <c:crosses val="autoZero"/>
        <c:crossBetween val="midCat"/>
      </c:valAx>
      <c:valAx>
        <c:axId val="778177151"/>
        <c:scaling>
          <c:orientation val="minMax"/>
          <c:max val="2.5"/>
          <c:min val="-1.6"/>
        </c:scaling>
        <c:delete val="1"/>
        <c:axPos val="l"/>
        <c:majorGridlines>
          <c:spPr>
            <a:ln w="9525" cap="flat" cmpd="sng" algn="ctr">
              <a:noFill/>
              <a:round/>
            </a:ln>
            <a:effectLst/>
          </c:spPr>
        </c:majorGridlines>
        <c:numFmt formatCode="General" sourceLinked="1"/>
        <c:majorTickMark val="out"/>
        <c:minorTickMark val="none"/>
        <c:tickLblPos val="nextTo"/>
        <c:crossAx val="778187135"/>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cs-CZ"/>
    </a:p>
  </c:txPr>
  <c:externalData r:id="rId1">
    <c:autoUpdate val="0"/>
  </c:externalData>
  <c:userShapes r:id="rId2"/>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1091405228758169"/>
          <c:y val="5.0925925925925923E-2"/>
          <c:w val="0.84343235294117647"/>
          <c:h val="0.65242058265848446"/>
        </c:manualLayout>
      </c:layout>
      <c:barChart>
        <c:barDir val="col"/>
        <c:grouping val="stacked"/>
        <c:varyColors val="0"/>
        <c:ser>
          <c:idx val="0"/>
          <c:order val="0"/>
          <c:tx>
            <c:strRef>
              <c:f>Dekompozice!$A$23</c:f>
              <c:strCache>
                <c:ptCount val="1"/>
                <c:pt idx="0">
                  <c:v>Využití pracovní síly</c:v>
                </c:pt>
              </c:strCache>
            </c:strRef>
          </c:tx>
          <c:spPr>
            <a:solidFill>
              <a:schemeClr val="tx2"/>
            </a:solidFill>
            <a:ln>
              <a:noFill/>
            </a:ln>
            <a:effectLst/>
          </c:spPr>
          <c:invertIfNegative val="0"/>
          <c:cat>
            <c:numRef>
              <c:f>Dekompozice!$B$22:$W$22</c:f>
              <c:numCache>
                <c:formatCode>General</c:formatCode>
                <c:ptCount val="22"/>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pt idx="20">
                  <c:v>2020</c:v>
                </c:pt>
                <c:pt idx="21">
                  <c:v>2021</c:v>
                </c:pt>
              </c:numCache>
            </c:numRef>
          </c:cat>
          <c:val>
            <c:numRef>
              <c:f>Dekompozice!$B$23:$W$23</c:f>
              <c:numCache>
                <c:formatCode>General</c:formatCode>
                <c:ptCount val="22"/>
                <c:pt idx="0">
                  <c:v>9.7868616221372164</c:v>
                </c:pt>
                <c:pt idx="1">
                  <c:v>6.6243542360779601</c:v>
                </c:pt>
                <c:pt idx="2">
                  <c:v>8.2356624930605715</c:v>
                </c:pt>
                <c:pt idx="3">
                  <c:v>7.712496122547785</c:v>
                </c:pt>
                <c:pt idx="4">
                  <c:v>7.6470712204955964</c:v>
                </c:pt>
                <c:pt idx="5">
                  <c:v>8.7781553537753041</c:v>
                </c:pt>
                <c:pt idx="6">
                  <c:v>7.8021652768198617</c:v>
                </c:pt>
                <c:pt idx="7">
                  <c:v>8.0756355535233215</c:v>
                </c:pt>
                <c:pt idx="8">
                  <c:v>9.7554808180276993</c:v>
                </c:pt>
                <c:pt idx="9">
                  <c:v>9.8324228547706998</c:v>
                </c:pt>
                <c:pt idx="10">
                  <c:v>9.8320733417363009</c:v>
                </c:pt>
                <c:pt idx="11">
                  <c:v>9.7679830942485992</c:v>
                </c:pt>
                <c:pt idx="12">
                  <c:v>9.029176643556692</c:v>
                </c:pt>
                <c:pt idx="13">
                  <c:v>8.5526508055122257</c:v>
                </c:pt>
                <c:pt idx="14">
                  <c:v>9.0867437304630059</c:v>
                </c:pt>
                <c:pt idx="15">
                  <c:v>8.1940990235390974</c:v>
                </c:pt>
                <c:pt idx="16">
                  <c:v>9.8364557136429998</c:v>
                </c:pt>
                <c:pt idx="17">
                  <c:v>9.9377642985123007</c:v>
                </c:pt>
                <c:pt idx="18">
                  <c:v>10.1415365904839</c:v>
                </c:pt>
                <c:pt idx="19">
                  <c:v>10.050000000000001</c:v>
                </c:pt>
                <c:pt idx="20">
                  <c:v>10.1</c:v>
                </c:pt>
                <c:pt idx="21">
                  <c:v>8</c:v>
                </c:pt>
              </c:numCache>
            </c:numRef>
          </c:val>
          <c:extLst>
            <c:ext xmlns:c16="http://schemas.microsoft.com/office/drawing/2014/chart" uri="{C3380CC4-5D6E-409C-BE32-E72D297353CC}">
              <c16:uniqueId val="{00000000-E62F-4703-9A0B-5736B79B1543}"/>
            </c:ext>
          </c:extLst>
        </c:ser>
        <c:ser>
          <c:idx val="1"/>
          <c:order val="1"/>
          <c:tx>
            <c:strRef>
              <c:f>Dekompozice!$A$24</c:f>
              <c:strCache>
                <c:ptCount val="1"/>
                <c:pt idx="0">
                  <c:v>Produktivita práce</c:v>
                </c:pt>
              </c:strCache>
            </c:strRef>
          </c:tx>
          <c:spPr>
            <a:solidFill>
              <a:schemeClr val="accent3"/>
            </a:solidFill>
            <a:ln>
              <a:noFill/>
            </a:ln>
            <a:effectLst/>
          </c:spPr>
          <c:invertIfNegative val="0"/>
          <c:cat>
            <c:numRef>
              <c:f>Dekompozice!$B$22:$W$22</c:f>
              <c:numCache>
                <c:formatCode>General</c:formatCode>
                <c:ptCount val="22"/>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pt idx="20">
                  <c:v>2020</c:v>
                </c:pt>
                <c:pt idx="21">
                  <c:v>2021</c:v>
                </c:pt>
              </c:numCache>
            </c:numRef>
          </c:cat>
          <c:val>
            <c:numRef>
              <c:f>Dekompozice!$B$24:$W$24</c:f>
              <c:numCache>
                <c:formatCode>General</c:formatCode>
                <c:ptCount val="22"/>
                <c:pt idx="0">
                  <c:v>-40.647081844189898</c:v>
                </c:pt>
                <c:pt idx="1">
                  <c:v>-35.804700924153899</c:v>
                </c:pt>
                <c:pt idx="2">
                  <c:v>-36.460100886526199</c:v>
                </c:pt>
                <c:pt idx="3">
                  <c:v>-33.817414095841499</c:v>
                </c:pt>
                <c:pt idx="4">
                  <c:v>-32.723938493944999</c:v>
                </c:pt>
                <c:pt idx="5">
                  <c:v>-32.009654594067101</c:v>
                </c:pt>
                <c:pt idx="6">
                  <c:v>-29.432134977502201</c:v>
                </c:pt>
                <c:pt idx="7">
                  <c:v>-28.311038297087901</c:v>
                </c:pt>
                <c:pt idx="8">
                  <c:v>-27.052249971723999</c:v>
                </c:pt>
                <c:pt idx="9">
                  <c:v>-26.786537669841699</c:v>
                </c:pt>
                <c:pt idx="10">
                  <c:v>-28.684044442601799</c:v>
                </c:pt>
                <c:pt idx="11">
                  <c:v>-28.243672051932698</c:v>
                </c:pt>
                <c:pt idx="12">
                  <c:v>-28.370079161270102</c:v>
                </c:pt>
                <c:pt idx="13">
                  <c:v>-27.136323536821799</c:v>
                </c:pt>
                <c:pt idx="14">
                  <c:v>-25.5304358548964</c:v>
                </c:pt>
                <c:pt idx="15">
                  <c:v>-23.8569728242881</c:v>
                </c:pt>
                <c:pt idx="16">
                  <c:v>-21.997427144812299</c:v>
                </c:pt>
                <c:pt idx="17">
                  <c:v>-19.452245967486601</c:v>
                </c:pt>
                <c:pt idx="18">
                  <c:v>-18.564755257881501</c:v>
                </c:pt>
                <c:pt idx="19">
                  <c:v>-15.5</c:v>
                </c:pt>
                <c:pt idx="20">
                  <c:v>-16.5</c:v>
                </c:pt>
                <c:pt idx="21">
                  <c:v>-16</c:v>
                </c:pt>
              </c:numCache>
            </c:numRef>
          </c:val>
          <c:extLst>
            <c:ext xmlns:c16="http://schemas.microsoft.com/office/drawing/2014/chart" uri="{C3380CC4-5D6E-409C-BE32-E72D297353CC}">
              <c16:uniqueId val="{00000001-E62F-4703-9A0B-5736B79B1543}"/>
            </c:ext>
          </c:extLst>
        </c:ser>
        <c:dLbls>
          <c:showLegendKey val="0"/>
          <c:showVal val="0"/>
          <c:showCatName val="0"/>
          <c:showSerName val="0"/>
          <c:showPercent val="0"/>
          <c:showBubbleSize val="0"/>
        </c:dLbls>
        <c:gapWidth val="150"/>
        <c:overlap val="100"/>
        <c:axId val="1066956623"/>
        <c:axId val="1066964943"/>
      </c:barChart>
      <c:lineChart>
        <c:grouping val="standard"/>
        <c:varyColors val="0"/>
        <c:ser>
          <c:idx val="2"/>
          <c:order val="2"/>
          <c:tx>
            <c:strRef>
              <c:f>Dekompozice!$A$25</c:f>
              <c:strCache>
                <c:ptCount val="1"/>
                <c:pt idx="0">
                  <c:v>HDP na obyvatele</c:v>
                </c:pt>
              </c:strCache>
            </c:strRef>
          </c:tx>
          <c:spPr>
            <a:ln w="12700" cap="rnd">
              <a:solidFill>
                <a:schemeClr val="accent1"/>
              </a:solidFill>
              <a:round/>
            </a:ln>
            <a:effectLst/>
          </c:spPr>
          <c:marker>
            <c:symbol val="none"/>
          </c:marker>
          <c:cat>
            <c:numRef>
              <c:f>Dekompozice!$B$22:$W$22</c:f>
              <c:numCache>
                <c:formatCode>General</c:formatCode>
                <c:ptCount val="22"/>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pt idx="20">
                  <c:v>2020</c:v>
                </c:pt>
                <c:pt idx="21">
                  <c:v>2021</c:v>
                </c:pt>
              </c:numCache>
            </c:numRef>
          </c:cat>
          <c:val>
            <c:numRef>
              <c:f>Dekompozice!$B$25:$W$25</c:f>
              <c:numCache>
                <c:formatCode>General</c:formatCode>
                <c:ptCount val="22"/>
                <c:pt idx="0">
                  <c:v>-35.936163742299662</c:v>
                </c:pt>
                <c:pt idx="1">
                  <c:v>-32.618418844311527</c:v>
                </c:pt>
                <c:pt idx="2">
                  <c:v>-32.309525182958318</c:v>
                </c:pt>
                <c:pt idx="3">
                  <c:v>-29.790211787965276</c:v>
                </c:pt>
                <c:pt idx="4">
                  <c:v>-28.655761092673071</c:v>
                </c:pt>
                <c:pt idx="5">
                  <c:v>-28.216918993682405</c:v>
                </c:pt>
                <c:pt idx="6">
                  <c:v>-27.160379901233934</c:v>
                </c:pt>
                <c:pt idx="7">
                  <c:v>-23.602453495815549</c:v>
                </c:pt>
                <c:pt idx="8">
                  <c:v>-20.745608526871656</c:v>
                </c:pt>
                <c:pt idx="9">
                  <c:v>-19.241935918389501</c:v>
                </c:pt>
                <c:pt idx="10">
                  <c:v>-21.997052596935461</c:v>
                </c:pt>
                <c:pt idx="11">
                  <c:v>-21.624642435298998</c:v>
                </c:pt>
                <c:pt idx="12">
                  <c:v>-22.99277983727546</c:v>
                </c:pt>
                <c:pt idx="13">
                  <c:v>-21.990075331988063</c:v>
                </c:pt>
                <c:pt idx="14">
                  <c:v>-19.854444969642344</c:v>
                </c:pt>
                <c:pt idx="15">
                  <c:v>-18.699679207606543</c:v>
                </c:pt>
                <c:pt idx="16">
                  <c:v>-16.293459933708622</c:v>
                </c:pt>
                <c:pt idx="17">
                  <c:v>-13.660065527512764</c:v>
                </c:pt>
                <c:pt idx="18">
                  <c:v>-12.433688088800464</c:v>
                </c:pt>
                <c:pt idx="19">
                  <c:v>-6</c:v>
                </c:pt>
                <c:pt idx="20">
                  <c:v>-7.5</c:v>
                </c:pt>
                <c:pt idx="21">
                  <c:v>-10</c:v>
                </c:pt>
              </c:numCache>
            </c:numRef>
          </c:val>
          <c:smooth val="0"/>
          <c:extLst>
            <c:ext xmlns:c16="http://schemas.microsoft.com/office/drawing/2014/chart" uri="{C3380CC4-5D6E-409C-BE32-E72D297353CC}">
              <c16:uniqueId val="{00000002-E62F-4703-9A0B-5736B79B1543}"/>
            </c:ext>
          </c:extLst>
        </c:ser>
        <c:dLbls>
          <c:showLegendKey val="0"/>
          <c:showVal val="0"/>
          <c:showCatName val="0"/>
          <c:showSerName val="0"/>
          <c:showPercent val="0"/>
          <c:showBubbleSize val="0"/>
        </c:dLbls>
        <c:marker val="1"/>
        <c:smooth val="0"/>
        <c:axId val="1066956623"/>
        <c:axId val="1066964943"/>
      </c:lineChart>
      <c:catAx>
        <c:axId val="1066956623"/>
        <c:scaling>
          <c:orientation val="minMax"/>
        </c:scaling>
        <c:delete val="0"/>
        <c:axPos val="b"/>
        <c:numFmt formatCode="General" sourceLinked="1"/>
        <c:majorTickMark val="none"/>
        <c:minorTickMark val="none"/>
        <c:tickLblPos val="low"/>
        <c:spPr>
          <a:noFill/>
          <a:ln w="6350" cap="flat" cmpd="sng" algn="ctr">
            <a:solidFill>
              <a:schemeClr val="tx1"/>
            </a:solidFill>
            <a:round/>
          </a:ln>
          <a:effectLst/>
        </c:spPr>
        <c:txPr>
          <a:bodyPr rot="-5400000" spcFirstLastPara="1" vertOverflow="ellipsis" wrap="square" anchor="ctr" anchorCtr="1"/>
          <a:lstStyle/>
          <a:p>
            <a:pPr>
              <a:defRPr sz="900" b="0" i="0" u="none" strike="noStrike" kern="1200" baseline="0">
                <a:solidFill>
                  <a:sysClr val="windowText" lastClr="000000"/>
                </a:solidFill>
                <a:latin typeface="+mn-lt"/>
                <a:ea typeface="+mn-ea"/>
                <a:cs typeface="+mn-cs"/>
              </a:defRPr>
            </a:pPr>
            <a:endParaRPr lang="cs-CZ"/>
          </a:p>
        </c:txPr>
        <c:crossAx val="1066964943"/>
        <c:crosses val="autoZero"/>
        <c:auto val="1"/>
        <c:lblAlgn val="ctr"/>
        <c:lblOffset val="100"/>
        <c:tickLblSkip val="1"/>
        <c:noMultiLvlLbl val="0"/>
      </c:catAx>
      <c:valAx>
        <c:axId val="1066964943"/>
        <c:scaling>
          <c:orientation val="minMax"/>
        </c:scaling>
        <c:delete val="0"/>
        <c:axPos val="l"/>
        <c:majorGridlines>
          <c:spPr>
            <a:ln w="6350" cap="flat" cmpd="sng" algn="ctr">
              <a:solidFill>
                <a:schemeClr val="tx1"/>
              </a:solidFill>
              <a:prstDash val="dash"/>
              <a:round/>
            </a:ln>
            <a:effectLst/>
          </c:spPr>
        </c:majorGridlines>
        <c:numFmt formatCode="General" sourceLinked="1"/>
        <c:majorTickMark val="none"/>
        <c:minorTickMark val="none"/>
        <c:tickLblPos val="low"/>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cs-CZ"/>
          </a:p>
        </c:txPr>
        <c:crossAx val="1066956623"/>
        <c:crosses val="autoZero"/>
        <c:crossBetween val="between"/>
      </c:valAx>
      <c:spPr>
        <a:noFill/>
        <a:ln>
          <a:noFill/>
        </a:ln>
        <a:effectLst/>
      </c:spPr>
    </c:plotArea>
    <c:legend>
      <c:legendPos val="b"/>
      <c:layout>
        <c:manualLayout>
          <c:xMode val="edge"/>
          <c:yMode val="edge"/>
          <c:x val="2.282248929410139E-2"/>
          <c:y val="0.86863517060367446"/>
          <c:w val="0.96839010913109547"/>
          <c:h val="0.11747601834468202"/>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cs-CZ"/>
        </a:p>
      </c:txPr>
    </c:legend>
    <c:plotVisOnly val="1"/>
    <c:dispBlanksAs val="gap"/>
    <c:showDLblsOverMax val="0"/>
  </c:chart>
  <c:spPr>
    <a:solidFill>
      <a:schemeClr val="bg1"/>
    </a:solidFill>
    <a:ln w="9525" cap="flat" cmpd="sng" algn="ctr">
      <a:noFill/>
      <a:round/>
    </a:ln>
    <a:effectLst/>
  </c:spPr>
  <c:txPr>
    <a:bodyPr/>
    <a:lstStyle/>
    <a:p>
      <a:pPr>
        <a:defRPr>
          <a:solidFill>
            <a:sysClr val="windowText" lastClr="000000"/>
          </a:solidFill>
        </a:defRPr>
      </a:pPr>
      <a:endParaRPr lang="cs-CZ"/>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9.91352592309164E-2"/>
          <c:y val="2.9592034510624643E-2"/>
          <c:w val="0.84061252471143422"/>
          <c:h val="0.53890918327291204"/>
        </c:manualLayout>
      </c:layout>
      <c:barChart>
        <c:barDir val="col"/>
        <c:grouping val="stacked"/>
        <c:varyColors val="0"/>
        <c:ser>
          <c:idx val="3"/>
          <c:order val="1"/>
          <c:tx>
            <c:strRef>
              <c:f>HPH!$O$5</c:f>
              <c:strCache>
                <c:ptCount val="1"/>
                <c:pt idx="0">
                  <c:v>Obchod a služby (G...U)</c:v>
                </c:pt>
              </c:strCache>
            </c:strRef>
          </c:tx>
          <c:spPr>
            <a:solidFill>
              <a:schemeClr val="accent4"/>
            </a:solidFill>
            <a:ln>
              <a:noFill/>
            </a:ln>
            <a:effectLst/>
          </c:spPr>
          <c:invertIfNegative val="0"/>
          <c:cat>
            <c:strRef>
              <c:f>HPH!$A$157:$B$184</c:f>
              <c:strCache>
                <c:ptCount val="28"/>
                <c:pt idx="0">
                  <c:v>1996</c:v>
                </c:pt>
                <c:pt idx="1">
                  <c:v>1997</c:v>
                </c:pt>
                <c:pt idx="2">
                  <c:v>1998</c:v>
                </c:pt>
                <c:pt idx="3">
                  <c:v>1999</c:v>
                </c:pt>
                <c:pt idx="4">
                  <c:v>2000</c:v>
                </c:pt>
                <c:pt idx="5">
                  <c:v>2001</c:v>
                </c:pt>
                <c:pt idx="6">
                  <c:v>2002</c:v>
                </c:pt>
                <c:pt idx="7">
                  <c:v>2003</c:v>
                </c:pt>
                <c:pt idx="8">
                  <c:v>2004</c:v>
                </c:pt>
                <c:pt idx="9">
                  <c:v>2005</c:v>
                </c:pt>
                <c:pt idx="10">
                  <c:v>2006</c:v>
                </c:pt>
                <c:pt idx="11">
                  <c:v>2007</c:v>
                </c:pt>
                <c:pt idx="12">
                  <c:v>2008</c:v>
                </c:pt>
                <c:pt idx="13">
                  <c:v>2009</c:v>
                </c:pt>
                <c:pt idx="14">
                  <c:v>2010</c:v>
                </c:pt>
                <c:pt idx="15">
                  <c:v>2011</c:v>
                </c:pt>
                <c:pt idx="16">
                  <c:v>2012</c:v>
                </c:pt>
                <c:pt idx="17">
                  <c:v>2013</c:v>
                </c:pt>
                <c:pt idx="18">
                  <c:v>2014</c:v>
                </c:pt>
                <c:pt idx="19">
                  <c:v>2015</c:v>
                </c:pt>
                <c:pt idx="20">
                  <c:v>2016</c:v>
                </c:pt>
                <c:pt idx="21">
                  <c:v>2017</c:v>
                </c:pt>
                <c:pt idx="22">
                  <c:v>2018</c:v>
                </c:pt>
                <c:pt idx="23">
                  <c:v>2019</c:v>
                </c:pt>
                <c:pt idx="24">
                  <c:v>2020</c:v>
                </c:pt>
                <c:pt idx="25">
                  <c:v>2021</c:v>
                </c:pt>
                <c:pt idx="26">
                  <c:v>2022</c:v>
                </c:pt>
                <c:pt idx="27">
                  <c:v>2023</c:v>
                </c:pt>
              </c:strCache>
            </c:strRef>
          </c:cat>
          <c:val>
            <c:numRef>
              <c:f>HPH!$O$157:$O$184</c:f>
              <c:numCache>
                <c:formatCode>#\ ##0.0</c:formatCode>
                <c:ptCount val="28"/>
                <c:pt idx="0">
                  <c:v>1.36877867868759</c:v>
                </c:pt>
                <c:pt idx="1">
                  <c:v>0.22725135000204982</c:v>
                </c:pt>
                <c:pt idx="2">
                  <c:v>0.33000117081003327</c:v>
                </c:pt>
                <c:pt idx="3">
                  <c:v>0.96595497196624014</c:v>
                </c:pt>
                <c:pt idx="4">
                  <c:v>2.1935455418569552</c:v>
                </c:pt>
                <c:pt idx="5">
                  <c:v>1.9427461156571864</c:v>
                </c:pt>
                <c:pt idx="6">
                  <c:v>0.68673741551138201</c:v>
                </c:pt>
                <c:pt idx="7">
                  <c:v>2.6370763017599348</c:v>
                </c:pt>
                <c:pt idx="8">
                  <c:v>1.7643402055942343</c:v>
                </c:pt>
                <c:pt idx="9">
                  <c:v>2.6311080320266309</c:v>
                </c:pt>
                <c:pt idx="10">
                  <c:v>2.1360176360331322</c:v>
                </c:pt>
                <c:pt idx="11">
                  <c:v>3.9450212702347502</c:v>
                </c:pt>
                <c:pt idx="12">
                  <c:v>1.1187488954635221</c:v>
                </c:pt>
                <c:pt idx="13">
                  <c:v>-2.3501207156585378</c:v>
                </c:pt>
                <c:pt idx="14">
                  <c:v>0.96529135998162885</c:v>
                </c:pt>
                <c:pt idx="15">
                  <c:v>0.11760113628461855</c:v>
                </c:pt>
                <c:pt idx="16">
                  <c:v>0.51183071360808319</c:v>
                </c:pt>
                <c:pt idx="17">
                  <c:v>0.89636649786013378</c:v>
                </c:pt>
                <c:pt idx="18">
                  <c:v>1.471714927328839</c:v>
                </c:pt>
                <c:pt idx="19">
                  <c:v>2.8014543477868075</c:v>
                </c:pt>
                <c:pt idx="20">
                  <c:v>1.6115771892607917</c:v>
                </c:pt>
                <c:pt idx="21">
                  <c:v>2.8584108490554008</c:v>
                </c:pt>
                <c:pt idx="22">
                  <c:v>2.7946984643412343</c:v>
                </c:pt>
                <c:pt idx="23">
                  <c:v>2.2475604195353256</c:v>
                </c:pt>
                <c:pt idx="24">
                  <c:v>-2.0302254108145998</c:v>
                </c:pt>
                <c:pt idx="25">
                  <c:v>2.720005171397784</c:v>
                </c:pt>
                <c:pt idx="26">
                  <c:v>2.3318317122337007</c:v>
                </c:pt>
                <c:pt idx="27">
                  <c:v>0.37587295107476199</c:v>
                </c:pt>
              </c:numCache>
            </c:numRef>
          </c:val>
          <c:extLst>
            <c:ext xmlns:c16="http://schemas.microsoft.com/office/drawing/2014/chart" uri="{C3380CC4-5D6E-409C-BE32-E72D297353CC}">
              <c16:uniqueId val="{00000000-8E56-4E96-8646-ED76F1105F11}"/>
            </c:ext>
          </c:extLst>
        </c:ser>
        <c:ser>
          <c:idx val="2"/>
          <c:order val="2"/>
          <c:tx>
            <c:strRef>
              <c:f>HPH!$F$3</c:f>
              <c:strCache>
                <c:ptCount val="1"/>
                <c:pt idx="0">
                  <c:v>Stavebnictví (F)</c:v>
                </c:pt>
              </c:strCache>
            </c:strRef>
          </c:tx>
          <c:spPr>
            <a:solidFill>
              <a:schemeClr val="accent3"/>
            </a:solidFill>
            <a:ln>
              <a:noFill/>
            </a:ln>
            <a:effectLst/>
          </c:spPr>
          <c:invertIfNegative val="0"/>
          <c:cat>
            <c:strRef>
              <c:f>HPH!$A$157:$B$184</c:f>
              <c:strCache>
                <c:ptCount val="28"/>
                <c:pt idx="0">
                  <c:v>1996</c:v>
                </c:pt>
                <c:pt idx="1">
                  <c:v>1997</c:v>
                </c:pt>
                <c:pt idx="2">
                  <c:v>1998</c:v>
                </c:pt>
                <c:pt idx="3">
                  <c:v>1999</c:v>
                </c:pt>
                <c:pt idx="4">
                  <c:v>2000</c:v>
                </c:pt>
                <c:pt idx="5">
                  <c:v>2001</c:v>
                </c:pt>
                <c:pt idx="6">
                  <c:v>2002</c:v>
                </c:pt>
                <c:pt idx="7">
                  <c:v>2003</c:v>
                </c:pt>
                <c:pt idx="8">
                  <c:v>2004</c:v>
                </c:pt>
                <c:pt idx="9">
                  <c:v>2005</c:v>
                </c:pt>
                <c:pt idx="10">
                  <c:v>2006</c:v>
                </c:pt>
                <c:pt idx="11">
                  <c:v>2007</c:v>
                </c:pt>
                <c:pt idx="12">
                  <c:v>2008</c:v>
                </c:pt>
                <c:pt idx="13">
                  <c:v>2009</c:v>
                </c:pt>
                <c:pt idx="14">
                  <c:v>2010</c:v>
                </c:pt>
                <c:pt idx="15">
                  <c:v>2011</c:v>
                </c:pt>
                <c:pt idx="16">
                  <c:v>2012</c:v>
                </c:pt>
                <c:pt idx="17">
                  <c:v>2013</c:v>
                </c:pt>
                <c:pt idx="18">
                  <c:v>2014</c:v>
                </c:pt>
                <c:pt idx="19">
                  <c:v>2015</c:v>
                </c:pt>
                <c:pt idx="20">
                  <c:v>2016</c:v>
                </c:pt>
                <c:pt idx="21">
                  <c:v>2017</c:v>
                </c:pt>
                <c:pt idx="22">
                  <c:v>2018</c:v>
                </c:pt>
                <c:pt idx="23">
                  <c:v>2019</c:v>
                </c:pt>
                <c:pt idx="24">
                  <c:v>2020</c:v>
                </c:pt>
                <c:pt idx="25">
                  <c:v>2021</c:v>
                </c:pt>
                <c:pt idx="26">
                  <c:v>2022</c:v>
                </c:pt>
                <c:pt idx="27">
                  <c:v>2023</c:v>
                </c:pt>
              </c:strCache>
            </c:strRef>
          </c:cat>
          <c:val>
            <c:numRef>
              <c:f>HPH!$F$157:$F$184</c:f>
              <c:numCache>
                <c:formatCode>#\ ##0.0</c:formatCode>
                <c:ptCount val="28"/>
                <c:pt idx="0">
                  <c:v>-0.26548813032727431</c:v>
                </c:pt>
                <c:pt idx="1">
                  <c:v>-0.89965969577622396</c:v>
                </c:pt>
                <c:pt idx="2">
                  <c:v>-0.42299693916805586</c:v>
                </c:pt>
                <c:pt idx="3">
                  <c:v>-1.0096122289166742</c:v>
                </c:pt>
                <c:pt idx="4">
                  <c:v>-0.56082047864521056</c:v>
                </c:pt>
                <c:pt idx="5">
                  <c:v>-8.7999433566864391E-2</c:v>
                </c:pt>
                <c:pt idx="6">
                  <c:v>0.43751271283785365</c:v>
                </c:pt>
                <c:pt idx="7">
                  <c:v>0.1982492119014567</c:v>
                </c:pt>
                <c:pt idx="8">
                  <c:v>0.30993385080698294</c:v>
                </c:pt>
                <c:pt idx="9">
                  <c:v>0.35997979111254524</c:v>
                </c:pt>
                <c:pt idx="10">
                  <c:v>-1.3441276779806957E-2</c:v>
                </c:pt>
                <c:pt idx="11">
                  <c:v>0.245246118104302</c:v>
                </c:pt>
                <c:pt idx="12">
                  <c:v>-0.15113204622781848</c:v>
                </c:pt>
                <c:pt idx="13">
                  <c:v>0.25575999008728756</c:v>
                </c:pt>
                <c:pt idx="14">
                  <c:v>0.22259837224940293</c:v>
                </c:pt>
                <c:pt idx="15">
                  <c:v>-0.37230663616701742</c:v>
                </c:pt>
                <c:pt idx="16">
                  <c:v>-0.38359336865590071</c:v>
                </c:pt>
                <c:pt idx="17">
                  <c:v>6.7647735636892414E-2</c:v>
                </c:pt>
                <c:pt idx="18">
                  <c:v>0.29091632040826881</c:v>
                </c:pt>
                <c:pt idx="19">
                  <c:v>0.12319762084297099</c:v>
                </c:pt>
                <c:pt idx="20">
                  <c:v>-0.218254158707609</c:v>
                </c:pt>
                <c:pt idx="21">
                  <c:v>6.3277036325285238E-2</c:v>
                </c:pt>
                <c:pt idx="22">
                  <c:v>2.3201992370523859E-2</c:v>
                </c:pt>
                <c:pt idx="23">
                  <c:v>-0.10135643090986036</c:v>
                </c:pt>
                <c:pt idx="24">
                  <c:v>-0.57299157837232806</c:v>
                </c:pt>
                <c:pt idx="25">
                  <c:v>-0.16251040580273926</c:v>
                </c:pt>
                <c:pt idx="26">
                  <c:v>-0.34012636972316662</c:v>
                </c:pt>
                <c:pt idx="27">
                  <c:v>-6.7539797858390371E-2</c:v>
                </c:pt>
              </c:numCache>
            </c:numRef>
          </c:val>
          <c:extLst>
            <c:ext xmlns:c16="http://schemas.microsoft.com/office/drawing/2014/chart" uri="{C3380CC4-5D6E-409C-BE32-E72D297353CC}">
              <c16:uniqueId val="{00000001-8E56-4E96-8646-ED76F1105F11}"/>
            </c:ext>
          </c:extLst>
        </c:ser>
        <c:ser>
          <c:idx val="1"/>
          <c:order val="3"/>
          <c:tx>
            <c:strRef>
              <c:f>HPH!$D$3</c:f>
              <c:strCache>
                <c:ptCount val="1"/>
                <c:pt idx="0">
                  <c:v>Průmysl, těžba a dobývání (B+C+D+E)</c:v>
                </c:pt>
              </c:strCache>
            </c:strRef>
          </c:tx>
          <c:spPr>
            <a:solidFill>
              <a:schemeClr val="accent2"/>
            </a:solidFill>
            <a:ln>
              <a:noFill/>
            </a:ln>
            <a:effectLst/>
          </c:spPr>
          <c:invertIfNegative val="0"/>
          <c:cat>
            <c:strRef>
              <c:f>HPH!$A$157:$B$184</c:f>
              <c:strCache>
                <c:ptCount val="28"/>
                <c:pt idx="0">
                  <c:v>1996</c:v>
                </c:pt>
                <c:pt idx="1">
                  <c:v>1997</c:v>
                </c:pt>
                <c:pt idx="2">
                  <c:v>1998</c:v>
                </c:pt>
                <c:pt idx="3">
                  <c:v>1999</c:v>
                </c:pt>
                <c:pt idx="4">
                  <c:v>2000</c:v>
                </c:pt>
                <c:pt idx="5">
                  <c:v>2001</c:v>
                </c:pt>
                <c:pt idx="6">
                  <c:v>2002</c:v>
                </c:pt>
                <c:pt idx="7">
                  <c:v>2003</c:v>
                </c:pt>
                <c:pt idx="8">
                  <c:v>2004</c:v>
                </c:pt>
                <c:pt idx="9">
                  <c:v>2005</c:v>
                </c:pt>
                <c:pt idx="10">
                  <c:v>2006</c:v>
                </c:pt>
                <c:pt idx="11">
                  <c:v>2007</c:v>
                </c:pt>
                <c:pt idx="12">
                  <c:v>2008</c:v>
                </c:pt>
                <c:pt idx="13">
                  <c:v>2009</c:v>
                </c:pt>
                <c:pt idx="14">
                  <c:v>2010</c:v>
                </c:pt>
                <c:pt idx="15">
                  <c:v>2011</c:v>
                </c:pt>
                <c:pt idx="16">
                  <c:v>2012</c:v>
                </c:pt>
                <c:pt idx="17">
                  <c:v>2013</c:v>
                </c:pt>
                <c:pt idx="18">
                  <c:v>2014</c:v>
                </c:pt>
                <c:pt idx="19">
                  <c:v>2015</c:v>
                </c:pt>
                <c:pt idx="20">
                  <c:v>2016</c:v>
                </c:pt>
                <c:pt idx="21">
                  <c:v>2017</c:v>
                </c:pt>
                <c:pt idx="22">
                  <c:v>2018</c:v>
                </c:pt>
                <c:pt idx="23">
                  <c:v>2019</c:v>
                </c:pt>
                <c:pt idx="24">
                  <c:v>2020</c:v>
                </c:pt>
                <c:pt idx="25">
                  <c:v>2021</c:v>
                </c:pt>
                <c:pt idx="26">
                  <c:v>2022</c:v>
                </c:pt>
                <c:pt idx="27">
                  <c:v>2023</c:v>
                </c:pt>
              </c:strCache>
            </c:strRef>
          </c:cat>
          <c:val>
            <c:numRef>
              <c:f>HPH!$D$157:$D$184</c:f>
              <c:numCache>
                <c:formatCode>#\ ##0.0</c:formatCode>
                <c:ptCount val="28"/>
                <c:pt idx="0">
                  <c:v>2.9320324161904283</c:v>
                </c:pt>
                <c:pt idx="1">
                  <c:v>-0.25384138591367222</c:v>
                </c:pt>
                <c:pt idx="2">
                  <c:v>-0.38803989674570566</c:v>
                </c:pt>
                <c:pt idx="3">
                  <c:v>1.2450968270129532</c:v>
                </c:pt>
                <c:pt idx="4">
                  <c:v>2.8832885787647737</c:v>
                </c:pt>
                <c:pt idx="5">
                  <c:v>1.2116703616620399</c:v>
                </c:pt>
                <c:pt idx="6">
                  <c:v>0.93290466741092948</c:v>
                </c:pt>
                <c:pt idx="7">
                  <c:v>4.5649757015652215E-2</c:v>
                </c:pt>
                <c:pt idx="8">
                  <c:v>2.2984402928733432</c:v>
                </c:pt>
                <c:pt idx="9">
                  <c:v>3.6147820968804867</c:v>
                </c:pt>
                <c:pt idx="10">
                  <c:v>5.5164819024493443</c:v>
                </c:pt>
                <c:pt idx="11">
                  <c:v>1.6249774217859523</c:v>
                </c:pt>
                <c:pt idx="12">
                  <c:v>2.3929764920321812</c:v>
                </c:pt>
                <c:pt idx="13">
                  <c:v>-3.682851062041244</c:v>
                </c:pt>
                <c:pt idx="14">
                  <c:v>2.0474133415429518</c:v>
                </c:pt>
                <c:pt idx="15">
                  <c:v>2.1667974731131112</c:v>
                </c:pt>
                <c:pt idx="16">
                  <c:v>-1.0807952570735855</c:v>
                </c:pt>
                <c:pt idx="17">
                  <c:v>-0.93183599816994789</c:v>
                </c:pt>
                <c:pt idx="18">
                  <c:v>0.90906299029327087</c:v>
                </c:pt>
                <c:pt idx="19">
                  <c:v>1.7957179347080605</c:v>
                </c:pt>
                <c:pt idx="20">
                  <c:v>0.88016778813388497</c:v>
                </c:pt>
                <c:pt idx="21">
                  <c:v>2.5639140962641043</c:v>
                </c:pt>
                <c:pt idx="22">
                  <c:v>0.48228396324821798</c:v>
                </c:pt>
                <c:pt idx="23">
                  <c:v>0.68860100676351388</c:v>
                </c:pt>
                <c:pt idx="24">
                  <c:v>-2.9056239052743571</c:v>
                </c:pt>
                <c:pt idx="25">
                  <c:v>1.1218354768276939</c:v>
                </c:pt>
                <c:pt idx="26">
                  <c:v>0.51761416327002829</c:v>
                </c:pt>
                <c:pt idx="27">
                  <c:v>0.14637414805354235</c:v>
                </c:pt>
              </c:numCache>
            </c:numRef>
          </c:val>
          <c:extLst>
            <c:ext xmlns:c16="http://schemas.microsoft.com/office/drawing/2014/chart" uri="{C3380CC4-5D6E-409C-BE32-E72D297353CC}">
              <c16:uniqueId val="{00000002-8E56-4E96-8646-ED76F1105F11}"/>
            </c:ext>
          </c:extLst>
        </c:ser>
        <c:ser>
          <c:idx val="0"/>
          <c:order val="4"/>
          <c:tx>
            <c:strRef>
              <c:f>HPH!$C$3</c:f>
              <c:strCache>
                <c:ptCount val="1"/>
                <c:pt idx="0">
                  <c:v>Zemědělství, lesnictví a rybářství (A)</c:v>
                </c:pt>
              </c:strCache>
            </c:strRef>
          </c:tx>
          <c:spPr>
            <a:solidFill>
              <a:schemeClr val="accent1"/>
            </a:solidFill>
            <a:ln>
              <a:noFill/>
            </a:ln>
            <a:effectLst/>
          </c:spPr>
          <c:invertIfNegative val="0"/>
          <c:cat>
            <c:strRef>
              <c:f>HPH!$A$157:$B$184</c:f>
              <c:strCache>
                <c:ptCount val="28"/>
                <c:pt idx="0">
                  <c:v>1996</c:v>
                </c:pt>
                <c:pt idx="1">
                  <c:v>1997</c:v>
                </c:pt>
                <c:pt idx="2">
                  <c:v>1998</c:v>
                </c:pt>
                <c:pt idx="3">
                  <c:v>1999</c:v>
                </c:pt>
                <c:pt idx="4">
                  <c:v>2000</c:v>
                </c:pt>
                <c:pt idx="5">
                  <c:v>2001</c:v>
                </c:pt>
                <c:pt idx="6">
                  <c:v>2002</c:v>
                </c:pt>
                <c:pt idx="7">
                  <c:v>2003</c:v>
                </c:pt>
                <c:pt idx="8">
                  <c:v>2004</c:v>
                </c:pt>
                <c:pt idx="9">
                  <c:v>2005</c:v>
                </c:pt>
                <c:pt idx="10">
                  <c:v>2006</c:v>
                </c:pt>
                <c:pt idx="11">
                  <c:v>2007</c:v>
                </c:pt>
                <c:pt idx="12">
                  <c:v>2008</c:v>
                </c:pt>
                <c:pt idx="13">
                  <c:v>2009</c:v>
                </c:pt>
                <c:pt idx="14">
                  <c:v>2010</c:v>
                </c:pt>
                <c:pt idx="15">
                  <c:v>2011</c:v>
                </c:pt>
                <c:pt idx="16">
                  <c:v>2012</c:v>
                </c:pt>
                <c:pt idx="17">
                  <c:v>2013</c:v>
                </c:pt>
                <c:pt idx="18">
                  <c:v>2014</c:v>
                </c:pt>
                <c:pt idx="19">
                  <c:v>2015</c:v>
                </c:pt>
                <c:pt idx="20">
                  <c:v>2016</c:v>
                </c:pt>
                <c:pt idx="21">
                  <c:v>2017</c:v>
                </c:pt>
                <c:pt idx="22">
                  <c:v>2018</c:v>
                </c:pt>
                <c:pt idx="23">
                  <c:v>2019</c:v>
                </c:pt>
                <c:pt idx="24">
                  <c:v>2020</c:v>
                </c:pt>
                <c:pt idx="25">
                  <c:v>2021</c:v>
                </c:pt>
                <c:pt idx="26">
                  <c:v>2022</c:v>
                </c:pt>
                <c:pt idx="27">
                  <c:v>2023</c:v>
                </c:pt>
              </c:strCache>
            </c:strRef>
          </c:cat>
          <c:val>
            <c:numRef>
              <c:f>HPH!$C$157:$C$184</c:f>
              <c:numCache>
                <c:formatCode>#\ ##0.0</c:formatCode>
                <c:ptCount val="28"/>
                <c:pt idx="0">
                  <c:v>-0.11186801644411533</c:v>
                </c:pt>
                <c:pt idx="1">
                  <c:v>-0.32782318651131492</c:v>
                </c:pt>
                <c:pt idx="2">
                  <c:v>0.15532746441573791</c:v>
                </c:pt>
                <c:pt idx="3">
                  <c:v>7.7494175216212824E-2</c:v>
                </c:pt>
                <c:pt idx="4">
                  <c:v>8.8643446559125025E-2</c:v>
                </c:pt>
                <c:pt idx="5">
                  <c:v>-8.3677622304959877E-3</c:v>
                </c:pt>
                <c:pt idx="6">
                  <c:v>-0.10858196707040588</c:v>
                </c:pt>
                <c:pt idx="7">
                  <c:v>8.5445938777293826E-2</c:v>
                </c:pt>
                <c:pt idx="8">
                  <c:v>0.33582303579373607</c:v>
                </c:pt>
                <c:pt idx="9">
                  <c:v>0.24829909728365818</c:v>
                </c:pt>
                <c:pt idx="10">
                  <c:v>-0.18019395863455495</c:v>
                </c:pt>
                <c:pt idx="11">
                  <c:v>-0.54265569624983645</c:v>
                </c:pt>
                <c:pt idx="12">
                  <c:v>3.9119893895866731E-2</c:v>
                </c:pt>
                <c:pt idx="13">
                  <c:v>0.64045074457243512</c:v>
                </c:pt>
                <c:pt idx="14">
                  <c:v>-0.38650206828193895</c:v>
                </c:pt>
                <c:pt idx="15">
                  <c:v>-0.15768802537857454</c:v>
                </c:pt>
                <c:pt idx="16">
                  <c:v>0.18940928694852144</c:v>
                </c:pt>
                <c:pt idx="17">
                  <c:v>-4.2949647997850074E-2</c:v>
                </c:pt>
                <c:pt idx="18">
                  <c:v>0.18515305770590162</c:v>
                </c:pt>
                <c:pt idx="19">
                  <c:v>0.18010112842505802</c:v>
                </c:pt>
                <c:pt idx="20">
                  <c:v>0.12898472820818016</c:v>
                </c:pt>
                <c:pt idx="21">
                  <c:v>-8.8110200819378495E-2</c:v>
                </c:pt>
                <c:pt idx="22">
                  <c:v>9.3308106149876169E-2</c:v>
                </c:pt>
                <c:pt idx="23">
                  <c:v>0.10065996392301009</c:v>
                </c:pt>
                <c:pt idx="24">
                  <c:v>0.22758832776539395</c:v>
                </c:pt>
                <c:pt idx="25">
                  <c:v>-0.32059588046606458</c:v>
                </c:pt>
                <c:pt idx="26">
                  <c:v>-0.16781057300318572</c:v>
                </c:pt>
                <c:pt idx="27">
                  <c:v>5.2978763478910632E-3</c:v>
                </c:pt>
              </c:numCache>
            </c:numRef>
          </c:val>
          <c:extLst>
            <c:ext xmlns:c16="http://schemas.microsoft.com/office/drawing/2014/chart" uri="{C3380CC4-5D6E-409C-BE32-E72D297353CC}">
              <c16:uniqueId val="{00000003-8E56-4E96-8646-ED76F1105F11}"/>
            </c:ext>
          </c:extLst>
        </c:ser>
        <c:dLbls>
          <c:showLegendKey val="0"/>
          <c:showVal val="0"/>
          <c:showCatName val="0"/>
          <c:showSerName val="0"/>
          <c:showPercent val="0"/>
          <c:showBubbleSize val="0"/>
        </c:dLbls>
        <c:gapWidth val="50"/>
        <c:overlap val="100"/>
        <c:axId val="148380784"/>
        <c:axId val="149885120"/>
      </c:barChart>
      <c:lineChart>
        <c:grouping val="standard"/>
        <c:varyColors val="0"/>
        <c:ser>
          <c:idx val="4"/>
          <c:order val="0"/>
          <c:tx>
            <c:strRef>
              <c:f>HPH!$N$3</c:f>
              <c:strCache>
                <c:ptCount val="1"/>
                <c:pt idx="0">
                  <c:v>Hrubá přidaná hodnota </c:v>
                </c:pt>
              </c:strCache>
            </c:strRef>
          </c:tx>
          <c:spPr>
            <a:ln w="12700" cap="rnd">
              <a:solidFill>
                <a:srgbClr val="000000"/>
              </a:solidFill>
              <a:round/>
            </a:ln>
            <a:effectLst/>
          </c:spPr>
          <c:marker>
            <c:symbol val="none"/>
          </c:marker>
          <c:cat>
            <c:strRef>
              <c:f>'[4]Zdroje HPH'!$A$103:$A$125</c:f>
              <c:strCache>
                <c:ptCount val="23"/>
                <c:pt idx="0">
                  <c:v>I/18</c:v>
                </c:pt>
                <c:pt idx="1">
                  <c:v>II</c:v>
                </c:pt>
                <c:pt idx="2">
                  <c:v>III</c:v>
                </c:pt>
                <c:pt idx="3">
                  <c:v>IV</c:v>
                </c:pt>
                <c:pt idx="4">
                  <c:v>I/19</c:v>
                </c:pt>
                <c:pt idx="5">
                  <c:v>II</c:v>
                </c:pt>
                <c:pt idx="6">
                  <c:v>III</c:v>
                </c:pt>
                <c:pt idx="7">
                  <c:v>IV</c:v>
                </c:pt>
                <c:pt idx="8">
                  <c:v>I/20</c:v>
                </c:pt>
                <c:pt idx="9">
                  <c:v>II</c:v>
                </c:pt>
                <c:pt idx="10">
                  <c:v>III</c:v>
                </c:pt>
                <c:pt idx="11">
                  <c:v>IV</c:v>
                </c:pt>
                <c:pt idx="12">
                  <c:v>I/21</c:v>
                </c:pt>
                <c:pt idx="13">
                  <c:v>II</c:v>
                </c:pt>
                <c:pt idx="14">
                  <c:v>III</c:v>
                </c:pt>
                <c:pt idx="15">
                  <c:v>IV</c:v>
                </c:pt>
                <c:pt idx="16">
                  <c:v>I/22</c:v>
                </c:pt>
                <c:pt idx="17">
                  <c:v>II</c:v>
                </c:pt>
                <c:pt idx="18">
                  <c:v>III</c:v>
                </c:pt>
                <c:pt idx="19">
                  <c:v>IV</c:v>
                </c:pt>
                <c:pt idx="20">
                  <c:v>I/23</c:v>
                </c:pt>
                <c:pt idx="21">
                  <c:v>II</c:v>
                </c:pt>
                <c:pt idx="22">
                  <c:v>III</c:v>
                </c:pt>
              </c:strCache>
            </c:strRef>
          </c:cat>
          <c:val>
            <c:numRef>
              <c:f>HPH!$N$157:$N$184</c:f>
              <c:numCache>
                <c:formatCode>#\ ##0.0</c:formatCode>
                <c:ptCount val="28"/>
                <c:pt idx="0">
                  <c:v>3.9234549481066283</c:v>
                </c:pt>
                <c:pt idx="1">
                  <c:v>-1.2540729181991612</c:v>
                </c:pt>
                <c:pt idx="2">
                  <c:v>-0.32570820068799028</c:v>
                </c:pt>
                <c:pt idx="3">
                  <c:v>1.2789337452787324</c:v>
                </c:pt>
                <c:pt idx="4">
                  <c:v>4.6046570885356433</c:v>
                </c:pt>
                <c:pt idx="5">
                  <c:v>3.0580492815218663</c:v>
                </c:pt>
                <c:pt idx="6">
                  <c:v>1.9485728286897592</c:v>
                </c:pt>
                <c:pt idx="7">
                  <c:v>2.9664212094543374</c:v>
                </c:pt>
                <c:pt idx="8">
                  <c:v>4.7085373850682961</c:v>
                </c:pt>
                <c:pt idx="9">
                  <c:v>6.8541690173033212</c:v>
                </c:pt>
                <c:pt idx="10">
                  <c:v>7.4588643030681148</c:v>
                </c:pt>
                <c:pt idx="11">
                  <c:v>5.2725891138751688</c:v>
                </c:pt>
                <c:pt idx="12">
                  <c:v>3.3997132351637518</c:v>
                </c:pt>
                <c:pt idx="13">
                  <c:v>-5.1367610430400585</c:v>
                </c:pt>
                <c:pt idx="14">
                  <c:v>2.848801005492045</c:v>
                </c:pt>
                <c:pt idx="15">
                  <c:v>1.754403947852138</c:v>
                </c:pt>
                <c:pt idx="16">
                  <c:v>-0.76314862517288162</c:v>
                </c:pt>
                <c:pt idx="17">
                  <c:v>-1.0771412670771771E-2</c:v>
                </c:pt>
                <c:pt idx="18">
                  <c:v>2.8568472957362805</c:v>
                </c:pt>
                <c:pt idx="19">
                  <c:v>4.9004710317628968</c:v>
                </c:pt>
                <c:pt idx="20">
                  <c:v>2.4024755468952477</c:v>
                </c:pt>
                <c:pt idx="21">
                  <c:v>5.3974917808254119</c:v>
                </c:pt>
                <c:pt idx="22">
                  <c:v>3.3934925261098523</c:v>
                </c:pt>
                <c:pt idx="23">
                  <c:v>2.935464959311989</c:v>
                </c:pt>
                <c:pt idx="24">
                  <c:v>-5.2812525666958914</c:v>
                </c:pt>
                <c:pt idx="25">
                  <c:v>3.3587343619566736</c:v>
                </c:pt>
                <c:pt idx="26">
                  <c:v>2.3415089327773768</c:v>
                </c:pt>
                <c:pt idx="27">
                  <c:v>0.46000517761780507</c:v>
                </c:pt>
              </c:numCache>
            </c:numRef>
          </c:val>
          <c:smooth val="0"/>
          <c:extLst>
            <c:ext xmlns:c16="http://schemas.microsoft.com/office/drawing/2014/chart" uri="{C3380CC4-5D6E-409C-BE32-E72D297353CC}">
              <c16:uniqueId val="{00000004-8E56-4E96-8646-ED76F1105F11}"/>
            </c:ext>
          </c:extLst>
        </c:ser>
        <c:dLbls>
          <c:showLegendKey val="0"/>
          <c:showVal val="0"/>
          <c:showCatName val="0"/>
          <c:showSerName val="0"/>
          <c:showPercent val="0"/>
          <c:showBubbleSize val="0"/>
        </c:dLbls>
        <c:marker val="1"/>
        <c:smooth val="0"/>
        <c:axId val="148380784"/>
        <c:axId val="149885120"/>
      </c:lineChart>
      <c:catAx>
        <c:axId val="148380784"/>
        <c:scaling>
          <c:orientation val="minMax"/>
        </c:scaling>
        <c:delete val="0"/>
        <c:axPos val="b"/>
        <c:numFmt formatCode="General" sourceLinked="1"/>
        <c:majorTickMark val="none"/>
        <c:minorTickMark val="none"/>
        <c:tickLblPos val="low"/>
        <c:spPr>
          <a:noFill/>
          <a:ln w="6350" cap="flat" cmpd="sng" algn="ctr">
            <a:solidFill>
              <a:schemeClr val="tx1"/>
            </a:solidFill>
            <a:round/>
          </a:ln>
          <a:effectLst/>
        </c:spPr>
        <c:txPr>
          <a:bodyPr rot="-5400000" spcFirstLastPara="1" vertOverflow="ellipsis" wrap="square" anchor="ctr" anchorCtr="1"/>
          <a:lstStyle/>
          <a:p>
            <a:pPr>
              <a:defRPr sz="800" b="0" i="0" u="none" strike="noStrike" kern="1200" baseline="0">
                <a:solidFill>
                  <a:schemeClr val="tx1"/>
                </a:solidFill>
                <a:latin typeface="+mn-lt"/>
                <a:ea typeface="+mn-ea"/>
                <a:cs typeface="+mn-cs"/>
              </a:defRPr>
            </a:pPr>
            <a:endParaRPr lang="cs-CZ"/>
          </a:p>
        </c:txPr>
        <c:crossAx val="149885120"/>
        <c:crosses val="autoZero"/>
        <c:auto val="1"/>
        <c:lblAlgn val="ctr"/>
        <c:lblOffset val="100"/>
        <c:tickLblSkip val="1"/>
        <c:tickMarkSkip val="4"/>
        <c:noMultiLvlLbl val="0"/>
      </c:catAx>
      <c:valAx>
        <c:axId val="149885120"/>
        <c:scaling>
          <c:orientation val="minMax"/>
          <c:max val="8"/>
        </c:scaling>
        <c:delete val="0"/>
        <c:axPos val="l"/>
        <c:majorGridlines>
          <c:spPr>
            <a:ln w="6350" cap="flat" cmpd="sng" algn="ctr">
              <a:solidFill>
                <a:schemeClr val="tx1"/>
              </a:solidFill>
              <a:prstDash val="dash"/>
              <a:round/>
            </a:ln>
            <a:effectLst/>
          </c:spPr>
        </c:majorGridlines>
        <c:numFmt formatCode="#,##0" sourceLinked="0"/>
        <c:majorTickMark val="none"/>
        <c:minorTickMark val="none"/>
        <c:tickLblPos val="nextTo"/>
        <c:spPr>
          <a:noFill/>
          <a:ln w="3175">
            <a:noFill/>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cs-CZ"/>
          </a:p>
        </c:txPr>
        <c:crossAx val="148380784"/>
        <c:crosses val="autoZero"/>
        <c:crossBetween val="between"/>
        <c:majorUnit val="1"/>
      </c:valAx>
      <c:spPr>
        <a:noFill/>
        <a:ln>
          <a:noFill/>
        </a:ln>
        <a:effectLst/>
      </c:spPr>
    </c:plotArea>
    <c:legend>
      <c:legendPos val="b"/>
      <c:layout>
        <c:manualLayout>
          <c:xMode val="edge"/>
          <c:yMode val="edge"/>
          <c:x val="2.6710668962438597E-3"/>
          <c:y val="0.70122982427783043"/>
          <c:w val="0.99732893310375614"/>
          <c:h val="0.29563026762417166"/>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cs-CZ"/>
        </a:p>
      </c:txPr>
    </c:legend>
    <c:plotVisOnly val="1"/>
    <c:dispBlanksAs val="gap"/>
    <c:showDLblsOverMax val="0"/>
  </c:chart>
  <c:spPr>
    <a:solidFill>
      <a:schemeClr val="bg1"/>
    </a:solidFill>
    <a:ln w="9525" cap="flat" cmpd="sng" algn="ctr">
      <a:noFill/>
      <a:round/>
    </a:ln>
    <a:effectLst/>
  </c:spPr>
  <c:txPr>
    <a:bodyPr/>
    <a:lstStyle/>
    <a:p>
      <a:pPr>
        <a:defRPr sz="800">
          <a:solidFill>
            <a:schemeClr val="tx1"/>
          </a:solidFill>
        </a:defRPr>
      </a:pPr>
      <a:endParaRPr lang="cs-CZ"/>
    </a:p>
  </c:txPr>
  <c:externalData r:id="rId4">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1877241406439516"/>
          <c:y val="6.3510392609699776E-2"/>
          <c:w val="0.83543241524451406"/>
          <c:h val="0.56868669418632145"/>
        </c:manualLayout>
      </c:layout>
      <c:lineChart>
        <c:grouping val="standard"/>
        <c:varyColors val="0"/>
        <c:ser>
          <c:idx val="1"/>
          <c:order val="0"/>
          <c:tx>
            <c:strRef>
              <c:f>HDP_PPP!$A$29</c:f>
              <c:strCache>
                <c:ptCount val="1"/>
                <c:pt idx="0">
                  <c:v>Německo</c:v>
                </c:pt>
              </c:strCache>
            </c:strRef>
          </c:tx>
          <c:spPr>
            <a:ln w="12700" cap="rnd">
              <a:solidFill>
                <a:schemeClr val="accent1"/>
              </a:solidFill>
              <a:round/>
            </a:ln>
            <a:effectLst/>
          </c:spPr>
          <c:marker>
            <c:symbol val="none"/>
          </c:marker>
          <c:cat>
            <c:strRef>
              <c:f>'[7]Sheet 3'!$B$9:$AD$9</c:f>
              <c:strCache>
                <c:ptCount val="29"/>
                <c:pt idx="0">
                  <c:v>1995</c:v>
                </c:pt>
                <c:pt idx="1">
                  <c:v>1996</c:v>
                </c:pt>
                <c:pt idx="2">
                  <c:v>1997</c:v>
                </c:pt>
                <c:pt idx="3">
                  <c:v>1998</c:v>
                </c:pt>
                <c:pt idx="4">
                  <c:v>1999</c:v>
                </c:pt>
                <c:pt idx="5">
                  <c:v>2000</c:v>
                </c:pt>
                <c:pt idx="6">
                  <c:v>2001</c:v>
                </c:pt>
                <c:pt idx="7">
                  <c:v>2002</c:v>
                </c:pt>
                <c:pt idx="8">
                  <c:v>2003</c:v>
                </c:pt>
                <c:pt idx="9">
                  <c:v>2004</c:v>
                </c:pt>
                <c:pt idx="10">
                  <c:v>2005</c:v>
                </c:pt>
                <c:pt idx="11">
                  <c:v>2006</c:v>
                </c:pt>
                <c:pt idx="12">
                  <c:v>2007</c:v>
                </c:pt>
                <c:pt idx="13">
                  <c:v>2008</c:v>
                </c:pt>
                <c:pt idx="14">
                  <c:v>2009</c:v>
                </c:pt>
                <c:pt idx="15">
                  <c:v>2010</c:v>
                </c:pt>
                <c:pt idx="16">
                  <c:v>2011</c:v>
                </c:pt>
                <c:pt idx="17">
                  <c:v>2012</c:v>
                </c:pt>
                <c:pt idx="18">
                  <c:v>2013</c:v>
                </c:pt>
                <c:pt idx="19">
                  <c:v>2014</c:v>
                </c:pt>
                <c:pt idx="20">
                  <c:v>2015</c:v>
                </c:pt>
                <c:pt idx="21">
                  <c:v>2016</c:v>
                </c:pt>
                <c:pt idx="22">
                  <c:v>2017</c:v>
                </c:pt>
                <c:pt idx="23">
                  <c:v>2018</c:v>
                </c:pt>
                <c:pt idx="24">
                  <c:v>2019</c:v>
                </c:pt>
                <c:pt idx="25">
                  <c:v>2020</c:v>
                </c:pt>
                <c:pt idx="26">
                  <c:v>2021</c:v>
                </c:pt>
                <c:pt idx="27">
                  <c:v>2022</c:v>
                </c:pt>
                <c:pt idx="28">
                  <c:v>2023</c:v>
                </c:pt>
              </c:strCache>
            </c:strRef>
          </c:cat>
          <c:val>
            <c:numRef>
              <c:f>'[7]Sheet 3'!$B$29:$AD$29</c:f>
              <c:numCache>
                <c:formatCode>#,##0</c:formatCode>
                <c:ptCount val="29"/>
                <c:pt idx="0">
                  <c:v>133</c:v>
                </c:pt>
                <c:pt idx="1">
                  <c:v>132</c:v>
                </c:pt>
                <c:pt idx="2">
                  <c:v>129</c:v>
                </c:pt>
                <c:pt idx="3">
                  <c:v>127</c:v>
                </c:pt>
                <c:pt idx="4">
                  <c:v>127</c:v>
                </c:pt>
                <c:pt idx="5">
                  <c:v>124</c:v>
                </c:pt>
                <c:pt idx="6">
                  <c:v>123</c:v>
                </c:pt>
                <c:pt idx="7">
                  <c:v>122</c:v>
                </c:pt>
                <c:pt idx="8">
                  <c:v>122</c:v>
                </c:pt>
                <c:pt idx="9">
                  <c:v>122</c:v>
                </c:pt>
                <c:pt idx="10">
                  <c:v>120</c:v>
                </c:pt>
                <c:pt idx="11">
                  <c:v>119</c:v>
                </c:pt>
                <c:pt idx="12">
                  <c:v>118</c:v>
                </c:pt>
                <c:pt idx="13">
                  <c:v>118</c:v>
                </c:pt>
                <c:pt idx="14">
                  <c:v>118</c:v>
                </c:pt>
                <c:pt idx="15">
                  <c:v>121</c:v>
                </c:pt>
                <c:pt idx="16">
                  <c:v>124</c:v>
                </c:pt>
                <c:pt idx="17">
                  <c:v>124</c:v>
                </c:pt>
                <c:pt idx="18">
                  <c:v>125</c:v>
                </c:pt>
                <c:pt idx="19">
                  <c:v>127</c:v>
                </c:pt>
                <c:pt idx="20">
                  <c:v>124</c:v>
                </c:pt>
                <c:pt idx="21">
                  <c:v>125</c:v>
                </c:pt>
                <c:pt idx="22">
                  <c:v>124</c:v>
                </c:pt>
                <c:pt idx="23">
                  <c:v>124</c:v>
                </c:pt>
                <c:pt idx="24">
                  <c:v>121</c:v>
                </c:pt>
                <c:pt idx="25">
                  <c:v>123</c:v>
                </c:pt>
                <c:pt idx="26">
                  <c:v>119</c:v>
                </c:pt>
                <c:pt idx="27">
                  <c:v>117</c:v>
                </c:pt>
                <c:pt idx="28">
                  <c:v>115</c:v>
                </c:pt>
              </c:numCache>
            </c:numRef>
          </c:val>
          <c:smooth val="0"/>
          <c:extLst>
            <c:ext xmlns:c16="http://schemas.microsoft.com/office/drawing/2014/chart" uri="{C3380CC4-5D6E-409C-BE32-E72D297353CC}">
              <c16:uniqueId val="{00000000-6056-4A5A-BF30-D4B26DC6C161}"/>
            </c:ext>
          </c:extLst>
        </c:ser>
        <c:ser>
          <c:idx val="2"/>
          <c:order val="1"/>
          <c:tx>
            <c:strRef>
              <c:f>HDP_PPP!$A$27</c:f>
              <c:strCache>
                <c:ptCount val="1"/>
                <c:pt idx="0">
                  <c:v>ČR</c:v>
                </c:pt>
              </c:strCache>
            </c:strRef>
          </c:tx>
          <c:spPr>
            <a:ln w="12700" cap="rnd">
              <a:solidFill>
                <a:schemeClr val="tx1"/>
              </a:solidFill>
              <a:round/>
            </a:ln>
            <a:effectLst/>
          </c:spPr>
          <c:marker>
            <c:symbol val="none"/>
          </c:marker>
          <c:cat>
            <c:strRef>
              <c:f>'[7]Sheet 3'!$B$9:$AD$9</c:f>
              <c:strCache>
                <c:ptCount val="29"/>
                <c:pt idx="0">
                  <c:v>1995</c:v>
                </c:pt>
                <c:pt idx="1">
                  <c:v>1996</c:v>
                </c:pt>
                <c:pt idx="2">
                  <c:v>1997</c:v>
                </c:pt>
                <c:pt idx="3">
                  <c:v>1998</c:v>
                </c:pt>
                <c:pt idx="4">
                  <c:v>1999</c:v>
                </c:pt>
                <c:pt idx="5">
                  <c:v>2000</c:v>
                </c:pt>
                <c:pt idx="6">
                  <c:v>2001</c:v>
                </c:pt>
                <c:pt idx="7">
                  <c:v>2002</c:v>
                </c:pt>
                <c:pt idx="8">
                  <c:v>2003</c:v>
                </c:pt>
                <c:pt idx="9">
                  <c:v>2004</c:v>
                </c:pt>
                <c:pt idx="10">
                  <c:v>2005</c:v>
                </c:pt>
                <c:pt idx="11">
                  <c:v>2006</c:v>
                </c:pt>
                <c:pt idx="12">
                  <c:v>2007</c:v>
                </c:pt>
                <c:pt idx="13">
                  <c:v>2008</c:v>
                </c:pt>
                <c:pt idx="14">
                  <c:v>2009</c:v>
                </c:pt>
                <c:pt idx="15">
                  <c:v>2010</c:v>
                </c:pt>
                <c:pt idx="16">
                  <c:v>2011</c:v>
                </c:pt>
                <c:pt idx="17">
                  <c:v>2012</c:v>
                </c:pt>
                <c:pt idx="18">
                  <c:v>2013</c:v>
                </c:pt>
                <c:pt idx="19">
                  <c:v>2014</c:v>
                </c:pt>
                <c:pt idx="20">
                  <c:v>2015</c:v>
                </c:pt>
                <c:pt idx="21">
                  <c:v>2016</c:v>
                </c:pt>
                <c:pt idx="22">
                  <c:v>2017</c:v>
                </c:pt>
                <c:pt idx="23">
                  <c:v>2018</c:v>
                </c:pt>
                <c:pt idx="24">
                  <c:v>2019</c:v>
                </c:pt>
                <c:pt idx="25">
                  <c:v>2020</c:v>
                </c:pt>
                <c:pt idx="26">
                  <c:v>2021</c:v>
                </c:pt>
                <c:pt idx="27">
                  <c:v>2022</c:v>
                </c:pt>
                <c:pt idx="28">
                  <c:v>2023</c:v>
                </c:pt>
              </c:strCache>
            </c:strRef>
          </c:cat>
          <c:val>
            <c:numRef>
              <c:f>'[7]Sheet 3'!$B$27:$AD$27</c:f>
              <c:numCache>
                <c:formatCode>#,##0</c:formatCode>
                <c:ptCount val="29"/>
                <c:pt idx="0">
                  <c:v>78</c:v>
                </c:pt>
                <c:pt idx="1">
                  <c:v>80</c:v>
                </c:pt>
                <c:pt idx="2">
                  <c:v>78</c:v>
                </c:pt>
                <c:pt idx="3">
                  <c:v>75</c:v>
                </c:pt>
                <c:pt idx="4">
                  <c:v>74</c:v>
                </c:pt>
                <c:pt idx="5">
                  <c:v>73</c:v>
                </c:pt>
                <c:pt idx="6">
                  <c:v>76</c:v>
                </c:pt>
                <c:pt idx="7">
                  <c:v>75</c:v>
                </c:pt>
                <c:pt idx="8">
                  <c:v>79</c:v>
                </c:pt>
                <c:pt idx="9">
                  <c:v>81</c:v>
                </c:pt>
                <c:pt idx="10">
                  <c:v>82</c:v>
                </c:pt>
                <c:pt idx="11">
                  <c:v>82</c:v>
                </c:pt>
                <c:pt idx="12">
                  <c:v>84</c:v>
                </c:pt>
                <c:pt idx="13">
                  <c:v>86</c:v>
                </c:pt>
                <c:pt idx="14">
                  <c:v>87</c:v>
                </c:pt>
                <c:pt idx="15">
                  <c:v>84</c:v>
                </c:pt>
                <c:pt idx="16">
                  <c:v>84</c:v>
                </c:pt>
                <c:pt idx="17">
                  <c:v>84</c:v>
                </c:pt>
                <c:pt idx="18">
                  <c:v>86</c:v>
                </c:pt>
                <c:pt idx="19">
                  <c:v>88</c:v>
                </c:pt>
                <c:pt idx="20">
                  <c:v>89</c:v>
                </c:pt>
                <c:pt idx="21">
                  <c:v>89</c:v>
                </c:pt>
                <c:pt idx="22">
                  <c:v>91</c:v>
                </c:pt>
                <c:pt idx="23">
                  <c:v>92</c:v>
                </c:pt>
                <c:pt idx="24">
                  <c:v>93</c:v>
                </c:pt>
                <c:pt idx="25">
                  <c:v>93</c:v>
                </c:pt>
                <c:pt idx="26">
                  <c:v>92</c:v>
                </c:pt>
                <c:pt idx="27">
                  <c:v>90</c:v>
                </c:pt>
                <c:pt idx="28">
                  <c:v>91</c:v>
                </c:pt>
              </c:numCache>
            </c:numRef>
          </c:val>
          <c:smooth val="0"/>
          <c:extLst>
            <c:ext xmlns:c16="http://schemas.microsoft.com/office/drawing/2014/chart" uri="{C3380CC4-5D6E-409C-BE32-E72D297353CC}">
              <c16:uniqueId val="{00000001-6056-4A5A-BF30-D4B26DC6C161}"/>
            </c:ext>
          </c:extLst>
        </c:ser>
        <c:ser>
          <c:idx val="0"/>
          <c:order val="2"/>
          <c:tx>
            <c:strRef>
              <c:f>HDP_PPP!$A$41</c:f>
              <c:strCache>
                <c:ptCount val="1"/>
                <c:pt idx="0">
                  <c:v>Maďarsko</c:v>
                </c:pt>
              </c:strCache>
            </c:strRef>
          </c:tx>
          <c:spPr>
            <a:ln w="12700" cap="rnd">
              <a:solidFill>
                <a:schemeClr val="accent3"/>
              </a:solidFill>
              <a:round/>
            </a:ln>
            <a:effectLst/>
          </c:spPr>
          <c:marker>
            <c:symbol val="none"/>
          </c:marker>
          <c:val>
            <c:numRef>
              <c:f>'[7]Sheet 3'!$B$41:$AD$41</c:f>
              <c:numCache>
                <c:formatCode>#,##0</c:formatCode>
                <c:ptCount val="29"/>
                <c:pt idx="0">
                  <c:v>52</c:v>
                </c:pt>
                <c:pt idx="1">
                  <c:v>51</c:v>
                </c:pt>
                <c:pt idx="2">
                  <c:v>51</c:v>
                </c:pt>
                <c:pt idx="3">
                  <c:v>52</c:v>
                </c:pt>
                <c:pt idx="4">
                  <c:v>52</c:v>
                </c:pt>
                <c:pt idx="5">
                  <c:v>54</c:v>
                </c:pt>
                <c:pt idx="6">
                  <c:v>57</c:v>
                </c:pt>
                <c:pt idx="7">
                  <c:v>60</c:v>
                </c:pt>
                <c:pt idx="8">
                  <c:v>62</c:v>
                </c:pt>
                <c:pt idx="9">
                  <c:v>63</c:v>
                </c:pt>
                <c:pt idx="10">
                  <c:v>64</c:v>
                </c:pt>
                <c:pt idx="11">
                  <c:v>63</c:v>
                </c:pt>
                <c:pt idx="12">
                  <c:v>61</c:v>
                </c:pt>
                <c:pt idx="13">
                  <c:v>64</c:v>
                </c:pt>
                <c:pt idx="14">
                  <c:v>65</c:v>
                </c:pt>
                <c:pt idx="15">
                  <c:v>66</c:v>
                </c:pt>
                <c:pt idx="16">
                  <c:v>67</c:v>
                </c:pt>
                <c:pt idx="17">
                  <c:v>67</c:v>
                </c:pt>
                <c:pt idx="18">
                  <c:v>68</c:v>
                </c:pt>
                <c:pt idx="19">
                  <c:v>69</c:v>
                </c:pt>
                <c:pt idx="20">
                  <c:v>70</c:v>
                </c:pt>
                <c:pt idx="21">
                  <c:v>69</c:v>
                </c:pt>
                <c:pt idx="22">
                  <c:v>69</c:v>
                </c:pt>
                <c:pt idx="23">
                  <c:v>71</c:v>
                </c:pt>
                <c:pt idx="24">
                  <c:v>73</c:v>
                </c:pt>
                <c:pt idx="25">
                  <c:v>74</c:v>
                </c:pt>
                <c:pt idx="26">
                  <c:v>75</c:v>
                </c:pt>
                <c:pt idx="27">
                  <c:v>76</c:v>
                </c:pt>
                <c:pt idx="28">
                  <c:v>76</c:v>
                </c:pt>
              </c:numCache>
            </c:numRef>
          </c:val>
          <c:smooth val="0"/>
          <c:extLst>
            <c:ext xmlns:c16="http://schemas.microsoft.com/office/drawing/2014/chart" uri="{C3380CC4-5D6E-409C-BE32-E72D297353CC}">
              <c16:uniqueId val="{00000002-6056-4A5A-BF30-D4B26DC6C161}"/>
            </c:ext>
          </c:extLst>
        </c:ser>
        <c:ser>
          <c:idx val="3"/>
          <c:order val="3"/>
          <c:tx>
            <c:strRef>
              <c:f>HDP_PPP!$A$45</c:f>
              <c:strCache>
                <c:ptCount val="1"/>
                <c:pt idx="0">
                  <c:v>Polsko</c:v>
                </c:pt>
              </c:strCache>
            </c:strRef>
          </c:tx>
          <c:spPr>
            <a:ln w="12700" cap="rnd">
              <a:solidFill>
                <a:schemeClr val="accent4"/>
              </a:solidFill>
              <a:round/>
            </a:ln>
            <a:effectLst/>
          </c:spPr>
          <c:marker>
            <c:symbol val="none"/>
          </c:marker>
          <c:val>
            <c:numRef>
              <c:f>'[7]Sheet 3'!$B$45:$AD$45</c:f>
              <c:numCache>
                <c:formatCode>#,##0</c:formatCode>
                <c:ptCount val="29"/>
                <c:pt idx="0">
                  <c:v>44</c:v>
                </c:pt>
                <c:pt idx="1">
                  <c:v>45</c:v>
                </c:pt>
                <c:pt idx="2">
                  <c:v>47</c:v>
                </c:pt>
                <c:pt idx="3">
                  <c:v>48</c:v>
                </c:pt>
                <c:pt idx="4">
                  <c:v>49</c:v>
                </c:pt>
                <c:pt idx="5">
                  <c:v>48</c:v>
                </c:pt>
                <c:pt idx="6">
                  <c:v>48</c:v>
                </c:pt>
                <c:pt idx="7">
                  <c:v>49</c:v>
                </c:pt>
                <c:pt idx="8">
                  <c:v>50</c:v>
                </c:pt>
                <c:pt idx="9">
                  <c:v>51</c:v>
                </c:pt>
                <c:pt idx="10">
                  <c:v>52</c:v>
                </c:pt>
                <c:pt idx="11">
                  <c:v>52</c:v>
                </c:pt>
                <c:pt idx="12">
                  <c:v>54</c:v>
                </c:pt>
                <c:pt idx="13">
                  <c:v>56</c:v>
                </c:pt>
                <c:pt idx="14">
                  <c:v>60</c:v>
                </c:pt>
                <c:pt idx="15">
                  <c:v>63</c:v>
                </c:pt>
                <c:pt idx="16">
                  <c:v>65</c:v>
                </c:pt>
                <c:pt idx="17">
                  <c:v>67</c:v>
                </c:pt>
                <c:pt idx="18">
                  <c:v>67</c:v>
                </c:pt>
                <c:pt idx="19">
                  <c:v>67</c:v>
                </c:pt>
                <c:pt idx="20">
                  <c:v>69</c:v>
                </c:pt>
                <c:pt idx="21">
                  <c:v>69</c:v>
                </c:pt>
                <c:pt idx="22">
                  <c:v>69</c:v>
                </c:pt>
                <c:pt idx="23">
                  <c:v>71</c:v>
                </c:pt>
                <c:pt idx="24">
                  <c:v>73</c:v>
                </c:pt>
                <c:pt idx="25">
                  <c:v>76</c:v>
                </c:pt>
                <c:pt idx="26">
                  <c:v>77</c:v>
                </c:pt>
                <c:pt idx="27">
                  <c:v>79</c:v>
                </c:pt>
                <c:pt idx="28">
                  <c:v>80</c:v>
                </c:pt>
              </c:numCache>
            </c:numRef>
          </c:val>
          <c:smooth val="0"/>
          <c:extLst>
            <c:ext xmlns:c16="http://schemas.microsoft.com/office/drawing/2014/chart" uri="{C3380CC4-5D6E-409C-BE32-E72D297353CC}">
              <c16:uniqueId val="{00000003-6056-4A5A-BF30-D4B26DC6C161}"/>
            </c:ext>
          </c:extLst>
        </c:ser>
        <c:ser>
          <c:idx val="4"/>
          <c:order val="4"/>
          <c:tx>
            <c:strRef>
              <c:f>HDP_PPP!$A$49</c:f>
              <c:strCache>
                <c:ptCount val="1"/>
                <c:pt idx="0">
                  <c:v>Slovensko</c:v>
                </c:pt>
              </c:strCache>
            </c:strRef>
          </c:tx>
          <c:spPr>
            <a:ln w="12700" cap="rnd">
              <a:solidFill>
                <a:schemeClr val="accent5"/>
              </a:solidFill>
              <a:round/>
            </a:ln>
            <a:effectLst/>
          </c:spPr>
          <c:marker>
            <c:symbol val="none"/>
          </c:marker>
          <c:val>
            <c:numRef>
              <c:f>'[7]Sheet 3'!$B$49:$AD$49</c:f>
              <c:numCache>
                <c:formatCode>#,##0</c:formatCode>
                <c:ptCount val="29"/>
                <c:pt idx="0">
                  <c:v>49</c:v>
                </c:pt>
                <c:pt idx="1">
                  <c:v>51</c:v>
                </c:pt>
                <c:pt idx="2">
                  <c:v>53</c:v>
                </c:pt>
                <c:pt idx="3">
                  <c:v>53</c:v>
                </c:pt>
                <c:pt idx="4">
                  <c:v>51</c:v>
                </c:pt>
                <c:pt idx="5">
                  <c:v>51</c:v>
                </c:pt>
                <c:pt idx="6">
                  <c:v>53</c:v>
                </c:pt>
                <c:pt idx="7">
                  <c:v>55</c:v>
                </c:pt>
                <c:pt idx="8">
                  <c:v>57</c:v>
                </c:pt>
                <c:pt idx="9">
                  <c:v>59</c:v>
                </c:pt>
                <c:pt idx="10">
                  <c:v>62</c:v>
                </c:pt>
                <c:pt idx="11">
                  <c:v>65</c:v>
                </c:pt>
                <c:pt idx="12">
                  <c:v>68</c:v>
                </c:pt>
                <c:pt idx="13">
                  <c:v>72</c:v>
                </c:pt>
                <c:pt idx="14">
                  <c:v>72</c:v>
                </c:pt>
                <c:pt idx="15">
                  <c:v>77</c:v>
                </c:pt>
                <c:pt idx="16">
                  <c:v>76</c:v>
                </c:pt>
                <c:pt idx="17">
                  <c:v>77</c:v>
                </c:pt>
                <c:pt idx="18">
                  <c:v>78</c:v>
                </c:pt>
                <c:pt idx="19">
                  <c:v>78</c:v>
                </c:pt>
                <c:pt idx="20">
                  <c:v>79</c:v>
                </c:pt>
                <c:pt idx="21">
                  <c:v>73</c:v>
                </c:pt>
                <c:pt idx="22">
                  <c:v>71</c:v>
                </c:pt>
                <c:pt idx="23">
                  <c:v>70</c:v>
                </c:pt>
                <c:pt idx="24">
                  <c:v>71</c:v>
                </c:pt>
                <c:pt idx="25">
                  <c:v>74</c:v>
                </c:pt>
                <c:pt idx="26">
                  <c:v>73</c:v>
                </c:pt>
                <c:pt idx="27">
                  <c:v>71</c:v>
                </c:pt>
                <c:pt idx="28">
                  <c:v>73</c:v>
                </c:pt>
              </c:numCache>
            </c:numRef>
          </c:val>
          <c:smooth val="0"/>
          <c:extLst>
            <c:ext xmlns:c16="http://schemas.microsoft.com/office/drawing/2014/chart" uri="{C3380CC4-5D6E-409C-BE32-E72D297353CC}">
              <c16:uniqueId val="{00000004-6056-4A5A-BF30-D4B26DC6C161}"/>
            </c:ext>
          </c:extLst>
        </c:ser>
        <c:ser>
          <c:idx val="5"/>
          <c:order val="5"/>
          <c:tx>
            <c:strRef>
              <c:f>HDP_PPP!$A$44</c:f>
              <c:strCache>
                <c:ptCount val="1"/>
                <c:pt idx="0">
                  <c:v>Rakousko</c:v>
                </c:pt>
              </c:strCache>
            </c:strRef>
          </c:tx>
          <c:spPr>
            <a:ln w="12700" cap="rnd">
              <a:solidFill>
                <a:schemeClr val="accent6"/>
              </a:solidFill>
              <a:round/>
            </a:ln>
            <a:effectLst/>
          </c:spPr>
          <c:marker>
            <c:symbol val="none"/>
          </c:marker>
          <c:val>
            <c:numRef>
              <c:f>'[7]Sheet 3'!$B$44:$AD$44</c:f>
              <c:numCache>
                <c:formatCode>#,##0</c:formatCode>
                <c:ptCount val="29"/>
                <c:pt idx="0">
                  <c:v>133</c:v>
                </c:pt>
                <c:pt idx="1">
                  <c:v>134</c:v>
                </c:pt>
                <c:pt idx="2">
                  <c:v>133</c:v>
                </c:pt>
                <c:pt idx="3">
                  <c:v>133</c:v>
                </c:pt>
                <c:pt idx="4">
                  <c:v>133</c:v>
                </c:pt>
                <c:pt idx="5">
                  <c:v>133</c:v>
                </c:pt>
                <c:pt idx="6">
                  <c:v>128</c:v>
                </c:pt>
                <c:pt idx="7">
                  <c:v>129</c:v>
                </c:pt>
                <c:pt idx="8">
                  <c:v>130</c:v>
                </c:pt>
                <c:pt idx="9">
                  <c:v>130</c:v>
                </c:pt>
                <c:pt idx="10">
                  <c:v>130</c:v>
                </c:pt>
                <c:pt idx="11">
                  <c:v>129</c:v>
                </c:pt>
                <c:pt idx="12">
                  <c:v>127</c:v>
                </c:pt>
                <c:pt idx="13">
                  <c:v>127</c:v>
                </c:pt>
                <c:pt idx="14">
                  <c:v>128</c:v>
                </c:pt>
                <c:pt idx="15">
                  <c:v>128</c:v>
                </c:pt>
                <c:pt idx="16">
                  <c:v>129</c:v>
                </c:pt>
                <c:pt idx="17">
                  <c:v>133</c:v>
                </c:pt>
                <c:pt idx="18">
                  <c:v>133</c:v>
                </c:pt>
                <c:pt idx="19">
                  <c:v>132</c:v>
                </c:pt>
                <c:pt idx="20">
                  <c:v>131</c:v>
                </c:pt>
                <c:pt idx="21">
                  <c:v>130</c:v>
                </c:pt>
                <c:pt idx="22">
                  <c:v>127</c:v>
                </c:pt>
                <c:pt idx="23">
                  <c:v>127</c:v>
                </c:pt>
                <c:pt idx="24">
                  <c:v>126</c:v>
                </c:pt>
                <c:pt idx="25">
                  <c:v>125</c:v>
                </c:pt>
                <c:pt idx="26">
                  <c:v>122</c:v>
                </c:pt>
                <c:pt idx="27">
                  <c:v>124</c:v>
                </c:pt>
                <c:pt idx="28">
                  <c:v>123</c:v>
                </c:pt>
              </c:numCache>
            </c:numRef>
          </c:val>
          <c:smooth val="0"/>
          <c:extLst>
            <c:ext xmlns:c16="http://schemas.microsoft.com/office/drawing/2014/chart" uri="{C3380CC4-5D6E-409C-BE32-E72D297353CC}">
              <c16:uniqueId val="{00000005-6056-4A5A-BF30-D4B26DC6C161}"/>
            </c:ext>
          </c:extLst>
        </c:ser>
        <c:dLbls>
          <c:showLegendKey val="0"/>
          <c:showVal val="0"/>
          <c:showCatName val="0"/>
          <c:showSerName val="0"/>
          <c:showPercent val="0"/>
          <c:showBubbleSize val="0"/>
        </c:dLbls>
        <c:smooth val="0"/>
        <c:axId val="1299715551"/>
        <c:axId val="1299712223"/>
      </c:lineChart>
      <c:catAx>
        <c:axId val="1299715551"/>
        <c:scaling>
          <c:orientation val="minMax"/>
        </c:scaling>
        <c:delete val="0"/>
        <c:axPos val="b"/>
        <c:numFmt formatCode="General" sourceLinked="1"/>
        <c:majorTickMark val="none"/>
        <c:minorTickMark val="none"/>
        <c:tickLblPos val="nextTo"/>
        <c:spPr>
          <a:noFill/>
          <a:ln w="635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cs-CZ"/>
          </a:p>
        </c:txPr>
        <c:crossAx val="1299712223"/>
        <c:crosses val="autoZero"/>
        <c:auto val="1"/>
        <c:lblAlgn val="ctr"/>
        <c:lblOffset val="100"/>
        <c:tickLblSkip val="1"/>
        <c:noMultiLvlLbl val="0"/>
      </c:catAx>
      <c:valAx>
        <c:axId val="1299712223"/>
        <c:scaling>
          <c:orientation val="minMax"/>
        </c:scaling>
        <c:delete val="0"/>
        <c:axPos val="l"/>
        <c:majorGridlines>
          <c:spPr>
            <a:ln w="6350" cap="flat" cmpd="sng" algn="ctr">
              <a:solidFill>
                <a:schemeClr val="tx1"/>
              </a:solidFill>
              <a:prstDash val="dash"/>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cs-CZ"/>
          </a:p>
        </c:txPr>
        <c:crossAx val="1299715551"/>
        <c:crosses val="autoZero"/>
        <c:crossBetween val="between"/>
      </c:valAx>
      <c:spPr>
        <a:noFill/>
        <a:ln>
          <a:noFill/>
        </a:ln>
        <a:effectLst/>
      </c:spPr>
    </c:plotArea>
    <c:legend>
      <c:legendPos val="b"/>
      <c:layout>
        <c:manualLayout>
          <c:xMode val="edge"/>
          <c:yMode val="edge"/>
          <c:x val="0.11953490201734775"/>
          <c:y val="0.80225036824207596"/>
          <c:w val="0.76092986815449071"/>
          <c:h val="0.18620228764706956"/>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cs-CZ"/>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solidFill>
            <a:sysClr val="windowText" lastClr="000000"/>
          </a:solidFill>
        </a:defRPr>
      </a:pPr>
      <a:endParaRPr lang="cs-CZ"/>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7.5885908724356993E-2"/>
          <c:y val="2.5491937213256863E-2"/>
          <c:w val="0.8992463629390206"/>
          <c:h val="0.5716343578880051"/>
        </c:manualLayout>
      </c:layout>
      <c:barChart>
        <c:barDir val="col"/>
        <c:grouping val="stacked"/>
        <c:varyColors val="0"/>
        <c:ser>
          <c:idx val="5"/>
          <c:order val="1"/>
          <c:tx>
            <c:strRef>
              <c:f>HDP!$P$4</c:f>
              <c:strCache>
                <c:ptCount val="1"/>
                <c:pt idx="0">
                  <c:v>Saldo zahraničního obchodu</c:v>
                </c:pt>
              </c:strCache>
            </c:strRef>
          </c:tx>
          <c:spPr>
            <a:solidFill>
              <a:srgbClr val="13B5EA"/>
            </a:solidFill>
            <a:ln>
              <a:noFill/>
            </a:ln>
            <a:effectLst/>
          </c:spPr>
          <c:invertIfNegative val="0"/>
          <c:cat>
            <c:strRef>
              <c:f>HDP!$A$157:$B$184</c:f>
              <c:strCache>
                <c:ptCount val="28"/>
                <c:pt idx="0">
                  <c:v>1996</c:v>
                </c:pt>
                <c:pt idx="1">
                  <c:v>1997</c:v>
                </c:pt>
                <c:pt idx="2">
                  <c:v>1998</c:v>
                </c:pt>
                <c:pt idx="3">
                  <c:v>1999</c:v>
                </c:pt>
                <c:pt idx="4">
                  <c:v>2000</c:v>
                </c:pt>
                <c:pt idx="5">
                  <c:v>2001</c:v>
                </c:pt>
                <c:pt idx="6">
                  <c:v>2002</c:v>
                </c:pt>
                <c:pt idx="7">
                  <c:v>2003</c:v>
                </c:pt>
                <c:pt idx="8">
                  <c:v>2004</c:v>
                </c:pt>
                <c:pt idx="9">
                  <c:v>2005</c:v>
                </c:pt>
                <c:pt idx="10">
                  <c:v>2006</c:v>
                </c:pt>
                <c:pt idx="11">
                  <c:v>2007</c:v>
                </c:pt>
                <c:pt idx="12">
                  <c:v>2008</c:v>
                </c:pt>
                <c:pt idx="13">
                  <c:v>2009</c:v>
                </c:pt>
                <c:pt idx="14">
                  <c:v>2010</c:v>
                </c:pt>
                <c:pt idx="15">
                  <c:v>2011</c:v>
                </c:pt>
                <c:pt idx="16">
                  <c:v>2012</c:v>
                </c:pt>
                <c:pt idx="17">
                  <c:v>2013</c:v>
                </c:pt>
                <c:pt idx="18">
                  <c:v>2014</c:v>
                </c:pt>
                <c:pt idx="19">
                  <c:v>2015</c:v>
                </c:pt>
                <c:pt idx="20">
                  <c:v>2016</c:v>
                </c:pt>
                <c:pt idx="21">
                  <c:v>2017</c:v>
                </c:pt>
                <c:pt idx="22">
                  <c:v>2018</c:v>
                </c:pt>
                <c:pt idx="23">
                  <c:v>2019</c:v>
                </c:pt>
                <c:pt idx="24">
                  <c:v>2020</c:v>
                </c:pt>
                <c:pt idx="25">
                  <c:v>2021</c:v>
                </c:pt>
                <c:pt idx="26">
                  <c:v>2022</c:v>
                </c:pt>
                <c:pt idx="27">
                  <c:v>2023</c:v>
                </c:pt>
              </c:strCache>
            </c:strRef>
          </c:cat>
          <c:val>
            <c:numRef>
              <c:f>HDP!$P$157:$P$184</c:f>
              <c:numCache>
                <c:formatCode>0.0</c:formatCode>
                <c:ptCount val="28"/>
                <c:pt idx="0">
                  <c:v>-4.0864833008357415</c:v>
                </c:pt>
                <c:pt idx="1">
                  <c:v>0.36926150980849171</c:v>
                </c:pt>
                <c:pt idx="2">
                  <c:v>1.4146377139885233</c:v>
                </c:pt>
                <c:pt idx="3">
                  <c:v>-4.8783227481620894E-2</c:v>
                </c:pt>
                <c:pt idx="4">
                  <c:v>0.16977596335401834</c:v>
                </c:pt>
                <c:pt idx="5">
                  <c:v>-1.1354940530017297</c:v>
                </c:pt>
                <c:pt idx="6">
                  <c:v>-2.0569739221563612</c:v>
                </c:pt>
                <c:pt idx="7">
                  <c:v>-0.41285128321404807</c:v>
                </c:pt>
                <c:pt idx="8">
                  <c:v>1.4776792768483933</c:v>
                </c:pt>
                <c:pt idx="9">
                  <c:v>3.3302994797342267</c:v>
                </c:pt>
                <c:pt idx="10">
                  <c:v>2.0418483870299493</c:v>
                </c:pt>
                <c:pt idx="11">
                  <c:v>-0.8401705760550966</c:v>
                </c:pt>
                <c:pt idx="12">
                  <c:v>0.71805125163649652</c:v>
                </c:pt>
                <c:pt idx="13">
                  <c:v>0.58709374237102452</c:v>
                </c:pt>
                <c:pt idx="14">
                  <c:v>0.43356568402564033</c:v>
                </c:pt>
                <c:pt idx="15">
                  <c:v>1.7999494108926024</c:v>
                </c:pt>
                <c:pt idx="16">
                  <c:v>1.2958485390781171</c:v>
                </c:pt>
                <c:pt idx="17">
                  <c:v>0.15663689839859998</c:v>
                </c:pt>
                <c:pt idx="18">
                  <c:v>-0.42084956999995171</c:v>
                </c:pt>
                <c:pt idx="19">
                  <c:v>-0.18906015192481718</c:v>
                </c:pt>
                <c:pt idx="20">
                  <c:v>1.3296771120663946</c:v>
                </c:pt>
                <c:pt idx="21">
                  <c:v>1.3157008384889473</c:v>
                </c:pt>
                <c:pt idx="22">
                  <c:v>-1.2025524999091237</c:v>
                </c:pt>
                <c:pt idx="23">
                  <c:v>1.9016222499403712E-2</c:v>
                </c:pt>
                <c:pt idx="24">
                  <c:v>-0.40266216126887144</c:v>
                </c:pt>
                <c:pt idx="25">
                  <c:v>-3.6111573687134815</c:v>
                </c:pt>
                <c:pt idx="26">
                  <c:v>0.8743106047617939</c:v>
                </c:pt>
                <c:pt idx="27">
                  <c:v>2.6885151384831421</c:v>
                </c:pt>
              </c:numCache>
            </c:numRef>
          </c:val>
          <c:extLst>
            <c:ext xmlns:c16="http://schemas.microsoft.com/office/drawing/2014/chart" uri="{C3380CC4-5D6E-409C-BE32-E72D297353CC}">
              <c16:uniqueId val="{00000000-90AC-486A-A6F3-C0CB27204165}"/>
            </c:ext>
          </c:extLst>
        </c:ser>
        <c:ser>
          <c:idx val="3"/>
          <c:order val="2"/>
          <c:tx>
            <c:strRef>
              <c:f>HDP!$I$4</c:f>
              <c:strCache>
                <c:ptCount val="1"/>
                <c:pt idx="0">
                  <c:v>Změna zásob </c:v>
                </c:pt>
              </c:strCache>
            </c:strRef>
          </c:tx>
          <c:spPr>
            <a:solidFill>
              <a:srgbClr val="B5121B"/>
            </a:solidFill>
            <a:ln>
              <a:noFill/>
            </a:ln>
            <a:effectLst/>
          </c:spPr>
          <c:invertIfNegative val="0"/>
          <c:cat>
            <c:strRef>
              <c:f>HDP!$A$157:$B$184</c:f>
              <c:strCache>
                <c:ptCount val="28"/>
                <c:pt idx="0">
                  <c:v>1996</c:v>
                </c:pt>
                <c:pt idx="1">
                  <c:v>1997</c:v>
                </c:pt>
                <c:pt idx="2">
                  <c:v>1998</c:v>
                </c:pt>
                <c:pt idx="3">
                  <c:v>1999</c:v>
                </c:pt>
                <c:pt idx="4">
                  <c:v>2000</c:v>
                </c:pt>
                <c:pt idx="5">
                  <c:v>2001</c:v>
                </c:pt>
                <c:pt idx="6">
                  <c:v>2002</c:v>
                </c:pt>
                <c:pt idx="7">
                  <c:v>2003</c:v>
                </c:pt>
                <c:pt idx="8">
                  <c:v>2004</c:v>
                </c:pt>
                <c:pt idx="9">
                  <c:v>2005</c:v>
                </c:pt>
                <c:pt idx="10">
                  <c:v>2006</c:v>
                </c:pt>
                <c:pt idx="11">
                  <c:v>2007</c:v>
                </c:pt>
                <c:pt idx="12">
                  <c:v>2008</c:v>
                </c:pt>
                <c:pt idx="13">
                  <c:v>2009</c:v>
                </c:pt>
                <c:pt idx="14">
                  <c:v>2010</c:v>
                </c:pt>
                <c:pt idx="15">
                  <c:v>2011</c:v>
                </c:pt>
                <c:pt idx="16">
                  <c:v>2012</c:v>
                </c:pt>
                <c:pt idx="17">
                  <c:v>2013</c:v>
                </c:pt>
                <c:pt idx="18">
                  <c:v>2014</c:v>
                </c:pt>
                <c:pt idx="19">
                  <c:v>2015</c:v>
                </c:pt>
                <c:pt idx="20">
                  <c:v>2016</c:v>
                </c:pt>
                <c:pt idx="21">
                  <c:v>2017</c:v>
                </c:pt>
                <c:pt idx="22">
                  <c:v>2018</c:v>
                </c:pt>
                <c:pt idx="23">
                  <c:v>2019</c:v>
                </c:pt>
                <c:pt idx="24">
                  <c:v>2020</c:v>
                </c:pt>
                <c:pt idx="25">
                  <c:v>2021</c:v>
                </c:pt>
                <c:pt idx="26">
                  <c:v>2022</c:v>
                </c:pt>
                <c:pt idx="27">
                  <c:v>2023</c:v>
                </c:pt>
              </c:strCache>
            </c:strRef>
          </c:cat>
          <c:val>
            <c:numRef>
              <c:f>HDP!$I$157:$I$184</c:f>
              <c:numCache>
                <c:formatCode>0.0</c:formatCode>
                <c:ptCount val="28"/>
                <c:pt idx="0">
                  <c:v>1.4442723778832469</c:v>
                </c:pt>
                <c:pt idx="1">
                  <c:v>-1.264976456774682</c:v>
                </c:pt>
                <c:pt idx="2">
                  <c:v>-0.60825409337330127</c:v>
                </c:pt>
                <c:pt idx="3">
                  <c:v>-4.506994660766258E-2</c:v>
                </c:pt>
                <c:pt idx="4">
                  <c:v>0.95521224664852633</c:v>
                </c:pt>
                <c:pt idx="5">
                  <c:v>0.37474235677633622</c:v>
                </c:pt>
                <c:pt idx="6">
                  <c:v>-0.17506408422919481</c:v>
                </c:pt>
                <c:pt idx="7">
                  <c:v>-0.60810722907912274</c:v>
                </c:pt>
                <c:pt idx="8">
                  <c:v>1.1709690653859264</c:v>
                </c:pt>
                <c:pt idx="9">
                  <c:v>-0.41321346250306551</c:v>
                </c:pt>
                <c:pt idx="10">
                  <c:v>1.2516313705706232</c:v>
                </c:pt>
                <c:pt idx="11">
                  <c:v>0.54354487387250938</c:v>
                </c:pt>
                <c:pt idx="12">
                  <c:v>-0.29519740905871183</c:v>
                </c:pt>
                <c:pt idx="13">
                  <c:v>-2.8999142831251654</c:v>
                </c:pt>
                <c:pt idx="14">
                  <c:v>1.0556898449416832</c:v>
                </c:pt>
                <c:pt idx="15">
                  <c:v>0.18701424241307532</c:v>
                </c:pt>
                <c:pt idx="16">
                  <c:v>-0.30959721808481411</c:v>
                </c:pt>
                <c:pt idx="17">
                  <c:v>-0.54547705145900072</c:v>
                </c:pt>
                <c:pt idx="18">
                  <c:v>0.95862728339441705</c:v>
                </c:pt>
                <c:pt idx="19">
                  <c:v>0.93409156873201982</c:v>
                </c:pt>
                <c:pt idx="20">
                  <c:v>-0.3286968563527744</c:v>
                </c:pt>
                <c:pt idx="21">
                  <c:v>0.47641938837544195</c:v>
                </c:pt>
                <c:pt idx="22">
                  <c:v>-0.52432485040647958</c:v>
                </c:pt>
                <c:pt idx="23">
                  <c:v>-0.35316633028261429</c:v>
                </c:pt>
                <c:pt idx="24">
                  <c:v>-0.88929137845600403</c:v>
                </c:pt>
                <c:pt idx="25">
                  <c:v>4.7299551216621643</c:v>
                </c:pt>
                <c:pt idx="26">
                  <c:v>0.81552544030333807</c:v>
                </c:pt>
                <c:pt idx="27">
                  <c:v>-3.125291997621868</c:v>
                </c:pt>
              </c:numCache>
            </c:numRef>
          </c:val>
          <c:extLst>
            <c:ext xmlns:c16="http://schemas.microsoft.com/office/drawing/2014/chart" uri="{C3380CC4-5D6E-409C-BE32-E72D297353CC}">
              <c16:uniqueId val="{00000001-90AC-486A-A6F3-C0CB27204165}"/>
            </c:ext>
          </c:extLst>
        </c:ser>
        <c:ser>
          <c:idx val="2"/>
          <c:order val="3"/>
          <c:tx>
            <c:strRef>
              <c:f>HDP!$H$4</c:f>
              <c:strCache>
                <c:ptCount val="1"/>
                <c:pt idx="0">
                  <c:v>Tvorba hrubého fixního kapitálu</c:v>
                </c:pt>
              </c:strCache>
            </c:strRef>
          </c:tx>
          <c:spPr>
            <a:solidFill>
              <a:srgbClr val="E31B23"/>
            </a:solidFill>
            <a:ln>
              <a:noFill/>
            </a:ln>
            <a:effectLst/>
          </c:spPr>
          <c:invertIfNegative val="0"/>
          <c:cat>
            <c:strRef>
              <c:f>HDP!$A$157:$B$184</c:f>
              <c:strCache>
                <c:ptCount val="28"/>
                <c:pt idx="0">
                  <c:v>1996</c:v>
                </c:pt>
                <c:pt idx="1">
                  <c:v>1997</c:v>
                </c:pt>
                <c:pt idx="2">
                  <c:v>1998</c:v>
                </c:pt>
                <c:pt idx="3">
                  <c:v>1999</c:v>
                </c:pt>
                <c:pt idx="4">
                  <c:v>2000</c:v>
                </c:pt>
                <c:pt idx="5">
                  <c:v>2001</c:v>
                </c:pt>
                <c:pt idx="6">
                  <c:v>2002</c:v>
                </c:pt>
                <c:pt idx="7">
                  <c:v>2003</c:v>
                </c:pt>
                <c:pt idx="8">
                  <c:v>2004</c:v>
                </c:pt>
                <c:pt idx="9">
                  <c:v>2005</c:v>
                </c:pt>
                <c:pt idx="10">
                  <c:v>2006</c:v>
                </c:pt>
                <c:pt idx="11">
                  <c:v>2007</c:v>
                </c:pt>
                <c:pt idx="12">
                  <c:v>2008</c:v>
                </c:pt>
                <c:pt idx="13">
                  <c:v>2009</c:v>
                </c:pt>
                <c:pt idx="14">
                  <c:v>2010</c:v>
                </c:pt>
                <c:pt idx="15">
                  <c:v>2011</c:v>
                </c:pt>
                <c:pt idx="16">
                  <c:v>2012</c:v>
                </c:pt>
                <c:pt idx="17">
                  <c:v>2013</c:v>
                </c:pt>
                <c:pt idx="18">
                  <c:v>2014</c:v>
                </c:pt>
                <c:pt idx="19">
                  <c:v>2015</c:v>
                </c:pt>
                <c:pt idx="20">
                  <c:v>2016</c:v>
                </c:pt>
                <c:pt idx="21">
                  <c:v>2017</c:v>
                </c:pt>
                <c:pt idx="22">
                  <c:v>2018</c:v>
                </c:pt>
                <c:pt idx="23">
                  <c:v>2019</c:v>
                </c:pt>
                <c:pt idx="24">
                  <c:v>2020</c:v>
                </c:pt>
                <c:pt idx="25">
                  <c:v>2021</c:v>
                </c:pt>
                <c:pt idx="26">
                  <c:v>2022</c:v>
                </c:pt>
                <c:pt idx="27">
                  <c:v>2023</c:v>
                </c:pt>
              </c:strCache>
            </c:strRef>
          </c:cat>
          <c:val>
            <c:numRef>
              <c:f>HDP!$H$157:$H$184</c:f>
              <c:numCache>
                <c:formatCode>0.0</c:formatCode>
                <c:ptCount val="28"/>
                <c:pt idx="0">
                  <c:v>3.2935629690468282</c:v>
                </c:pt>
                <c:pt idx="1">
                  <c:v>-1.6851762486444728</c:v>
                </c:pt>
                <c:pt idx="2">
                  <c:v>-0.41764140028462388</c:v>
                </c:pt>
                <c:pt idx="3">
                  <c:v>-0.80304340500429583</c:v>
                </c:pt>
                <c:pt idx="4">
                  <c:v>2.4026680096882638</c:v>
                </c:pt>
                <c:pt idx="5">
                  <c:v>1.7937539031299174</c:v>
                </c:pt>
                <c:pt idx="6">
                  <c:v>0.55437605951171187</c:v>
                </c:pt>
                <c:pt idx="7">
                  <c:v>0.71129217210624041</c:v>
                </c:pt>
                <c:pt idx="8">
                  <c:v>1.1050708335134316</c:v>
                </c:pt>
                <c:pt idx="9">
                  <c:v>1.7644927229801071</c:v>
                </c:pt>
                <c:pt idx="10">
                  <c:v>1.6419417300631587</c:v>
                </c:pt>
                <c:pt idx="11">
                  <c:v>3.7724312749187243</c:v>
                </c:pt>
                <c:pt idx="12">
                  <c:v>0.51686740591197688</c:v>
                </c:pt>
                <c:pt idx="13">
                  <c:v>-2.5882435666539072</c:v>
                </c:pt>
                <c:pt idx="14">
                  <c:v>4.1180018615694113E-2</c:v>
                </c:pt>
                <c:pt idx="15">
                  <c:v>0.29115059133853316</c:v>
                </c:pt>
                <c:pt idx="16">
                  <c:v>-0.86716788645260223</c:v>
                </c:pt>
                <c:pt idx="17">
                  <c:v>-0.56675990349816696</c:v>
                </c:pt>
                <c:pt idx="18">
                  <c:v>0.82837179431463159</c:v>
                </c:pt>
                <c:pt idx="19">
                  <c:v>2.4966573824490768</c:v>
                </c:pt>
                <c:pt idx="20">
                  <c:v>-0.83155334224841626</c:v>
                </c:pt>
                <c:pt idx="21">
                  <c:v>1.2784949118184084</c:v>
                </c:pt>
                <c:pt idx="22">
                  <c:v>2.4884568014874731</c:v>
                </c:pt>
                <c:pt idx="23">
                  <c:v>1.5386708731289329</c:v>
                </c:pt>
                <c:pt idx="24">
                  <c:v>-1.6291679977990792</c:v>
                </c:pt>
                <c:pt idx="25">
                  <c:v>0.19899232555732824</c:v>
                </c:pt>
                <c:pt idx="26">
                  <c:v>0.79754602231576543</c:v>
                </c:pt>
                <c:pt idx="27">
                  <c:v>0.87762142016442357</c:v>
                </c:pt>
              </c:numCache>
            </c:numRef>
          </c:val>
          <c:extLst>
            <c:ext xmlns:c16="http://schemas.microsoft.com/office/drawing/2014/chart" uri="{C3380CC4-5D6E-409C-BE32-E72D297353CC}">
              <c16:uniqueId val="{00000002-90AC-486A-A6F3-C0CB27204165}"/>
            </c:ext>
          </c:extLst>
        </c:ser>
        <c:ser>
          <c:idx val="1"/>
          <c:order val="4"/>
          <c:tx>
            <c:strRef>
              <c:f>HDP!$E$4</c:f>
              <c:strCache>
                <c:ptCount val="1"/>
                <c:pt idx="0">
                  <c:v>Spotřeba vlády</c:v>
                </c:pt>
              </c:strCache>
            </c:strRef>
          </c:tx>
          <c:spPr>
            <a:solidFill>
              <a:srgbClr val="004B8D"/>
            </a:solidFill>
            <a:ln>
              <a:noFill/>
            </a:ln>
            <a:effectLst/>
          </c:spPr>
          <c:invertIfNegative val="0"/>
          <c:cat>
            <c:strRef>
              <c:f>HDP!$A$157:$B$184</c:f>
              <c:strCache>
                <c:ptCount val="28"/>
                <c:pt idx="0">
                  <c:v>1996</c:v>
                </c:pt>
                <c:pt idx="1">
                  <c:v>1997</c:v>
                </c:pt>
                <c:pt idx="2">
                  <c:v>1998</c:v>
                </c:pt>
                <c:pt idx="3">
                  <c:v>1999</c:v>
                </c:pt>
                <c:pt idx="4">
                  <c:v>2000</c:v>
                </c:pt>
                <c:pt idx="5">
                  <c:v>2001</c:v>
                </c:pt>
                <c:pt idx="6">
                  <c:v>2002</c:v>
                </c:pt>
                <c:pt idx="7">
                  <c:v>2003</c:v>
                </c:pt>
                <c:pt idx="8">
                  <c:v>2004</c:v>
                </c:pt>
                <c:pt idx="9">
                  <c:v>2005</c:v>
                </c:pt>
                <c:pt idx="10">
                  <c:v>2006</c:v>
                </c:pt>
                <c:pt idx="11">
                  <c:v>2007</c:v>
                </c:pt>
                <c:pt idx="12">
                  <c:v>2008</c:v>
                </c:pt>
                <c:pt idx="13">
                  <c:v>2009</c:v>
                </c:pt>
                <c:pt idx="14">
                  <c:v>2010</c:v>
                </c:pt>
                <c:pt idx="15">
                  <c:v>2011</c:v>
                </c:pt>
                <c:pt idx="16">
                  <c:v>2012</c:v>
                </c:pt>
                <c:pt idx="17">
                  <c:v>2013</c:v>
                </c:pt>
                <c:pt idx="18">
                  <c:v>2014</c:v>
                </c:pt>
                <c:pt idx="19">
                  <c:v>2015</c:v>
                </c:pt>
                <c:pt idx="20">
                  <c:v>2016</c:v>
                </c:pt>
                <c:pt idx="21">
                  <c:v>2017</c:v>
                </c:pt>
                <c:pt idx="22">
                  <c:v>2018</c:v>
                </c:pt>
                <c:pt idx="23">
                  <c:v>2019</c:v>
                </c:pt>
                <c:pt idx="24">
                  <c:v>2020</c:v>
                </c:pt>
                <c:pt idx="25">
                  <c:v>2021</c:v>
                </c:pt>
                <c:pt idx="26">
                  <c:v>2022</c:v>
                </c:pt>
                <c:pt idx="27">
                  <c:v>2023</c:v>
                </c:pt>
              </c:strCache>
            </c:strRef>
          </c:cat>
          <c:val>
            <c:numRef>
              <c:f>HDP!$E$157:$E$184</c:f>
              <c:numCache>
                <c:formatCode>0.0</c:formatCode>
                <c:ptCount val="28"/>
                <c:pt idx="0">
                  <c:v>-2.7899861441137565E-2</c:v>
                </c:pt>
                <c:pt idx="1">
                  <c:v>0.61246308205604627</c:v>
                </c:pt>
                <c:pt idx="2">
                  <c:v>-0.52785444158556449</c:v>
                </c:pt>
                <c:pt idx="3">
                  <c:v>0.58270660114582573</c:v>
                </c:pt>
                <c:pt idx="4">
                  <c:v>-0.12755442529768632</c:v>
                </c:pt>
                <c:pt idx="5">
                  <c:v>0.51802989478146033</c:v>
                </c:pt>
                <c:pt idx="6">
                  <c:v>1.6072409946833539</c:v>
                </c:pt>
                <c:pt idx="7">
                  <c:v>1.282749417819103</c:v>
                </c:pt>
                <c:pt idx="8">
                  <c:v>-0.38727611430012887</c:v>
                </c:pt>
                <c:pt idx="9">
                  <c:v>0.22708361660504625</c:v>
                </c:pt>
                <c:pt idx="10">
                  <c:v>0.14172055825470461</c:v>
                </c:pt>
                <c:pt idx="11">
                  <c:v>0.12848402158667435</c:v>
                </c:pt>
                <c:pt idx="12">
                  <c:v>0.24842371887095668</c:v>
                </c:pt>
                <c:pt idx="13">
                  <c:v>0.55478278868537245</c:v>
                </c:pt>
                <c:pt idx="14">
                  <c:v>0.15936085779824166</c:v>
                </c:pt>
                <c:pt idx="15">
                  <c:v>-0.72143376248840252</c:v>
                </c:pt>
                <c:pt idx="16">
                  <c:v>-0.38287554093274384</c:v>
                </c:pt>
                <c:pt idx="17">
                  <c:v>0.47000854738908332</c:v>
                </c:pt>
                <c:pt idx="18">
                  <c:v>0.19761652977164848</c:v>
                </c:pt>
                <c:pt idx="19">
                  <c:v>0.34212199880818911</c:v>
                </c:pt>
                <c:pt idx="20">
                  <c:v>0.47951706414278195</c:v>
                </c:pt>
                <c:pt idx="21">
                  <c:v>0.34202757701616393</c:v>
                </c:pt>
                <c:pt idx="22">
                  <c:v>0.73621236123830491</c:v>
                </c:pt>
                <c:pt idx="23">
                  <c:v>0.48938156290455631</c:v>
                </c:pt>
                <c:pt idx="24">
                  <c:v>0.8135743230986725</c:v>
                </c:pt>
                <c:pt idx="25">
                  <c:v>0.29505637853229327</c:v>
                </c:pt>
                <c:pt idx="26">
                  <c:v>6.8446236054693466E-2</c:v>
                </c:pt>
                <c:pt idx="27">
                  <c:v>0.60654446071852719</c:v>
                </c:pt>
              </c:numCache>
            </c:numRef>
          </c:val>
          <c:extLst>
            <c:ext xmlns:c16="http://schemas.microsoft.com/office/drawing/2014/chart" uri="{C3380CC4-5D6E-409C-BE32-E72D297353CC}">
              <c16:uniqueId val="{00000003-90AC-486A-A6F3-C0CB27204165}"/>
            </c:ext>
          </c:extLst>
        </c:ser>
        <c:ser>
          <c:idx val="0"/>
          <c:order val="5"/>
          <c:tx>
            <c:strRef>
              <c:f>HDP!$D$4</c:f>
              <c:strCache>
                <c:ptCount val="1"/>
                <c:pt idx="0">
                  <c:v>Spotřeba domácností </c:v>
                </c:pt>
              </c:strCache>
            </c:strRef>
          </c:tx>
          <c:spPr>
            <a:solidFill>
              <a:srgbClr val="0096D6"/>
            </a:solidFill>
            <a:ln>
              <a:noFill/>
            </a:ln>
            <a:effectLst/>
          </c:spPr>
          <c:invertIfNegative val="0"/>
          <c:cat>
            <c:strRef>
              <c:f>HDP!$A$157:$B$184</c:f>
              <c:strCache>
                <c:ptCount val="28"/>
                <c:pt idx="0">
                  <c:v>1996</c:v>
                </c:pt>
                <c:pt idx="1">
                  <c:v>1997</c:v>
                </c:pt>
                <c:pt idx="2">
                  <c:v>1998</c:v>
                </c:pt>
                <c:pt idx="3">
                  <c:v>1999</c:v>
                </c:pt>
                <c:pt idx="4">
                  <c:v>2000</c:v>
                </c:pt>
                <c:pt idx="5">
                  <c:v>2001</c:v>
                </c:pt>
                <c:pt idx="6">
                  <c:v>2002</c:v>
                </c:pt>
                <c:pt idx="7">
                  <c:v>2003</c:v>
                </c:pt>
                <c:pt idx="8">
                  <c:v>2004</c:v>
                </c:pt>
                <c:pt idx="9">
                  <c:v>2005</c:v>
                </c:pt>
                <c:pt idx="10">
                  <c:v>2006</c:v>
                </c:pt>
                <c:pt idx="11">
                  <c:v>2007</c:v>
                </c:pt>
                <c:pt idx="12">
                  <c:v>2008</c:v>
                </c:pt>
                <c:pt idx="13">
                  <c:v>2009</c:v>
                </c:pt>
                <c:pt idx="14">
                  <c:v>2010</c:v>
                </c:pt>
                <c:pt idx="15">
                  <c:v>2011</c:v>
                </c:pt>
                <c:pt idx="16">
                  <c:v>2012</c:v>
                </c:pt>
                <c:pt idx="17">
                  <c:v>2013</c:v>
                </c:pt>
                <c:pt idx="18">
                  <c:v>2014</c:v>
                </c:pt>
                <c:pt idx="19">
                  <c:v>2015</c:v>
                </c:pt>
                <c:pt idx="20">
                  <c:v>2016</c:v>
                </c:pt>
                <c:pt idx="21">
                  <c:v>2017</c:v>
                </c:pt>
                <c:pt idx="22">
                  <c:v>2018</c:v>
                </c:pt>
                <c:pt idx="23">
                  <c:v>2019</c:v>
                </c:pt>
                <c:pt idx="24">
                  <c:v>2020</c:v>
                </c:pt>
                <c:pt idx="25">
                  <c:v>2021</c:v>
                </c:pt>
                <c:pt idx="26">
                  <c:v>2022</c:v>
                </c:pt>
                <c:pt idx="27">
                  <c:v>2023</c:v>
                </c:pt>
              </c:strCache>
            </c:strRef>
          </c:cat>
          <c:val>
            <c:numRef>
              <c:f>HDP!$D$157:$D$184</c:f>
              <c:numCache>
                <c:formatCode>0.0</c:formatCode>
                <c:ptCount val="28"/>
                <c:pt idx="0">
                  <c:v>3.5498028200803762</c:v>
                </c:pt>
                <c:pt idx="1">
                  <c:v>1.4128123731330382</c:v>
                </c:pt>
                <c:pt idx="2">
                  <c:v>-0.22062924028169845</c:v>
                </c:pt>
                <c:pt idx="3">
                  <c:v>1.6035803454186699</c:v>
                </c:pt>
                <c:pt idx="4">
                  <c:v>0.87054671775368964</c:v>
                </c:pt>
                <c:pt idx="5">
                  <c:v>1.5650634741594474</c:v>
                </c:pt>
                <c:pt idx="6">
                  <c:v>1.5053108327345421</c:v>
                </c:pt>
                <c:pt idx="7">
                  <c:v>2.5379184221921971</c:v>
                </c:pt>
                <c:pt idx="8">
                  <c:v>1.3300814091167723</c:v>
                </c:pt>
                <c:pt idx="9">
                  <c:v>1.6887656553026189</c:v>
                </c:pt>
                <c:pt idx="10">
                  <c:v>1.788049167163237</c:v>
                </c:pt>
                <c:pt idx="11">
                  <c:v>1.9164188652701093</c:v>
                </c:pt>
                <c:pt idx="12">
                  <c:v>1.3409493815953557</c:v>
                </c:pt>
                <c:pt idx="13">
                  <c:v>-0.19198401140118618</c:v>
                </c:pt>
                <c:pt idx="14">
                  <c:v>0.62568854558443521</c:v>
                </c:pt>
                <c:pt idx="15">
                  <c:v>0.19012279014219349</c:v>
                </c:pt>
                <c:pt idx="16">
                  <c:v>-0.51472231482624486</c:v>
                </c:pt>
                <c:pt idx="17">
                  <c:v>0.41675249119452579</c:v>
                </c:pt>
                <c:pt idx="18">
                  <c:v>0.67510731893400544</c:v>
                </c:pt>
                <c:pt idx="19">
                  <c:v>1.8748119813591386</c:v>
                </c:pt>
                <c:pt idx="20">
                  <c:v>1.7033887975962125</c:v>
                </c:pt>
                <c:pt idx="21">
                  <c:v>1.8851976095609222</c:v>
                </c:pt>
                <c:pt idx="22">
                  <c:v>1.5399660651656699</c:v>
                </c:pt>
                <c:pt idx="23">
                  <c:v>1.2019360360739588</c:v>
                </c:pt>
                <c:pt idx="24">
                  <c:v>-3.4115996043451613</c:v>
                </c:pt>
                <c:pt idx="25">
                  <c:v>1.8047819445808824</c:v>
                </c:pt>
                <c:pt idx="26">
                  <c:v>-0.34190368632105245</c:v>
                </c:pt>
                <c:pt idx="27">
                  <c:v>-1.4332459170442311</c:v>
                </c:pt>
              </c:numCache>
            </c:numRef>
          </c:val>
          <c:extLst>
            <c:ext xmlns:c16="http://schemas.microsoft.com/office/drawing/2014/chart" uri="{C3380CC4-5D6E-409C-BE32-E72D297353CC}">
              <c16:uniqueId val="{00000004-90AC-486A-A6F3-C0CB27204165}"/>
            </c:ext>
          </c:extLst>
        </c:ser>
        <c:dLbls>
          <c:showLegendKey val="0"/>
          <c:showVal val="0"/>
          <c:showCatName val="0"/>
          <c:showSerName val="0"/>
          <c:showPercent val="0"/>
          <c:showBubbleSize val="0"/>
        </c:dLbls>
        <c:gapWidth val="150"/>
        <c:overlap val="100"/>
        <c:axId val="149330976"/>
        <c:axId val="150027416"/>
      </c:barChart>
      <c:lineChart>
        <c:grouping val="standard"/>
        <c:varyColors val="0"/>
        <c:ser>
          <c:idx val="4"/>
          <c:order val="0"/>
          <c:tx>
            <c:strRef>
              <c:f>HDP!$C$3</c:f>
              <c:strCache>
                <c:ptCount val="1"/>
                <c:pt idx="0">
                  <c:v>HDP</c:v>
                </c:pt>
              </c:strCache>
            </c:strRef>
          </c:tx>
          <c:spPr>
            <a:ln w="12700" cap="rnd">
              <a:solidFill>
                <a:srgbClr val="000000"/>
              </a:solidFill>
              <a:round/>
            </a:ln>
            <a:effectLst/>
          </c:spPr>
          <c:marker>
            <c:symbol val="none"/>
          </c:marker>
          <c:cat>
            <c:strRef>
              <c:f>HDP!$A$157:$B$184</c:f>
              <c:strCache>
                <c:ptCount val="28"/>
                <c:pt idx="0">
                  <c:v>1996</c:v>
                </c:pt>
                <c:pt idx="1">
                  <c:v>1997</c:v>
                </c:pt>
                <c:pt idx="2">
                  <c:v>1998</c:v>
                </c:pt>
                <c:pt idx="3">
                  <c:v>1999</c:v>
                </c:pt>
                <c:pt idx="4">
                  <c:v>2000</c:v>
                </c:pt>
                <c:pt idx="5">
                  <c:v>2001</c:v>
                </c:pt>
                <c:pt idx="6">
                  <c:v>2002</c:v>
                </c:pt>
                <c:pt idx="7">
                  <c:v>2003</c:v>
                </c:pt>
                <c:pt idx="8">
                  <c:v>2004</c:v>
                </c:pt>
                <c:pt idx="9">
                  <c:v>2005</c:v>
                </c:pt>
                <c:pt idx="10">
                  <c:v>2006</c:v>
                </c:pt>
                <c:pt idx="11">
                  <c:v>2007</c:v>
                </c:pt>
                <c:pt idx="12">
                  <c:v>2008</c:v>
                </c:pt>
                <c:pt idx="13">
                  <c:v>2009</c:v>
                </c:pt>
                <c:pt idx="14">
                  <c:v>2010</c:v>
                </c:pt>
                <c:pt idx="15">
                  <c:v>2011</c:v>
                </c:pt>
                <c:pt idx="16">
                  <c:v>2012</c:v>
                </c:pt>
                <c:pt idx="17">
                  <c:v>2013</c:v>
                </c:pt>
                <c:pt idx="18">
                  <c:v>2014</c:v>
                </c:pt>
                <c:pt idx="19">
                  <c:v>2015</c:v>
                </c:pt>
                <c:pt idx="20">
                  <c:v>2016</c:v>
                </c:pt>
                <c:pt idx="21">
                  <c:v>2017</c:v>
                </c:pt>
                <c:pt idx="22">
                  <c:v>2018</c:v>
                </c:pt>
                <c:pt idx="23">
                  <c:v>2019</c:v>
                </c:pt>
                <c:pt idx="24">
                  <c:v>2020</c:v>
                </c:pt>
                <c:pt idx="25">
                  <c:v>2021</c:v>
                </c:pt>
                <c:pt idx="26">
                  <c:v>2022</c:v>
                </c:pt>
                <c:pt idx="27">
                  <c:v>2023</c:v>
                </c:pt>
              </c:strCache>
            </c:strRef>
          </c:cat>
          <c:val>
            <c:numRef>
              <c:f>HDP!$C$157:$C$184</c:f>
              <c:numCache>
                <c:formatCode>0.0</c:formatCode>
                <c:ptCount val="28"/>
                <c:pt idx="0">
                  <c:v>4.2614060276239973</c:v>
                </c:pt>
                <c:pt idx="1">
                  <c:v>-0.53728671304184161</c:v>
                </c:pt>
                <c:pt idx="2">
                  <c:v>-0.34821226320702681</c:v>
                </c:pt>
                <c:pt idx="3">
                  <c:v>1.2475695416279673</c:v>
                </c:pt>
                <c:pt idx="4">
                  <c:v>4.2984551099183683</c:v>
                </c:pt>
                <c:pt idx="5">
                  <c:v>3.0319911103925561</c:v>
                </c:pt>
                <c:pt idx="6">
                  <c:v>1.499729865692478</c:v>
                </c:pt>
                <c:pt idx="7">
                  <c:v>3.5765328595350359</c:v>
                </c:pt>
                <c:pt idx="8">
                  <c:v>4.6809710706762075</c:v>
                </c:pt>
                <c:pt idx="9">
                  <c:v>6.6709756495840544</c:v>
                </c:pt>
                <c:pt idx="10">
                  <c:v>6.9273691278275571</c:v>
                </c:pt>
                <c:pt idx="11">
                  <c:v>5.5572523837763095</c:v>
                </c:pt>
                <c:pt idx="12">
                  <c:v>2.5295605319147558</c:v>
                </c:pt>
                <c:pt idx="13">
                  <c:v>-4.5271979000108447</c:v>
                </c:pt>
                <c:pt idx="14">
                  <c:v>2.2960198715709228</c:v>
                </c:pt>
                <c:pt idx="15">
                  <c:v>1.7587360845484872</c:v>
                </c:pt>
                <c:pt idx="16">
                  <c:v>-0.71664425690384548</c:v>
                </c:pt>
                <c:pt idx="17">
                  <c:v>-4.1293625565646835E-2</c:v>
                </c:pt>
                <c:pt idx="18">
                  <c:v>2.2607475868329687</c:v>
                </c:pt>
                <c:pt idx="19">
                  <c:v>5.4600728390256617</c:v>
                </c:pt>
                <c:pt idx="20">
                  <c:v>2.4509850532614248</c:v>
                </c:pt>
                <c:pt idx="21">
                  <c:v>5.3455781986617126</c:v>
                </c:pt>
                <c:pt idx="22">
                  <c:v>3.2064353453852417</c:v>
                </c:pt>
                <c:pt idx="23">
                  <c:v>2.9655522052540899</c:v>
                </c:pt>
                <c:pt idx="24">
                  <c:v>-5.5180422161848783</c:v>
                </c:pt>
                <c:pt idx="25">
                  <c:v>3.4958489857677759</c:v>
                </c:pt>
                <c:pt idx="26">
                  <c:v>2.3501784760167173</c:v>
                </c:pt>
                <c:pt idx="27">
                  <c:v>-0.39107416511155674</c:v>
                </c:pt>
              </c:numCache>
            </c:numRef>
          </c:val>
          <c:smooth val="0"/>
          <c:extLst>
            <c:ext xmlns:c16="http://schemas.microsoft.com/office/drawing/2014/chart" uri="{C3380CC4-5D6E-409C-BE32-E72D297353CC}">
              <c16:uniqueId val="{00000005-90AC-486A-A6F3-C0CB27204165}"/>
            </c:ext>
          </c:extLst>
        </c:ser>
        <c:dLbls>
          <c:showLegendKey val="0"/>
          <c:showVal val="0"/>
          <c:showCatName val="0"/>
          <c:showSerName val="0"/>
          <c:showPercent val="0"/>
          <c:showBubbleSize val="0"/>
        </c:dLbls>
        <c:marker val="1"/>
        <c:smooth val="0"/>
        <c:axId val="149330976"/>
        <c:axId val="150027416"/>
      </c:lineChart>
      <c:catAx>
        <c:axId val="149330976"/>
        <c:scaling>
          <c:orientation val="minMax"/>
        </c:scaling>
        <c:delete val="0"/>
        <c:axPos val="b"/>
        <c:numFmt formatCode="General" sourceLinked="1"/>
        <c:majorTickMark val="none"/>
        <c:minorTickMark val="none"/>
        <c:tickLblPos val="low"/>
        <c:spPr>
          <a:noFill/>
          <a:ln w="6350" cap="flat" cmpd="sng" algn="ctr">
            <a:solidFill>
              <a:schemeClr val="tx1"/>
            </a:solidFill>
            <a:round/>
          </a:ln>
          <a:effectLst/>
        </c:spPr>
        <c:txPr>
          <a:bodyPr rot="-5400000" spcFirstLastPara="1" vertOverflow="ellipsis" wrap="square" anchor="ctr" anchorCtr="1"/>
          <a:lstStyle/>
          <a:p>
            <a:pPr>
              <a:defRPr sz="800" b="0" i="0" u="none" strike="noStrike" kern="1200" baseline="0">
                <a:solidFill>
                  <a:schemeClr val="tx1"/>
                </a:solidFill>
                <a:latin typeface="+mn-lt"/>
                <a:ea typeface="+mn-ea"/>
                <a:cs typeface="+mn-cs"/>
              </a:defRPr>
            </a:pPr>
            <a:endParaRPr lang="cs-CZ"/>
          </a:p>
        </c:txPr>
        <c:crossAx val="150027416"/>
        <c:crosses val="autoZero"/>
        <c:auto val="1"/>
        <c:lblAlgn val="ctr"/>
        <c:lblOffset val="100"/>
        <c:tickLblSkip val="1"/>
        <c:tickMarkSkip val="4"/>
        <c:noMultiLvlLbl val="0"/>
      </c:catAx>
      <c:valAx>
        <c:axId val="150027416"/>
        <c:scaling>
          <c:orientation val="minMax"/>
          <c:max val="9"/>
          <c:min val="-7"/>
        </c:scaling>
        <c:delete val="0"/>
        <c:axPos val="l"/>
        <c:majorGridlines>
          <c:spPr>
            <a:ln w="6350" cap="flat" cmpd="sng" algn="ctr">
              <a:solidFill>
                <a:schemeClr val="tx1"/>
              </a:solidFill>
              <a:prstDash val="dash"/>
              <a:round/>
            </a:ln>
            <a:effectLst/>
          </c:spPr>
        </c:majorGridlines>
        <c:numFmt formatCode="#,##0" sourceLinked="0"/>
        <c:majorTickMark val="none"/>
        <c:minorTickMark val="none"/>
        <c:tickLblPos val="nextTo"/>
        <c:spPr>
          <a:noFill/>
          <a:ln w="3175">
            <a:noFill/>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cs-CZ"/>
          </a:p>
        </c:txPr>
        <c:crossAx val="149330976"/>
        <c:crosses val="autoZero"/>
        <c:crossBetween val="between"/>
        <c:majorUnit val="1"/>
      </c:valAx>
      <c:spPr>
        <a:noFill/>
        <a:ln>
          <a:noFill/>
        </a:ln>
        <a:effectLst/>
      </c:spPr>
    </c:plotArea>
    <c:legend>
      <c:legendPos val="b"/>
      <c:layout>
        <c:manualLayout>
          <c:xMode val="edge"/>
          <c:yMode val="edge"/>
          <c:x val="0"/>
          <c:y val="0.70877573044486186"/>
          <c:w val="0.99392715637207363"/>
          <c:h val="0.29063591670330546"/>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cs-CZ"/>
        </a:p>
      </c:txPr>
    </c:legend>
    <c:plotVisOnly val="1"/>
    <c:dispBlanksAs val="gap"/>
    <c:showDLblsOverMax val="0"/>
  </c:chart>
  <c:spPr>
    <a:solidFill>
      <a:schemeClr val="bg1"/>
    </a:solidFill>
    <a:ln w="9525" cap="flat" cmpd="sng" algn="ctr">
      <a:noFill/>
      <a:round/>
    </a:ln>
    <a:effectLst/>
  </c:spPr>
  <c:txPr>
    <a:bodyPr/>
    <a:lstStyle/>
    <a:p>
      <a:pPr>
        <a:defRPr sz="800">
          <a:solidFill>
            <a:schemeClr val="tx1"/>
          </a:solidFill>
        </a:defRPr>
      </a:pPr>
      <a:endParaRPr lang="cs-CZ"/>
    </a:p>
  </c:txPr>
  <c:externalData r:id="rId4">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5543853707970945E-2"/>
          <c:y val="2.5668275481413375E-2"/>
          <c:w val="0.90918435239987971"/>
          <c:h val="0.61793781203719722"/>
        </c:manualLayout>
      </c:layout>
      <c:barChart>
        <c:barDir val="col"/>
        <c:grouping val="clustered"/>
        <c:varyColors val="0"/>
        <c:ser>
          <c:idx val="17"/>
          <c:order val="0"/>
          <c:tx>
            <c:strRef>
              <c:f>Produkt._EU!$S$9</c:f>
              <c:strCache>
                <c:ptCount val="1"/>
                <c:pt idx="0">
                  <c:v>2022</c:v>
                </c:pt>
              </c:strCache>
            </c:strRef>
          </c:tx>
          <c:spPr>
            <a:solidFill>
              <a:schemeClr val="tx2"/>
            </a:solidFill>
            <a:ln>
              <a:noFill/>
            </a:ln>
            <a:effectLst/>
          </c:spPr>
          <c:invertIfNegative val="0"/>
          <c:dPt>
            <c:idx val="10"/>
            <c:invertIfNegative val="0"/>
            <c:bubble3D val="0"/>
            <c:spPr>
              <a:solidFill>
                <a:schemeClr val="tx1"/>
              </a:solidFill>
              <a:ln>
                <a:noFill/>
              </a:ln>
              <a:effectLst/>
            </c:spPr>
            <c:extLst>
              <c:ext xmlns:c16="http://schemas.microsoft.com/office/drawing/2014/chart" uri="{C3380CC4-5D6E-409C-BE32-E72D297353CC}">
                <c16:uniqueId val="{00000001-E987-455D-B31D-B5B437F15BD1}"/>
              </c:ext>
            </c:extLst>
          </c:dPt>
          <c:dPt>
            <c:idx val="16"/>
            <c:invertIfNegative val="0"/>
            <c:bubble3D val="0"/>
            <c:spPr>
              <a:solidFill>
                <a:schemeClr val="tx1"/>
              </a:solidFill>
              <a:ln>
                <a:noFill/>
              </a:ln>
              <a:effectLst/>
            </c:spPr>
            <c:extLst>
              <c:ext xmlns:c16="http://schemas.microsoft.com/office/drawing/2014/chart" uri="{C3380CC4-5D6E-409C-BE32-E72D297353CC}">
                <c16:uniqueId val="{00000003-E987-455D-B31D-B5B437F15BD1}"/>
              </c:ext>
            </c:extLst>
          </c:dPt>
          <c:cat>
            <c:strRef>
              <c:f>Produkt._EU!$A$10:$A$37</c:f>
              <c:strCache>
                <c:ptCount val="28"/>
                <c:pt idx="0">
                  <c:v>Irsko</c:v>
                </c:pt>
                <c:pt idx="1">
                  <c:v>Lucembursko</c:v>
                </c:pt>
                <c:pt idx="2">
                  <c:v>Dánsko</c:v>
                </c:pt>
                <c:pt idx="3">
                  <c:v>Belgie</c:v>
                </c:pt>
                <c:pt idx="4">
                  <c:v>Nizozemsko</c:v>
                </c:pt>
                <c:pt idx="5">
                  <c:v>Německo</c:v>
                </c:pt>
                <c:pt idx="6">
                  <c:v>Rakousko</c:v>
                </c:pt>
                <c:pt idx="7">
                  <c:v>Francie</c:v>
                </c:pt>
                <c:pt idx="8">
                  <c:v>Švédsko</c:v>
                </c:pt>
                <c:pt idx="9">
                  <c:v>Finsko</c:v>
                </c:pt>
                <c:pt idx="10">
                  <c:v>Eurozóna</c:v>
                </c:pt>
                <c:pt idx="11">
                  <c:v>Itálie</c:v>
                </c:pt>
                <c:pt idx="12">
                  <c:v>Španělsko</c:v>
                </c:pt>
                <c:pt idx="13">
                  <c:v>Slovinsko</c:v>
                </c:pt>
                <c:pt idx="14">
                  <c:v>Malta</c:v>
                </c:pt>
                <c:pt idx="15">
                  <c:v>Kypr</c:v>
                </c:pt>
                <c:pt idx="16">
                  <c:v>Česko</c:v>
                </c:pt>
                <c:pt idx="17">
                  <c:v>Slovensko</c:v>
                </c:pt>
                <c:pt idx="18">
                  <c:v>Litva</c:v>
                </c:pt>
                <c:pt idx="19">
                  <c:v>Rumunsko</c:v>
                </c:pt>
                <c:pt idx="20">
                  <c:v>Estonsko</c:v>
                </c:pt>
                <c:pt idx="21">
                  <c:v>Maďarsko</c:v>
                </c:pt>
                <c:pt idx="22">
                  <c:v>Chorvatsko</c:v>
                </c:pt>
                <c:pt idx="23">
                  <c:v>Portugalsko</c:v>
                </c:pt>
                <c:pt idx="24">
                  <c:v>Polsko</c:v>
                </c:pt>
                <c:pt idx="25">
                  <c:v>Lotyšsko</c:v>
                </c:pt>
                <c:pt idx="26">
                  <c:v>Řecko</c:v>
                </c:pt>
                <c:pt idx="27">
                  <c:v>Bulharsko</c:v>
                </c:pt>
              </c:strCache>
            </c:strRef>
          </c:cat>
          <c:val>
            <c:numRef>
              <c:f>Produkt._EU!$S$10:$S$37</c:f>
              <c:numCache>
                <c:formatCode>#\ ##0.##########</c:formatCode>
                <c:ptCount val="28"/>
                <c:pt idx="0" formatCode="#\ ##0.0">
                  <c:v>218</c:v>
                </c:pt>
                <c:pt idx="1">
                  <c:v>175.3</c:v>
                </c:pt>
                <c:pt idx="2">
                  <c:v>139.69999999999999</c:v>
                </c:pt>
                <c:pt idx="3">
                  <c:v>134.1</c:v>
                </c:pt>
                <c:pt idx="4">
                  <c:v>123.8</c:v>
                </c:pt>
                <c:pt idx="5">
                  <c:v>121.9</c:v>
                </c:pt>
                <c:pt idx="6">
                  <c:v>119.5</c:v>
                </c:pt>
                <c:pt idx="7">
                  <c:v>116.3</c:v>
                </c:pt>
                <c:pt idx="8">
                  <c:v>115.8</c:v>
                </c:pt>
                <c:pt idx="9">
                  <c:v>108.7</c:v>
                </c:pt>
                <c:pt idx="10">
                  <c:v>107.8</c:v>
                </c:pt>
                <c:pt idx="11">
                  <c:v>99.3</c:v>
                </c:pt>
                <c:pt idx="12">
                  <c:v>92.3</c:v>
                </c:pt>
                <c:pt idx="13">
                  <c:v>83.3</c:v>
                </c:pt>
                <c:pt idx="14">
                  <c:v>79.7</c:v>
                </c:pt>
                <c:pt idx="15">
                  <c:v>77.2</c:v>
                </c:pt>
                <c:pt idx="16">
                  <c:v>76.7</c:v>
                </c:pt>
                <c:pt idx="17">
                  <c:v>75.900000000000006</c:v>
                </c:pt>
                <c:pt idx="18">
                  <c:v>72.400000000000006</c:v>
                </c:pt>
                <c:pt idx="19">
                  <c:v>70.3</c:v>
                </c:pt>
                <c:pt idx="20">
                  <c:v>69.8</c:v>
                </c:pt>
                <c:pt idx="21">
                  <c:v>69.5</c:v>
                </c:pt>
                <c:pt idx="22">
                  <c:v>68.400000000000006</c:v>
                </c:pt>
                <c:pt idx="23">
                  <c:v>68.2</c:v>
                </c:pt>
                <c:pt idx="24">
                  <c:v>67.099999999999994</c:v>
                </c:pt>
                <c:pt idx="25">
                  <c:v>63.9</c:v>
                </c:pt>
                <c:pt idx="26" formatCode="#\ ##0.0">
                  <c:v>57</c:v>
                </c:pt>
                <c:pt idx="27">
                  <c:v>55.2</c:v>
                </c:pt>
              </c:numCache>
            </c:numRef>
          </c:val>
          <c:extLst>
            <c:ext xmlns:c16="http://schemas.microsoft.com/office/drawing/2014/chart" uri="{C3380CC4-5D6E-409C-BE32-E72D297353CC}">
              <c16:uniqueId val="{00000004-E987-455D-B31D-B5B437F15BD1}"/>
            </c:ext>
          </c:extLst>
        </c:ser>
        <c:dLbls>
          <c:showLegendKey val="0"/>
          <c:showVal val="0"/>
          <c:showCatName val="0"/>
          <c:showSerName val="0"/>
          <c:showPercent val="0"/>
          <c:showBubbleSize val="0"/>
        </c:dLbls>
        <c:gapWidth val="146"/>
        <c:axId val="33460751"/>
        <c:axId val="33466991"/>
      </c:barChart>
      <c:lineChart>
        <c:grouping val="standard"/>
        <c:varyColors val="0"/>
        <c:ser>
          <c:idx val="15"/>
          <c:order val="1"/>
          <c:tx>
            <c:strRef>
              <c:f>Produkt._EU!$Q$9</c:f>
              <c:strCache>
                <c:ptCount val="1"/>
                <c:pt idx="0">
                  <c:v>2020</c:v>
                </c:pt>
              </c:strCache>
            </c:strRef>
          </c:tx>
          <c:spPr>
            <a:ln w="28575" cap="rnd">
              <a:noFill/>
              <a:round/>
            </a:ln>
            <a:effectLst/>
          </c:spPr>
          <c:marker>
            <c:symbol val="diamond"/>
            <c:size val="3"/>
            <c:spPr>
              <a:solidFill>
                <a:schemeClr val="accent6"/>
              </a:solidFill>
              <a:ln w="9525">
                <a:noFill/>
              </a:ln>
              <a:effectLst/>
            </c:spPr>
          </c:marker>
          <c:cat>
            <c:strRef>
              <c:f>Produkt._EU!$A$10:$A$37</c:f>
              <c:strCache>
                <c:ptCount val="28"/>
                <c:pt idx="0">
                  <c:v>Irsko</c:v>
                </c:pt>
                <c:pt idx="1">
                  <c:v>Lucembursko</c:v>
                </c:pt>
                <c:pt idx="2">
                  <c:v>Dánsko</c:v>
                </c:pt>
                <c:pt idx="3">
                  <c:v>Belgie</c:v>
                </c:pt>
                <c:pt idx="4">
                  <c:v>Nizozemsko</c:v>
                </c:pt>
                <c:pt idx="5">
                  <c:v>Německo</c:v>
                </c:pt>
                <c:pt idx="6">
                  <c:v>Rakousko</c:v>
                </c:pt>
                <c:pt idx="7">
                  <c:v>Francie</c:v>
                </c:pt>
                <c:pt idx="8">
                  <c:v>Švédsko</c:v>
                </c:pt>
                <c:pt idx="9">
                  <c:v>Finsko</c:v>
                </c:pt>
                <c:pt idx="10">
                  <c:v>Eurozóna</c:v>
                </c:pt>
                <c:pt idx="11">
                  <c:v>Itálie</c:v>
                </c:pt>
                <c:pt idx="12">
                  <c:v>Španělsko</c:v>
                </c:pt>
                <c:pt idx="13">
                  <c:v>Slovinsko</c:v>
                </c:pt>
                <c:pt idx="14">
                  <c:v>Malta</c:v>
                </c:pt>
                <c:pt idx="15">
                  <c:v>Kypr</c:v>
                </c:pt>
                <c:pt idx="16">
                  <c:v>Česko</c:v>
                </c:pt>
                <c:pt idx="17">
                  <c:v>Slovensko</c:v>
                </c:pt>
                <c:pt idx="18">
                  <c:v>Litva</c:v>
                </c:pt>
                <c:pt idx="19">
                  <c:v>Rumunsko</c:v>
                </c:pt>
                <c:pt idx="20">
                  <c:v>Estonsko</c:v>
                </c:pt>
                <c:pt idx="21">
                  <c:v>Maďarsko</c:v>
                </c:pt>
                <c:pt idx="22">
                  <c:v>Chorvatsko</c:v>
                </c:pt>
                <c:pt idx="23">
                  <c:v>Portugalsko</c:v>
                </c:pt>
                <c:pt idx="24">
                  <c:v>Polsko</c:v>
                </c:pt>
                <c:pt idx="25">
                  <c:v>Lotyšsko</c:v>
                </c:pt>
                <c:pt idx="26">
                  <c:v>Řecko</c:v>
                </c:pt>
                <c:pt idx="27">
                  <c:v>Bulharsko</c:v>
                </c:pt>
              </c:strCache>
            </c:strRef>
          </c:cat>
          <c:val>
            <c:numRef>
              <c:f>Produkt._EU!$Q$10:$Q$37</c:f>
              <c:numCache>
                <c:formatCode>#\ ##0.##########</c:formatCode>
                <c:ptCount val="28"/>
                <c:pt idx="0">
                  <c:v>199.2</c:v>
                </c:pt>
                <c:pt idx="1">
                  <c:v>174.1</c:v>
                </c:pt>
                <c:pt idx="2">
                  <c:v>136.9</c:v>
                </c:pt>
                <c:pt idx="3">
                  <c:v>136.4</c:v>
                </c:pt>
                <c:pt idx="4">
                  <c:v>120.2</c:v>
                </c:pt>
                <c:pt idx="5">
                  <c:v>122.4</c:v>
                </c:pt>
                <c:pt idx="6" formatCode="#\ ##0.0">
                  <c:v>117</c:v>
                </c:pt>
                <c:pt idx="7" formatCode="#\ ##0.0">
                  <c:v>126</c:v>
                </c:pt>
                <c:pt idx="8">
                  <c:v>113.6</c:v>
                </c:pt>
                <c:pt idx="9" formatCode="#\ ##0.0">
                  <c:v>108</c:v>
                </c:pt>
                <c:pt idx="10">
                  <c:v>109.2</c:v>
                </c:pt>
                <c:pt idx="11">
                  <c:v>102.5</c:v>
                </c:pt>
                <c:pt idx="12">
                  <c:v>91.3</c:v>
                </c:pt>
                <c:pt idx="13">
                  <c:v>83.4</c:v>
                </c:pt>
                <c:pt idx="14">
                  <c:v>72.5</c:v>
                </c:pt>
                <c:pt idx="15">
                  <c:v>75.400000000000006</c:v>
                </c:pt>
                <c:pt idx="16">
                  <c:v>78.900000000000006</c:v>
                </c:pt>
                <c:pt idx="17">
                  <c:v>76.099999999999994</c:v>
                </c:pt>
                <c:pt idx="18" formatCode="#\ ##0.0">
                  <c:v>70</c:v>
                </c:pt>
                <c:pt idx="19">
                  <c:v>66.7</c:v>
                </c:pt>
                <c:pt idx="20">
                  <c:v>72.900000000000006</c:v>
                </c:pt>
                <c:pt idx="21">
                  <c:v>66.400000000000006</c:v>
                </c:pt>
                <c:pt idx="22">
                  <c:v>60.2</c:v>
                </c:pt>
                <c:pt idx="23">
                  <c:v>64.8</c:v>
                </c:pt>
                <c:pt idx="24">
                  <c:v>63.6</c:v>
                </c:pt>
                <c:pt idx="25">
                  <c:v>60.9</c:v>
                </c:pt>
                <c:pt idx="26">
                  <c:v>55.1</c:v>
                </c:pt>
                <c:pt idx="27">
                  <c:v>48.4</c:v>
                </c:pt>
              </c:numCache>
            </c:numRef>
          </c:val>
          <c:smooth val="0"/>
          <c:extLst>
            <c:ext xmlns:c16="http://schemas.microsoft.com/office/drawing/2014/chart" uri="{C3380CC4-5D6E-409C-BE32-E72D297353CC}">
              <c16:uniqueId val="{00000005-E987-455D-B31D-B5B437F15BD1}"/>
            </c:ext>
          </c:extLst>
        </c:ser>
        <c:ser>
          <c:idx val="10"/>
          <c:order val="2"/>
          <c:tx>
            <c:strRef>
              <c:f>Produkt._EU!$L$9</c:f>
              <c:strCache>
                <c:ptCount val="1"/>
                <c:pt idx="0">
                  <c:v>2015</c:v>
                </c:pt>
              </c:strCache>
              <c:extLst xmlns:c15="http://schemas.microsoft.com/office/drawing/2012/chart"/>
            </c:strRef>
          </c:tx>
          <c:spPr>
            <a:ln w="28575" cap="rnd">
              <a:noFill/>
              <a:round/>
            </a:ln>
            <a:effectLst/>
          </c:spPr>
          <c:marker>
            <c:symbol val="triangle"/>
            <c:size val="3"/>
            <c:spPr>
              <a:solidFill>
                <a:schemeClr val="accent4"/>
              </a:solidFill>
              <a:ln w="9525">
                <a:noFill/>
              </a:ln>
              <a:effectLst/>
            </c:spPr>
          </c:marker>
          <c:cat>
            <c:strRef>
              <c:f>Produkt._EU!$A$10:$A$37</c:f>
              <c:strCache>
                <c:ptCount val="28"/>
                <c:pt idx="0">
                  <c:v>Irsko</c:v>
                </c:pt>
                <c:pt idx="1">
                  <c:v>Lucembursko</c:v>
                </c:pt>
                <c:pt idx="2">
                  <c:v>Dánsko</c:v>
                </c:pt>
                <c:pt idx="3">
                  <c:v>Belgie</c:v>
                </c:pt>
                <c:pt idx="4">
                  <c:v>Nizozemsko</c:v>
                </c:pt>
                <c:pt idx="5">
                  <c:v>Německo</c:v>
                </c:pt>
                <c:pt idx="6">
                  <c:v>Rakousko</c:v>
                </c:pt>
                <c:pt idx="7">
                  <c:v>Francie</c:v>
                </c:pt>
                <c:pt idx="8">
                  <c:v>Švédsko</c:v>
                </c:pt>
                <c:pt idx="9">
                  <c:v>Finsko</c:v>
                </c:pt>
                <c:pt idx="10">
                  <c:v>Eurozóna</c:v>
                </c:pt>
                <c:pt idx="11">
                  <c:v>Itálie</c:v>
                </c:pt>
                <c:pt idx="12">
                  <c:v>Španělsko</c:v>
                </c:pt>
                <c:pt idx="13">
                  <c:v>Slovinsko</c:v>
                </c:pt>
                <c:pt idx="14">
                  <c:v>Malta</c:v>
                </c:pt>
                <c:pt idx="15">
                  <c:v>Kypr</c:v>
                </c:pt>
                <c:pt idx="16">
                  <c:v>Česko</c:v>
                </c:pt>
                <c:pt idx="17">
                  <c:v>Slovensko</c:v>
                </c:pt>
                <c:pt idx="18">
                  <c:v>Litva</c:v>
                </c:pt>
                <c:pt idx="19">
                  <c:v>Rumunsko</c:v>
                </c:pt>
                <c:pt idx="20">
                  <c:v>Estonsko</c:v>
                </c:pt>
                <c:pt idx="21">
                  <c:v>Maďarsko</c:v>
                </c:pt>
                <c:pt idx="22">
                  <c:v>Chorvatsko</c:v>
                </c:pt>
                <c:pt idx="23">
                  <c:v>Portugalsko</c:v>
                </c:pt>
                <c:pt idx="24">
                  <c:v>Polsko</c:v>
                </c:pt>
                <c:pt idx="25">
                  <c:v>Lotyšsko</c:v>
                </c:pt>
                <c:pt idx="26">
                  <c:v>Řecko</c:v>
                </c:pt>
                <c:pt idx="27">
                  <c:v>Bulharsko</c:v>
                </c:pt>
              </c:strCache>
            </c:strRef>
          </c:cat>
          <c:val>
            <c:numRef>
              <c:f>Produkt._EU!$L$10:$L$37</c:f>
              <c:numCache>
                <c:formatCode>#\ ##0.##########</c:formatCode>
                <c:ptCount val="28"/>
                <c:pt idx="0">
                  <c:v>179.9</c:v>
                </c:pt>
                <c:pt idx="1">
                  <c:v>190.5</c:v>
                </c:pt>
                <c:pt idx="2">
                  <c:v>133.69999999999999</c:v>
                </c:pt>
                <c:pt idx="3">
                  <c:v>136.69999999999999</c:v>
                </c:pt>
                <c:pt idx="4">
                  <c:v>129.5</c:v>
                </c:pt>
                <c:pt idx="5">
                  <c:v>122.9</c:v>
                </c:pt>
                <c:pt idx="6">
                  <c:v>119.6</c:v>
                </c:pt>
                <c:pt idx="7">
                  <c:v>124.7</c:v>
                </c:pt>
                <c:pt idx="8">
                  <c:v>119.1</c:v>
                </c:pt>
                <c:pt idx="9">
                  <c:v>109.6</c:v>
                </c:pt>
                <c:pt idx="10">
                  <c:v>110.5</c:v>
                </c:pt>
                <c:pt idx="11">
                  <c:v>101.6</c:v>
                </c:pt>
                <c:pt idx="12">
                  <c:v>98.9</c:v>
                </c:pt>
                <c:pt idx="13">
                  <c:v>78.3</c:v>
                </c:pt>
                <c:pt idx="14">
                  <c:v>82.5</c:v>
                </c:pt>
                <c:pt idx="15">
                  <c:v>76.7</c:v>
                </c:pt>
                <c:pt idx="16">
                  <c:v>75.2</c:v>
                </c:pt>
                <c:pt idx="17">
                  <c:v>78.3</c:v>
                </c:pt>
                <c:pt idx="18">
                  <c:v>62.9</c:v>
                </c:pt>
                <c:pt idx="19">
                  <c:v>53.7</c:v>
                </c:pt>
                <c:pt idx="20">
                  <c:v>63.5</c:v>
                </c:pt>
                <c:pt idx="21">
                  <c:v>66.900000000000006</c:v>
                </c:pt>
                <c:pt idx="22">
                  <c:v>65.8</c:v>
                </c:pt>
                <c:pt idx="23">
                  <c:v>68.3</c:v>
                </c:pt>
                <c:pt idx="24">
                  <c:v>59.5</c:v>
                </c:pt>
                <c:pt idx="25">
                  <c:v>55.8</c:v>
                </c:pt>
                <c:pt idx="26">
                  <c:v>62.7</c:v>
                </c:pt>
                <c:pt idx="27">
                  <c:v>44.5</c:v>
                </c:pt>
              </c:numCache>
            </c:numRef>
          </c:val>
          <c:smooth val="0"/>
          <c:extLst xmlns:c15="http://schemas.microsoft.com/office/drawing/2012/chart">
            <c:ext xmlns:c16="http://schemas.microsoft.com/office/drawing/2014/chart" uri="{C3380CC4-5D6E-409C-BE32-E72D297353CC}">
              <c16:uniqueId val="{00000006-E987-455D-B31D-B5B437F15BD1}"/>
            </c:ext>
          </c:extLst>
        </c:ser>
        <c:ser>
          <c:idx val="5"/>
          <c:order val="3"/>
          <c:tx>
            <c:strRef>
              <c:f>Produkt._EU!$G$9</c:f>
              <c:strCache>
                <c:ptCount val="1"/>
                <c:pt idx="0">
                  <c:v>2010</c:v>
                </c:pt>
              </c:strCache>
              <c:extLst xmlns:c15="http://schemas.microsoft.com/office/drawing/2012/chart"/>
            </c:strRef>
          </c:tx>
          <c:spPr>
            <a:ln w="28575" cap="rnd">
              <a:noFill/>
              <a:round/>
            </a:ln>
            <a:effectLst/>
          </c:spPr>
          <c:marker>
            <c:symbol val="circle"/>
            <c:size val="3"/>
            <c:spPr>
              <a:solidFill>
                <a:schemeClr val="bg2"/>
              </a:solidFill>
              <a:ln w="9525">
                <a:noFill/>
              </a:ln>
              <a:effectLst/>
            </c:spPr>
          </c:marker>
          <c:cat>
            <c:strRef>
              <c:f>Produkt._EU!$A$10:$A$37</c:f>
              <c:strCache>
                <c:ptCount val="28"/>
                <c:pt idx="0">
                  <c:v>Irsko</c:v>
                </c:pt>
                <c:pt idx="1">
                  <c:v>Lucembursko</c:v>
                </c:pt>
                <c:pt idx="2">
                  <c:v>Dánsko</c:v>
                </c:pt>
                <c:pt idx="3">
                  <c:v>Belgie</c:v>
                </c:pt>
                <c:pt idx="4">
                  <c:v>Nizozemsko</c:v>
                </c:pt>
                <c:pt idx="5">
                  <c:v>Německo</c:v>
                </c:pt>
                <c:pt idx="6">
                  <c:v>Rakousko</c:v>
                </c:pt>
                <c:pt idx="7">
                  <c:v>Francie</c:v>
                </c:pt>
                <c:pt idx="8">
                  <c:v>Švédsko</c:v>
                </c:pt>
                <c:pt idx="9">
                  <c:v>Finsko</c:v>
                </c:pt>
                <c:pt idx="10">
                  <c:v>Eurozóna</c:v>
                </c:pt>
                <c:pt idx="11">
                  <c:v>Itálie</c:v>
                </c:pt>
                <c:pt idx="12">
                  <c:v>Španělsko</c:v>
                </c:pt>
                <c:pt idx="13">
                  <c:v>Slovinsko</c:v>
                </c:pt>
                <c:pt idx="14">
                  <c:v>Malta</c:v>
                </c:pt>
                <c:pt idx="15">
                  <c:v>Kypr</c:v>
                </c:pt>
                <c:pt idx="16">
                  <c:v>Česko</c:v>
                </c:pt>
                <c:pt idx="17">
                  <c:v>Slovensko</c:v>
                </c:pt>
                <c:pt idx="18">
                  <c:v>Litva</c:v>
                </c:pt>
                <c:pt idx="19">
                  <c:v>Rumunsko</c:v>
                </c:pt>
                <c:pt idx="20">
                  <c:v>Estonsko</c:v>
                </c:pt>
                <c:pt idx="21">
                  <c:v>Maďarsko</c:v>
                </c:pt>
                <c:pt idx="22">
                  <c:v>Chorvatsko</c:v>
                </c:pt>
                <c:pt idx="23">
                  <c:v>Portugalsko</c:v>
                </c:pt>
                <c:pt idx="24">
                  <c:v>Polsko</c:v>
                </c:pt>
                <c:pt idx="25">
                  <c:v>Lotyšsko</c:v>
                </c:pt>
                <c:pt idx="26">
                  <c:v>Řecko</c:v>
                </c:pt>
                <c:pt idx="27">
                  <c:v>Bulharsko</c:v>
                </c:pt>
              </c:strCache>
            </c:strRef>
          </c:cat>
          <c:val>
            <c:numRef>
              <c:f>Produkt._EU!$G$10:$G$37</c:f>
              <c:numCache>
                <c:formatCode>#\ ##0.##########</c:formatCode>
                <c:ptCount val="28"/>
                <c:pt idx="0">
                  <c:v>138.19999999999999</c:v>
                </c:pt>
                <c:pt idx="1">
                  <c:v>188.4</c:v>
                </c:pt>
                <c:pt idx="2">
                  <c:v>135.1</c:v>
                </c:pt>
                <c:pt idx="3">
                  <c:v>137.9</c:v>
                </c:pt>
                <c:pt idx="4">
                  <c:v>134.9</c:v>
                </c:pt>
                <c:pt idx="5">
                  <c:v>122.3</c:v>
                </c:pt>
                <c:pt idx="6">
                  <c:v>115.6</c:v>
                </c:pt>
                <c:pt idx="7">
                  <c:v>126.9</c:v>
                </c:pt>
                <c:pt idx="8" formatCode="#\ ##0.0">
                  <c:v>122</c:v>
                </c:pt>
                <c:pt idx="9">
                  <c:v>114.9</c:v>
                </c:pt>
                <c:pt idx="10" formatCode="#\ ##0.0">
                  <c:v>111</c:v>
                </c:pt>
                <c:pt idx="11">
                  <c:v>106.3</c:v>
                </c:pt>
                <c:pt idx="12">
                  <c:v>99.6</c:v>
                </c:pt>
                <c:pt idx="13">
                  <c:v>79.099999999999994</c:v>
                </c:pt>
                <c:pt idx="14">
                  <c:v>76.400000000000006</c:v>
                </c:pt>
                <c:pt idx="15">
                  <c:v>83.3</c:v>
                </c:pt>
                <c:pt idx="16">
                  <c:v>72.099999999999994</c:v>
                </c:pt>
                <c:pt idx="17">
                  <c:v>78.5</c:v>
                </c:pt>
                <c:pt idx="18">
                  <c:v>58.3</c:v>
                </c:pt>
                <c:pt idx="19">
                  <c:v>49.1</c:v>
                </c:pt>
                <c:pt idx="20">
                  <c:v>62.9</c:v>
                </c:pt>
                <c:pt idx="21" formatCode="#\ ##0.0">
                  <c:v>70</c:v>
                </c:pt>
                <c:pt idx="22">
                  <c:v>59.8</c:v>
                </c:pt>
                <c:pt idx="23">
                  <c:v>70.2</c:v>
                </c:pt>
                <c:pt idx="24">
                  <c:v>56.7</c:v>
                </c:pt>
                <c:pt idx="25">
                  <c:v>51.1</c:v>
                </c:pt>
                <c:pt idx="26">
                  <c:v>72.7</c:v>
                </c:pt>
                <c:pt idx="27">
                  <c:v>41.9</c:v>
                </c:pt>
              </c:numCache>
            </c:numRef>
          </c:val>
          <c:smooth val="0"/>
          <c:extLst xmlns:c15="http://schemas.microsoft.com/office/drawing/2012/chart">
            <c:ext xmlns:c16="http://schemas.microsoft.com/office/drawing/2014/chart" uri="{C3380CC4-5D6E-409C-BE32-E72D297353CC}">
              <c16:uniqueId val="{00000007-E987-455D-B31D-B5B437F15BD1}"/>
            </c:ext>
          </c:extLst>
        </c:ser>
        <c:ser>
          <c:idx val="0"/>
          <c:order val="4"/>
          <c:tx>
            <c:strRef>
              <c:f>Produkt._EU!$B$9</c:f>
              <c:strCache>
                <c:ptCount val="1"/>
                <c:pt idx="0">
                  <c:v>2005</c:v>
                </c:pt>
              </c:strCache>
            </c:strRef>
          </c:tx>
          <c:spPr>
            <a:ln w="28575" cap="rnd">
              <a:noFill/>
              <a:round/>
            </a:ln>
            <a:effectLst/>
          </c:spPr>
          <c:marker>
            <c:symbol val="square"/>
            <c:size val="3"/>
            <c:spPr>
              <a:solidFill>
                <a:srgbClr val="FF0000"/>
              </a:solidFill>
              <a:ln w="9525">
                <a:noFill/>
              </a:ln>
              <a:effectLst/>
            </c:spPr>
          </c:marker>
          <c:cat>
            <c:strRef>
              <c:f>Produkt._EU!$A$10:$A$37</c:f>
              <c:strCache>
                <c:ptCount val="28"/>
                <c:pt idx="0">
                  <c:v>Irsko</c:v>
                </c:pt>
                <c:pt idx="1">
                  <c:v>Lucembursko</c:v>
                </c:pt>
                <c:pt idx="2">
                  <c:v>Dánsko</c:v>
                </c:pt>
                <c:pt idx="3">
                  <c:v>Belgie</c:v>
                </c:pt>
                <c:pt idx="4">
                  <c:v>Nizozemsko</c:v>
                </c:pt>
                <c:pt idx="5">
                  <c:v>Německo</c:v>
                </c:pt>
                <c:pt idx="6">
                  <c:v>Rakousko</c:v>
                </c:pt>
                <c:pt idx="7">
                  <c:v>Francie</c:v>
                </c:pt>
                <c:pt idx="8">
                  <c:v>Švédsko</c:v>
                </c:pt>
                <c:pt idx="9">
                  <c:v>Finsko</c:v>
                </c:pt>
                <c:pt idx="10">
                  <c:v>Eurozóna</c:v>
                </c:pt>
                <c:pt idx="11">
                  <c:v>Itálie</c:v>
                </c:pt>
                <c:pt idx="12">
                  <c:v>Španělsko</c:v>
                </c:pt>
                <c:pt idx="13">
                  <c:v>Slovinsko</c:v>
                </c:pt>
                <c:pt idx="14">
                  <c:v>Malta</c:v>
                </c:pt>
                <c:pt idx="15">
                  <c:v>Kypr</c:v>
                </c:pt>
                <c:pt idx="16">
                  <c:v>Česko</c:v>
                </c:pt>
                <c:pt idx="17">
                  <c:v>Slovensko</c:v>
                </c:pt>
                <c:pt idx="18">
                  <c:v>Litva</c:v>
                </c:pt>
                <c:pt idx="19">
                  <c:v>Rumunsko</c:v>
                </c:pt>
                <c:pt idx="20">
                  <c:v>Estonsko</c:v>
                </c:pt>
                <c:pt idx="21">
                  <c:v>Maďarsko</c:v>
                </c:pt>
                <c:pt idx="22">
                  <c:v>Chorvatsko</c:v>
                </c:pt>
                <c:pt idx="23">
                  <c:v>Portugalsko</c:v>
                </c:pt>
                <c:pt idx="24">
                  <c:v>Polsko</c:v>
                </c:pt>
                <c:pt idx="25">
                  <c:v>Lotyšsko</c:v>
                </c:pt>
                <c:pt idx="26">
                  <c:v>Řecko</c:v>
                </c:pt>
                <c:pt idx="27">
                  <c:v>Bulharsko</c:v>
                </c:pt>
              </c:strCache>
            </c:strRef>
          </c:cat>
          <c:val>
            <c:numRef>
              <c:f>Produkt._EU!$B$10:$B$37</c:f>
              <c:numCache>
                <c:formatCode>#\ ##0.##########</c:formatCode>
                <c:ptCount val="28"/>
                <c:pt idx="0">
                  <c:v>127.5</c:v>
                </c:pt>
                <c:pt idx="1">
                  <c:v>183.9</c:v>
                </c:pt>
                <c:pt idx="2">
                  <c:v>126.8</c:v>
                </c:pt>
                <c:pt idx="3">
                  <c:v>142.80000000000001</c:v>
                </c:pt>
                <c:pt idx="4">
                  <c:v>142.19999999999999</c:v>
                </c:pt>
                <c:pt idx="5">
                  <c:v>128.9</c:v>
                </c:pt>
                <c:pt idx="6">
                  <c:v>117.5</c:v>
                </c:pt>
                <c:pt idx="7">
                  <c:v>132.30000000000001</c:v>
                </c:pt>
                <c:pt idx="8" formatCode="#\ ##0.0">
                  <c:v>124</c:v>
                </c:pt>
                <c:pt idx="9">
                  <c:v>115.4</c:v>
                </c:pt>
                <c:pt idx="10">
                  <c:v>113.3</c:v>
                </c:pt>
                <c:pt idx="11">
                  <c:v>108.9</c:v>
                </c:pt>
                <c:pt idx="12">
                  <c:v>98.2</c:v>
                </c:pt>
                <c:pt idx="13">
                  <c:v>83.7</c:v>
                </c:pt>
                <c:pt idx="14">
                  <c:v>76.099999999999994</c:v>
                </c:pt>
                <c:pt idx="15">
                  <c:v>83.8</c:v>
                </c:pt>
                <c:pt idx="16">
                  <c:v>70.400000000000006</c:v>
                </c:pt>
                <c:pt idx="17" formatCode="#\ ##0.0">
                  <c:v>67</c:v>
                </c:pt>
                <c:pt idx="18">
                  <c:v>49.1</c:v>
                </c:pt>
                <c:pt idx="19" formatCode="#\ ##0.0">
                  <c:v>33</c:v>
                </c:pt>
                <c:pt idx="20">
                  <c:v>50.7</c:v>
                </c:pt>
                <c:pt idx="21">
                  <c:v>63.2</c:v>
                </c:pt>
                <c:pt idx="22">
                  <c:v>59.4</c:v>
                </c:pt>
                <c:pt idx="23">
                  <c:v>69.099999999999994</c:v>
                </c:pt>
                <c:pt idx="24">
                  <c:v>50.2</c:v>
                </c:pt>
                <c:pt idx="25">
                  <c:v>42.2</c:v>
                </c:pt>
                <c:pt idx="26">
                  <c:v>78.400000000000006</c:v>
                </c:pt>
                <c:pt idx="27">
                  <c:v>37.6</c:v>
                </c:pt>
              </c:numCache>
            </c:numRef>
          </c:val>
          <c:smooth val="0"/>
          <c:extLst>
            <c:ext xmlns:c16="http://schemas.microsoft.com/office/drawing/2014/chart" uri="{C3380CC4-5D6E-409C-BE32-E72D297353CC}">
              <c16:uniqueId val="{00000008-E987-455D-B31D-B5B437F15BD1}"/>
            </c:ext>
          </c:extLst>
        </c:ser>
        <c:dLbls>
          <c:showLegendKey val="0"/>
          <c:showVal val="0"/>
          <c:showCatName val="0"/>
          <c:showSerName val="0"/>
          <c:showPercent val="0"/>
          <c:showBubbleSize val="0"/>
        </c:dLbls>
        <c:marker val="1"/>
        <c:smooth val="0"/>
        <c:axId val="33460751"/>
        <c:axId val="33466991"/>
      </c:lineChart>
      <c:catAx>
        <c:axId val="33460751"/>
        <c:scaling>
          <c:orientation val="minMax"/>
        </c:scaling>
        <c:delete val="0"/>
        <c:axPos val="b"/>
        <c:numFmt formatCode="General" sourceLinked="1"/>
        <c:majorTickMark val="none"/>
        <c:minorTickMark val="none"/>
        <c:tickLblPos val="nextTo"/>
        <c:spPr>
          <a:noFill/>
          <a:ln w="6350" cap="flat" cmpd="sng" algn="ctr">
            <a:solidFill>
              <a:schemeClr val="tx1"/>
            </a:solidFill>
            <a:round/>
          </a:ln>
          <a:effectLst/>
        </c:spPr>
        <c:txPr>
          <a:bodyPr rot="-5400000" spcFirstLastPara="1" vertOverflow="ellipsis" wrap="square" anchor="ctr" anchorCtr="1"/>
          <a:lstStyle/>
          <a:p>
            <a:pPr>
              <a:defRPr sz="900" b="0" i="0" u="none" strike="noStrike" kern="1200" baseline="0">
                <a:solidFill>
                  <a:schemeClr val="tx1"/>
                </a:solidFill>
                <a:latin typeface="+mn-lt"/>
                <a:ea typeface="+mn-ea"/>
                <a:cs typeface="+mn-cs"/>
              </a:defRPr>
            </a:pPr>
            <a:endParaRPr lang="cs-CZ"/>
          </a:p>
        </c:txPr>
        <c:crossAx val="33466991"/>
        <c:crosses val="autoZero"/>
        <c:auto val="1"/>
        <c:lblAlgn val="ctr"/>
        <c:lblOffset val="100"/>
        <c:tickLblSkip val="1"/>
        <c:noMultiLvlLbl val="0"/>
      </c:catAx>
      <c:valAx>
        <c:axId val="33466991"/>
        <c:scaling>
          <c:orientation val="minMax"/>
          <c:max val="220"/>
        </c:scaling>
        <c:delete val="0"/>
        <c:axPos val="l"/>
        <c:majorGridlines>
          <c:spPr>
            <a:ln w="6350" cap="flat" cmpd="sng" algn="ctr">
              <a:solidFill>
                <a:schemeClr val="tx1"/>
              </a:solidFill>
              <a:prstDash val="dash"/>
              <a:round/>
            </a:ln>
            <a:effectLst/>
          </c:spPr>
        </c:majorGridlines>
        <c:numFmt formatCode="General"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cs-CZ"/>
          </a:p>
        </c:txPr>
        <c:crossAx val="33460751"/>
        <c:crosses val="autoZero"/>
        <c:crossBetween val="between"/>
        <c:majorUnit val="20"/>
      </c:valAx>
      <c:spPr>
        <a:noFill/>
        <a:ln>
          <a:noFill/>
        </a:ln>
        <a:effectLst/>
      </c:spPr>
    </c:plotArea>
    <c:legend>
      <c:legendPos val="b"/>
      <c:layout>
        <c:manualLayout>
          <c:xMode val="edge"/>
          <c:yMode val="edge"/>
          <c:x val="4.8431388376270429E-4"/>
          <c:y val="0.94768882595392823"/>
          <c:w val="0.99507941015667001"/>
          <c:h val="5.2311174046071759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cs-CZ"/>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cs-CZ"/>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5543853707970945E-2"/>
          <c:y val="2.5668275481413375E-2"/>
          <c:w val="0.90918435239987971"/>
          <c:h val="0.61793781203719722"/>
        </c:manualLayout>
      </c:layout>
      <c:barChart>
        <c:barDir val="col"/>
        <c:grouping val="clustered"/>
        <c:varyColors val="0"/>
        <c:ser>
          <c:idx val="0"/>
          <c:order val="0"/>
          <c:tx>
            <c:strRef>
              <c:f>Mzdy_EU!$G$10</c:f>
              <c:strCache>
                <c:ptCount val="1"/>
                <c:pt idx="0">
                  <c:v>2022</c:v>
                </c:pt>
              </c:strCache>
            </c:strRef>
          </c:tx>
          <c:spPr>
            <a:solidFill>
              <a:schemeClr val="tx2"/>
            </a:solidFill>
            <a:ln w="28575" cap="rnd">
              <a:noFill/>
              <a:round/>
            </a:ln>
            <a:effectLst/>
          </c:spPr>
          <c:invertIfNegative val="0"/>
          <c:dPt>
            <c:idx val="10"/>
            <c:invertIfNegative val="0"/>
            <c:bubble3D val="0"/>
            <c:spPr>
              <a:solidFill>
                <a:schemeClr val="tx1"/>
              </a:solidFill>
              <a:ln w="28575" cap="rnd">
                <a:noFill/>
                <a:round/>
              </a:ln>
              <a:effectLst/>
            </c:spPr>
            <c:extLst>
              <c:ext xmlns:c16="http://schemas.microsoft.com/office/drawing/2014/chart" uri="{C3380CC4-5D6E-409C-BE32-E72D297353CC}">
                <c16:uniqueId val="{00000001-EB8E-47FE-9270-668362B8EA17}"/>
              </c:ext>
            </c:extLst>
          </c:dPt>
          <c:dPt>
            <c:idx val="17"/>
            <c:invertIfNegative val="0"/>
            <c:bubble3D val="0"/>
            <c:spPr>
              <a:solidFill>
                <a:schemeClr val="tx1"/>
              </a:solidFill>
              <a:ln w="28575" cap="rnd">
                <a:noFill/>
                <a:round/>
              </a:ln>
              <a:effectLst/>
            </c:spPr>
            <c:extLst>
              <c:ext xmlns:c16="http://schemas.microsoft.com/office/drawing/2014/chart" uri="{C3380CC4-5D6E-409C-BE32-E72D297353CC}">
                <c16:uniqueId val="{00000003-EB8E-47FE-9270-668362B8EA17}"/>
              </c:ext>
            </c:extLst>
          </c:dPt>
          <c:cat>
            <c:strRef>
              <c:f>Mzdy_EU!$A$11:$A$38</c:f>
              <c:strCache>
                <c:ptCount val="28"/>
                <c:pt idx="0">
                  <c:v>Lucembursko</c:v>
                </c:pt>
                <c:pt idx="1">
                  <c:v>Dánsko</c:v>
                </c:pt>
                <c:pt idx="2">
                  <c:v>Belgie</c:v>
                </c:pt>
                <c:pt idx="3">
                  <c:v>Irsko</c:v>
                </c:pt>
                <c:pt idx="4">
                  <c:v>Nizozemsko</c:v>
                </c:pt>
                <c:pt idx="5">
                  <c:v>Německo</c:v>
                </c:pt>
                <c:pt idx="6">
                  <c:v>Finsko</c:v>
                </c:pt>
                <c:pt idx="7">
                  <c:v>Rakousko</c:v>
                </c:pt>
                <c:pt idx="8">
                  <c:v>Francie</c:v>
                </c:pt>
                <c:pt idx="9">
                  <c:v>Švédsko</c:v>
                </c:pt>
                <c:pt idx="10">
                  <c:v>Evropská unie</c:v>
                </c:pt>
                <c:pt idx="11">
                  <c:v>Itálie</c:v>
                </c:pt>
                <c:pt idx="12">
                  <c:v>Slovinsko</c:v>
                </c:pt>
                <c:pt idx="13">
                  <c:v>Španělsko</c:v>
                </c:pt>
                <c:pt idx="14">
                  <c:v>Kypr</c:v>
                </c:pt>
                <c:pt idx="15">
                  <c:v>Malta</c:v>
                </c:pt>
                <c:pt idx="16">
                  <c:v>Portugalsko</c:v>
                </c:pt>
                <c:pt idx="17">
                  <c:v>Česko</c:v>
                </c:pt>
                <c:pt idx="18">
                  <c:v>Litva</c:v>
                </c:pt>
                <c:pt idx="19">
                  <c:v>Estonsko</c:v>
                </c:pt>
                <c:pt idx="20">
                  <c:v>Řecko</c:v>
                </c:pt>
                <c:pt idx="21">
                  <c:v>Slovensko</c:v>
                </c:pt>
                <c:pt idx="22">
                  <c:v>Chorvatsko</c:v>
                </c:pt>
                <c:pt idx="23">
                  <c:v>Polsko</c:v>
                </c:pt>
                <c:pt idx="24">
                  <c:v>Lotyšsko</c:v>
                </c:pt>
                <c:pt idx="25">
                  <c:v>Maďarsko</c:v>
                </c:pt>
                <c:pt idx="26">
                  <c:v>Rumunsko</c:v>
                </c:pt>
                <c:pt idx="27">
                  <c:v>Bulharsko</c:v>
                </c:pt>
              </c:strCache>
            </c:strRef>
          </c:cat>
          <c:val>
            <c:numRef>
              <c:f>Mzdy_EU!$G$11:$G$38</c:f>
              <c:numCache>
                <c:formatCode>#,##0</c:formatCode>
                <c:ptCount val="28"/>
                <c:pt idx="0" formatCode="#\ ##0.##########">
                  <c:v>44.4</c:v>
                </c:pt>
                <c:pt idx="1">
                  <c:v>41</c:v>
                </c:pt>
                <c:pt idx="2" formatCode="#\ ##0.##########">
                  <c:v>33.4</c:v>
                </c:pt>
                <c:pt idx="3" formatCode="#\ ##0.##########">
                  <c:v>31.8</c:v>
                </c:pt>
                <c:pt idx="4" formatCode="#\ ##0.##########">
                  <c:v>30.7</c:v>
                </c:pt>
                <c:pt idx="5" formatCode="#\ ##0.##########">
                  <c:v>30.3</c:v>
                </c:pt>
                <c:pt idx="6" formatCode="#\ ##0.##########">
                  <c:v>29.6</c:v>
                </c:pt>
                <c:pt idx="7" formatCode="#\ ##0.##########">
                  <c:v>28.6</c:v>
                </c:pt>
                <c:pt idx="8" formatCode="#\ ##0.##########">
                  <c:v>27.7</c:v>
                </c:pt>
                <c:pt idx="9" formatCode="#\ ##0.##########">
                  <c:v>27.3</c:v>
                </c:pt>
                <c:pt idx="10" formatCode="#\ ##0.##########">
                  <c:v>22.9</c:v>
                </c:pt>
                <c:pt idx="11" formatCode="#\ ##0.##########">
                  <c:v>21.2</c:v>
                </c:pt>
                <c:pt idx="12" formatCode="#\ ##0.##########">
                  <c:v>19.8</c:v>
                </c:pt>
                <c:pt idx="13" formatCode="#\ ##0.##########">
                  <c:v>17.5</c:v>
                </c:pt>
                <c:pt idx="14" formatCode="#\ ##0.##########">
                  <c:v>15.6</c:v>
                </c:pt>
                <c:pt idx="15" formatCode="#\ ##0.##########">
                  <c:v>13.6</c:v>
                </c:pt>
                <c:pt idx="16">
                  <c:v>13</c:v>
                </c:pt>
                <c:pt idx="17" formatCode="#\ ##0.##########">
                  <c:v>12.5</c:v>
                </c:pt>
                <c:pt idx="18" formatCode="#\ ##0.##########">
                  <c:v>12.5</c:v>
                </c:pt>
                <c:pt idx="19" formatCode="#\ ##0.##########">
                  <c:v>12.2</c:v>
                </c:pt>
                <c:pt idx="20" formatCode="#\ ##0.##########">
                  <c:v>11.6</c:v>
                </c:pt>
                <c:pt idx="21" formatCode="#\ ##0.##########">
                  <c:v>11.4</c:v>
                </c:pt>
                <c:pt idx="22" formatCode="#\ ##0.##########">
                  <c:v>10.4</c:v>
                </c:pt>
                <c:pt idx="23" formatCode="#\ ##0.##########">
                  <c:v>10.3</c:v>
                </c:pt>
                <c:pt idx="24" formatCode="#\ ##0.##########">
                  <c:v>9.6</c:v>
                </c:pt>
                <c:pt idx="25" formatCode="#\ ##0.##########">
                  <c:v>9.1</c:v>
                </c:pt>
                <c:pt idx="26">
                  <c:v>9</c:v>
                </c:pt>
                <c:pt idx="27" formatCode="#\ ##0.##########">
                  <c:v>7.1</c:v>
                </c:pt>
              </c:numCache>
            </c:numRef>
          </c:val>
          <c:extLst>
            <c:ext xmlns:c16="http://schemas.microsoft.com/office/drawing/2014/chart" uri="{C3380CC4-5D6E-409C-BE32-E72D297353CC}">
              <c16:uniqueId val="{00000004-EB8E-47FE-9270-668362B8EA17}"/>
            </c:ext>
          </c:extLst>
        </c:ser>
        <c:dLbls>
          <c:showLegendKey val="0"/>
          <c:showVal val="0"/>
          <c:showCatName val="0"/>
          <c:showSerName val="0"/>
          <c:showPercent val="0"/>
          <c:showBubbleSize val="0"/>
        </c:dLbls>
        <c:gapWidth val="150"/>
        <c:axId val="33460751"/>
        <c:axId val="33466991"/>
      </c:barChart>
      <c:lineChart>
        <c:grouping val="standard"/>
        <c:varyColors val="0"/>
        <c:ser>
          <c:idx val="5"/>
          <c:order val="1"/>
          <c:tx>
            <c:strRef>
              <c:f>Mzdy_EU!$E$10</c:f>
              <c:strCache>
                <c:ptCount val="1"/>
                <c:pt idx="0">
                  <c:v>2020</c:v>
                </c:pt>
              </c:strCache>
            </c:strRef>
          </c:tx>
          <c:spPr>
            <a:ln w="28575" cap="rnd">
              <a:noFill/>
              <a:round/>
            </a:ln>
            <a:effectLst/>
          </c:spPr>
          <c:marker>
            <c:symbol val="diamond"/>
            <c:size val="3"/>
            <c:spPr>
              <a:solidFill>
                <a:schemeClr val="accent6"/>
              </a:solidFill>
              <a:ln w="9525">
                <a:noFill/>
              </a:ln>
              <a:effectLst/>
            </c:spPr>
          </c:marker>
          <c:cat>
            <c:strRef>
              <c:f>Mzdy_EU!$A$11:$A$38</c:f>
              <c:strCache>
                <c:ptCount val="28"/>
                <c:pt idx="0">
                  <c:v>Lucembursko</c:v>
                </c:pt>
                <c:pt idx="1">
                  <c:v>Dánsko</c:v>
                </c:pt>
                <c:pt idx="2">
                  <c:v>Belgie</c:v>
                </c:pt>
                <c:pt idx="3">
                  <c:v>Irsko</c:v>
                </c:pt>
                <c:pt idx="4">
                  <c:v>Nizozemsko</c:v>
                </c:pt>
                <c:pt idx="5">
                  <c:v>Německo</c:v>
                </c:pt>
                <c:pt idx="6">
                  <c:v>Finsko</c:v>
                </c:pt>
                <c:pt idx="7">
                  <c:v>Rakousko</c:v>
                </c:pt>
                <c:pt idx="8">
                  <c:v>Francie</c:v>
                </c:pt>
                <c:pt idx="9">
                  <c:v>Švédsko</c:v>
                </c:pt>
                <c:pt idx="10">
                  <c:v>Evropská unie</c:v>
                </c:pt>
                <c:pt idx="11">
                  <c:v>Itálie</c:v>
                </c:pt>
                <c:pt idx="12">
                  <c:v>Slovinsko</c:v>
                </c:pt>
                <c:pt idx="13">
                  <c:v>Španělsko</c:v>
                </c:pt>
                <c:pt idx="14">
                  <c:v>Kypr</c:v>
                </c:pt>
                <c:pt idx="15">
                  <c:v>Malta</c:v>
                </c:pt>
                <c:pt idx="16">
                  <c:v>Portugalsko</c:v>
                </c:pt>
                <c:pt idx="17">
                  <c:v>Česko</c:v>
                </c:pt>
                <c:pt idx="18">
                  <c:v>Litva</c:v>
                </c:pt>
                <c:pt idx="19">
                  <c:v>Estonsko</c:v>
                </c:pt>
                <c:pt idx="20">
                  <c:v>Řecko</c:v>
                </c:pt>
                <c:pt idx="21">
                  <c:v>Slovensko</c:v>
                </c:pt>
                <c:pt idx="22">
                  <c:v>Chorvatsko</c:v>
                </c:pt>
                <c:pt idx="23">
                  <c:v>Polsko</c:v>
                </c:pt>
                <c:pt idx="24">
                  <c:v>Lotyšsko</c:v>
                </c:pt>
                <c:pt idx="25">
                  <c:v>Maďarsko</c:v>
                </c:pt>
                <c:pt idx="26">
                  <c:v>Rumunsko</c:v>
                </c:pt>
                <c:pt idx="27">
                  <c:v>Bulharsko</c:v>
                </c:pt>
              </c:strCache>
            </c:strRef>
          </c:cat>
          <c:val>
            <c:numRef>
              <c:f>Mzdy_EU!$E$11:$E$38</c:f>
              <c:numCache>
                <c:formatCode>#\ ##0.##########</c:formatCode>
                <c:ptCount val="28"/>
                <c:pt idx="0">
                  <c:v>41.3</c:v>
                </c:pt>
                <c:pt idx="1">
                  <c:v>39.200000000000003</c:v>
                </c:pt>
                <c:pt idx="2">
                  <c:v>31.1</c:v>
                </c:pt>
                <c:pt idx="3">
                  <c:v>29.5</c:v>
                </c:pt>
                <c:pt idx="4">
                  <c:v>29.6</c:v>
                </c:pt>
                <c:pt idx="5">
                  <c:v>28.6</c:v>
                </c:pt>
                <c:pt idx="6">
                  <c:v>27.6</c:v>
                </c:pt>
                <c:pt idx="7">
                  <c:v>26.8</c:v>
                </c:pt>
                <c:pt idx="8">
                  <c:v>26.3</c:v>
                </c:pt>
                <c:pt idx="9">
                  <c:v>26.2</c:v>
                </c:pt>
                <c:pt idx="10">
                  <c:v>21.6</c:v>
                </c:pt>
                <c:pt idx="11" formatCode="#,##0">
                  <c:v>21</c:v>
                </c:pt>
                <c:pt idx="12">
                  <c:v>17.899999999999999</c:v>
                </c:pt>
                <c:pt idx="13" formatCode="#,##0">
                  <c:v>17</c:v>
                </c:pt>
                <c:pt idx="14">
                  <c:v>14.1</c:v>
                </c:pt>
                <c:pt idx="15" formatCode="#,##0">
                  <c:v>13</c:v>
                </c:pt>
                <c:pt idx="16">
                  <c:v>12.3</c:v>
                </c:pt>
                <c:pt idx="17">
                  <c:v>10.7</c:v>
                </c:pt>
                <c:pt idx="18">
                  <c:v>9.9</c:v>
                </c:pt>
                <c:pt idx="19">
                  <c:v>10.5</c:v>
                </c:pt>
                <c:pt idx="20" formatCode="#,##0">
                  <c:v>11</c:v>
                </c:pt>
                <c:pt idx="21">
                  <c:v>10.199999999999999</c:v>
                </c:pt>
                <c:pt idx="22">
                  <c:v>9.3000000000000007</c:v>
                </c:pt>
                <c:pt idx="23" formatCode="#,##0">
                  <c:v>9</c:v>
                </c:pt>
                <c:pt idx="24">
                  <c:v>8.4</c:v>
                </c:pt>
                <c:pt idx="25" formatCode="#,##0">
                  <c:v>8</c:v>
                </c:pt>
                <c:pt idx="26">
                  <c:v>7.8</c:v>
                </c:pt>
                <c:pt idx="27">
                  <c:v>5.7</c:v>
                </c:pt>
              </c:numCache>
            </c:numRef>
          </c:val>
          <c:smooth val="0"/>
          <c:extLst xmlns:c15="http://schemas.microsoft.com/office/drawing/2012/chart">
            <c:ext xmlns:c16="http://schemas.microsoft.com/office/drawing/2014/chart" uri="{C3380CC4-5D6E-409C-BE32-E72D297353CC}">
              <c16:uniqueId val="{00000005-EB8E-47FE-9270-668362B8EA17}"/>
            </c:ext>
          </c:extLst>
        </c:ser>
        <c:ser>
          <c:idx val="10"/>
          <c:order val="2"/>
          <c:tx>
            <c:strRef>
              <c:f>Mzdy_EU!$D$10</c:f>
              <c:strCache>
                <c:ptCount val="1"/>
                <c:pt idx="0">
                  <c:v>2016</c:v>
                </c:pt>
              </c:strCache>
            </c:strRef>
          </c:tx>
          <c:spPr>
            <a:ln w="28575" cap="rnd">
              <a:noFill/>
              <a:round/>
            </a:ln>
            <a:effectLst/>
          </c:spPr>
          <c:marker>
            <c:symbol val="triangle"/>
            <c:size val="3"/>
            <c:spPr>
              <a:solidFill>
                <a:schemeClr val="accent4"/>
              </a:solidFill>
              <a:ln w="9525">
                <a:noFill/>
              </a:ln>
              <a:effectLst/>
            </c:spPr>
          </c:marker>
          <c:cat>
            <c:strRef>
              <c:f>Mzdy_EU!$A$11:$A$38</c:f>
              <c:strCache>
                <c:ptCount val="28"/>
                <c:pt idx="0">
                  <c:v>Lucembursko</c:v>
                </c:pt>
                <c:pt idx="1">
                  <c:v>Dánsko</c:v>
                </c:pt>
                <c:pt idx="2">
                  <c:v>Belgie</c:v>
                </c:pt>
                <c:pt idx="3">
                  <c:v>Irsko</c:v>
                </c:pt>
                <c:pt idx="4">
                  <c:v>Nizozemsko</c:v>
                </c:pt>
                <c:pt idx="5">
                  <c:v>Německo</c:v>
                </c:pt>
                <c:pt idx="6">
                  <c:v>Finsko</c:v>
                </c:pt>
                <c:pt idx="7">
                  <c:v>Rakousko</c:v>
                </c:pt>
                <c:pt idx="8">
                  <c:v>Francie</c:v>
                </c:pt>
                <c:pt idx="9">
                  <c:v>Švédsko</c:v>
                </c:pt>
                <c:pt idx="10">
                  <c:v>Evropská unie</c:v>
                </c:pt>
                <c:pt idx="11">
                  <c:v>Itálie</c:v>
                </c:pt>
                <c:pt idx="12">
                  <c:v>Slovinsko</c:v>
                </c:pt>
                <c:pt idx="13">
                  <c:v>Španělsko</c:v>
                </c:pt>
                <c:pt idx="14">
                  <c:v>Kypr</c:v>
                </c:pt>
                <c:pt idx="15">
                  <c:v>Malta</c:v>
                </c:pt>
                <c:pt idx="16">
                  <c:v>Portugalsko</c:v>
                </c:pt>
                <c:pt idx="17">
                  <c:v>Česko</c:v>
                </c:pt>
                <c:pt idx="18">
                  <c:v>Litva</c:v>
                </c:pt>
                <c:pt idx="19">
                  <c:v>Estonsko</c:v>
                </c:pt>
                <c:pt idx="20">
                  <c:v>Řecko</c:v>
                </c:pt>
                <c:pt idx="21">
                  <c:v>Slovensko</c:v>
                </c:pt>
                <c:pt idx="22">
                  <c:v>Chorvatsko</c:v>
                </c:pt>
                <c:pt idx="23">
                  <c:v>Polsko</c:v>
                </c:pt>
                <c:pt idx="24">
                  <c:v>Lotyšsko</c:v>
                </c:pt>
                <c:pt idx="25">
                  <c:v>Maďarsko</c:v>
                </c:pt>
                <c:pt idx="26">
                  <c:v>Rumunsko</c:v>
                </c:pt>
                <c:pt idx="27">
                  <c:v>Bulharsko</c:v>
                </c:pt>
              </c:strCache>
            </c:strRef>
          </c:cat>
          <c:val>
            <c:numRef>
              <c:f>Mzdy_EU!$D$11:$D$38</c:f>
              <c:numCache>
                <c:formatCode>#\ ##0.##########</c:formatCode>
                <c:ptCount val="28"/>
                <c:pt idx="0">
                  <c:v>33.9</c:v>
                </c:pt>
                <c:pt idx="1">
                  <c:v>35.9</c:v>
                </c:pt>
                <c:pt idx="2">
                  <c:v>29.3</c:v>
                </c:pt>
                <c:pt idx="3">
                  <c:v>25.8</c:v>
                </c:pt>
                <c:pt idx="4">
                  <c:v>26.4</c:v>
                </c:pt>
                <c:pt idx="5">
                  <c:v>25.5</c:v>
                </c:pt>
                <c:pt idx="6" formatCode="#\ ##0.0">
                  <c:v>26</c:v>
                </c:pt>
                <c:pt idx="7">
                  <c:v>23.9</c:v>
                </c:pt>
                <c:pt idx="8">
                  <c:v>23.3</c:v>
                </c:pt>
                <c:pt idx="9">
                  <c:v>25.6</c:v>
                </c:pt>
                <c:pt idx="10">
                  <c:v>19.2</c:v>
                </c:pt>
                <c:pt idx="11">
                  <c:v>19.899999999999999</c:v>
                </c:pt>
                <c:pt idx="12">
                  <c:v>14.1</c:v>
                </c:pt>
                <c:pt idx="13">
                  <c:v>15.8</c:v>
                </c:pt>
                <c:pt idx="14">
                  <c:v>12.9</c:v>
                </c:pt>
                <c:pt idx="15">
                  <c:v>13.3</c:v>
                </c:pt>
                <c:pt idx="16">
                  <c:v>10.9</c:v>
                </c:pt>
                <c:pt idx="17">
                  <c:v>7.5</c:v>
                </c:pt>
                <c:pt idx="18">
                  <c:v>5.3</c:v>
                </c:pt>
                <c:pt idx="19" formatCode="#\ ##0.0">
                  <c:v>8</c:v>
                </c:pt>
                <c:pt idx="20">
                  <c:v>12.1</c:v>
                </c:pt>
                <c:pt idx="21">
                  <c:v>7.5</c:v>
                </c:pt>
                <c:pt idx="22">
                  <c:v>8.1</c:v>
                </c:pt>
                <c:pt idx="23">
                  <c:v>7.1</c:v>
                </c:pt>
                <c:pt idx="24">
                  <c:v>6.1</c:v>
                </c:pt>
                <c:pt idx="25">
                  <c:v>5.8</c:v>
                </c:pt>
                <c:pt idx="26">
                  <c:v>4.3</c:v>
                </c:pt>
                <c:pt idx="27">
                  <c:v>3.7</c:v>
                </c:pt>
              </c:numCache>
            </c:numRef>
          </c:val>
          <c:smooth val="0"/>
          <c:extLst xmlns:c15="http://schemas.microsoft.com/office/drawing/2012/chart">
            <c:ext xmlns:c16="http://schemas.microsoft.com/office/drawing/2014/chart" uri="{C3380CC4-5D6E-409C-BE32-E72D297353CC}">
              <c16:uniqueId val="{00000006-EB8E-47FE-9270-668362B8EA17}"/>
            </c:ext>
          </c:extLst>
        </c:ser>
        <c:ser>
          <c:idx val="15"/>
          <c:order val="3"/>
          <c:tx>
            <c:strRef>
              <c:f>Mzdy_EU!$C$10</c:f>
              <c:strCache>
                <c:ptCount val="1"/>
                <c:pt idx="0">
                  <c:v>2012</c:v>
                </c:pt>
              </c:strCache>
            </c:strRef>
          </c:tx>
          <c:spPr>
            <a:ln w="28575" cap="rnd">
              <a:noFill/>
              <a:round/>
            </a:ln>
            <a:effectLst/>
          </c:spPr>
          <c:marker>
            <c:symbol val="circle"/>
            <c:size val="3"/>
            <c:spPr>
              <a:solidFill>
                <a:schemeClr val="accent5"/>
              </a:solidFill>
              <a:ln w="9525">
                <a:noFill/>
              </a:ln>
              <a:effectLst/>
            </c:spPr>
          </c:marker>
          <c:cat>
            <c:strRef>
              <c:f>Mzdy_EU!$A$11:$A$38</c:f>
              <c:strCache>
                <c:ptCount val="28"/>
                <c:pt idx="0">
                  <c:v>Lucembursko</c:v>
                </c:pt>
                <c:pt idx="1">
                  <c:v>Dánsko</c:v>
                </c:pt>
                <c:pt idx="2">
                  <c:v>Belgie</c:v>
                </c:pt>
                <c:pt idx="3">
                  <c:v>Irsko</c:v>
                </c:pt>
                <c:pt idx="4">
                  <c:v>Nizozemsko</c:v>
                </c:pt>
                <c:pt idx="5">
                  <c:v>Německo</c:v>
                </c:pt>
                <c:pt idx="6">
                  <c:v>Finsko</c:v>
                </c:pt>
                <c:pt idx="7">
                  <c:v>Rakousko</c:v>
                </c:pt>
                <c:pt idx="8">
                  <c:v>Francie</c:v>
                </c:pt>
                <c:pt idx="9">
                  <c:v>Švédsko</c:v>
                </c:pt>
                <c:pt idx="10">
                  <c:v>Evropská unie</c:v>
                </c:pt>
                <c:pt idx="11">
                  <c:v>Itálie</c:v>
                </c:pt>
                <c:pt idx="12">
                  <c:v>Slovinsko</c:v>
                </c:pt>
                <c:pt idx="13">
                  <c:v>Španělsko</c:v>
                </c:pt>
                <c:pt idx="14">
                  <c:v>Kypr</c:v>
                </c:pt>
                <c:pt idx="15">
                  <c:v>Malta</c:v>
                </c:pt>
                <c:pt idx="16">
                  <c:v>Portugalsko</c:v>
                </c:pt>
                <c:pt idx="17">
                  <c:v>Česko</c:v>
                </c:pt>
                <c:pt idx="18">
                  <c:v>Litva</c:v>
                </c:pt>
                <c:pt idx="19">
                  <c:v>Estonsko</c:v>
                </c:pt>
                <c:pt idx="20">
                  <c:v>Řecko</c:v>
                </c:pt>
                <c:pt idx="21">
                  <c:v>Slovensko</c:v>
                </c:pt>
                <c:pt idx="22">
                  <c:v>Chorvatsko</c:v>
                </c:pt>
                <c:pt idx="23">
                  <c:v>Polsko</c:v>
                </c:pt>
                <c:pt idx="24">
                  <c:v>Lotyšsko</c:v>
                </c:pt>
                <c:pt idx="25">
                  <c:v>Maďarsko</c:v>
                </c:pt>
                <c:pt idx="26">
                  <c:v>Rumunsko</c:v>
                </c:pt>
                <c:pt idx="27">
                  <c:v>Bulharsko</c:v>
                </c:pt>
              </c:strCache>
            </c:strRef>
          </c:cat>
          <c:val>
            <c:numRef>
              <c:f>Mzdy_EU!$C$11:$C$38</c:f>
              <c:numCache>
                <c:formatCode>#\ ##0.##########</c:formatCode>
                <c:ptCount val="28"/>
                <c:pt idx="0">
                  <c:v>30.5</c:v>
                </c:pt>
                <c:pt idx="1">
                  <c:v>34.200000000000003</c:v>
                </c:pt>
                <c:pt idx="2">
                  <c:v>27.4</c:v>
                </c:pt>
                <c:pt idx="3">
                  <c:v>25.8</c:v>
                </c:pt>
                <c:pt idx="4">
                  <c:v>24.7</c:v>
                </c:pt>
                <c:pt idx="5">
                  <c:v>23.7</c:v>
                </c:pt>
                <c:pt idx="6">
                  <c:v>24.4</c:v>
                </c:pt>
                <c:pt idx="7">
                  <c:v>21.9</c:v>
                </c:pt>
                <c:pt idx="8">
                  <c:v>22.4</c:v>
                </c:pt>
                <c:pt idx="9">
                  <c:v>25.4</c:v>
                </c:pt>
                <c:pt idx="10">
                  <c:v>18.100000000000001</c:v>
                </c:pt>
                <c:pt idx="11">
                  <c:v>19.899999999999999</c:v>
                </c:pt>
                <c:pt idx="12">
                  <c:v>13.1</c:v>
                </c:pt>
                <c:pt idx="13">
                  <c:v>15.7</c:v>
                </c:pt>
                <c:pt idx="14" formatCode="#\ ##0.0">
                  <c:v>14</c:v>
                </c:pt>
                <c:pt idx="15" formatCode="#\ ##0.0">
                  <c:v>11</c:v>
                </c:pt>
                <c:pt idx="16">
                  <c:v>10.7</c:v>
                </c:pt>
                <c:pt idx="17">
                  <c:v>7.3</c:v>
                </c:pt>
                <c:pt idx="18">
                  <c:v>4.2</c:v>
                </c:pt>
                <c:pt idx="19">
                  <c:v>6.3</c:v>
                </c:pt>
                <c:pt idx="20">
                  <c:v>12.2</c:v>
                </c:pt>
                <c:pt idx="21">
                  <c:v>6.6</c:v>
                </c:pt>
                <c:pt idx="22">
                  <c:v>8.1</c:v>
                </c:pt>
                <c:pt idx="23">
                  <c:v>6.4</c:v>
                </c:pt>
                <c:pt idx="24">
                  <c:v>4.7</c:v>
                </c:pt>
                <c:pt idx="25">
                  <c:v>5.6</c:v>
                </c:pt>
                <c:pt idx="26">
                  <c:v>3.2</c:v>
                </c:pt>
                <c:pt idx="27">
                  <c:v>2.9</c:v>
                </c:pt>
              </c:numCache>
            </c:numRef>
          </c:val>
          <c:smooth val="0"/>
          <c:extLst>
            <c:ext xmlns:c16="http://schemas.microsoft.com/office/drawing/2014/chart" uri="{C3380CC4-5D6E-409C-BE32-E72D297353CC}">
              <c16:uniqueId val="{00000007-EB8E-47FE-9270-668362B8EA17}"/>
            </c:ext>
          </c:extLst>
        </c:ser>
        <c:ser>
          <c:idx val="1"/>
          <c:order val="4"/>
          <c:tx>
            <c:strRef>
              <c:f>Mzdy_EU!$B$10</c:f>
              <c:strCache>
                <c:ptCount val="1"/>
                <c:pt idx="0">
                  <c:v>2008</c:v>
                </c:pt>
              </c:strCache>
            </c:strRef>
          </c:tx>
          <c:spPr>
            <a:ln>
              <a:noFill/>
            </a:ln>
          </c:spPr>
          <c:marker>
            <c:symbol val="square"/>
            <c:size val="3"/>
            <c:spPr>
              <a:solidFill>
                <a:schemeClr val="accent1"/>
              </a:solidFill>
              <a:ln>
                <a:noFill/>
              </a:ln>
            </c:spPr>
          </c:marker>
          <c:dPt>
            <c:idx val="6"/>
            <c:bubble3D val="0"/>
            <c:extLst>
              <c:ext xmlns:c16="http://schemas.microsoft.com/office/drawing/2014/chart" uri="{C3380CC4-5D6E-409C-BE32-E72D297353CC}">
                <c16:uniqueId val="{00000008-EB8E-47FE-9270-668362B8EA17}"/>
              </c:ext>
            </c:extLst>
          </c:dPt>
          <c:dPt>
            <c:idx val="8"/>
            <c:bubble3D val="0"/>
            <c:extLst>
              <c:ext xmlns:c16="http://schemas.microsoft.com/office/drawing/2014/chart" uri="{C3380CC4-5D6E-409C-BE32-E72D297353CC}">
                <c16:uniqueId val="{00000009-EB8E-47FE-9270-668362B8EA17}"/>
              </c:ext>
            </c:extLst>
          </c:dPt>
          <c:dPt>
            <c:idx val="21"/>
            <c:bubble3D val="0"/>
            <c:extLst>
              <c:ext xmlns:c16="http://schemas.microsoft.com/office/drawing/2014/chart" uri="{C3380CC4-5D6E-409C-BE32-E72D297353CC}">
                <c16:uniqueId val="{0000000A-EB8E-47FE-9270-668362B8EA17}"/>
              </c:ext>
            </c:extLst>
          </c:dPt>
          <c:cat>
            <c:strRef>
              <c:f>Mzdy_EU!$A$11:$A$38</c:f>
              <c:strCache>
                <c:ptCount val="28"/>
                <c:pt idx="0">
                  <c:v>Lucembursko</c:v>
                </c:pt>
                <c:pt idx="1">
                  <c:v>Dánsko</c:v>
                </c:pt>
                <c:pt idx="2">
                  <c:v>Belgie</c:v>
                </c:pt>
                <c:pt idx="3">
                  <c:v>Irsko</c:v>
                </c:pt>
                <c:pt idx="4">
                  <c:v>Nizozemsko</c:v>
                </c:pt>
                <c:pt idx="5">
                  <c:v>Německo</c:v>
                </c:pt>
                <c:pt idx="6">
                  <c:v>Finsko</c:v>
                </c:pt>
                <c:pt idx="7">
                  <c:v>Rakousko</c:v>
                </c:pt>
                <c:pt idx="8">
                  <c:v>Francie</c:v>
                </c:pt>
                <c:pt idx="9">
                  <c:v>Švédsko</c:v>
                </c:pt>
                <c:pt idx="10">
                  <c:v>Evropská unie</c:v>
                </c:pt>
                <c:pt idx="11">
                  <c:v>Itálie</c:v>
                </c:pt>
                <c:pt idx="12">
                  <c:v>Slovinsko</c:v>
                </c:pt>
                <c:pt idx="13">
                  <c:v>Španělsko</c:v>
                </c:pt>
                <c:pt idx="14">
                  <c:v>Kypr</c:v>
                </c:pt>
                <c:pt idx="15">
                  <c:v>Malta</c:v>
                </c:pt>
                <c:pt idx="16">
                  <c:v>Portugalsko</c:v>
                </c:pt>
                <c:pt idx="17">
                  <c:v>Česko</c:v>
                </c:pt>
                <c:pt idx="18">
                  <c:v>Litva</c:v>
                </c:pt>
                <c:pt idx="19">
                  <c:v>Estonsko</c:v>
                </c:pt>
                <c:pt idx="20">
                  <c:v>Řecko</c:v>
                </c:pt>
                <c:pt idx="21">
                  <c:v>Slovensko</c:v>
                </c:pt>
                <c:pt idx="22">
                  <c:v>Chorvatsko</c:v>
                </c:pt>
                <c:pt idx="23">
                  <c:v>Polsko</c:v>
                </c:pt>
                <c:pt idx="24">
                  <c:v>Lotyšsko</c:v>
                </c:pt>
                <c:pt idx="25">
                  <c:v>Maďarsko</c:v>
                </c:pt>
                <c:pt idx="26">
                  <c:v>Rumunsko</c:v>
                </c:pt>
                <c:pt idx="27">
                  <c:v>Bulharsko</c:v>
                </c:pt>
              </c:strCache>
            </c:strRef>
          </c:cat>
          <c:val>
            <c:numRef>
              <c:f>Mzdy_EU!$B$11:$B$38</c:f>
              <c:numCache>
                <c:formatCode>#\ ##0.##########</c:formatCode>
                <c:ptCount val="28"/>
                <c:pt idx="0">
                  <c:v>27.7</c:v>
                </c:pt>
                <c:pt idx="1">
                  <c:v>30.3</c:v>
                </c:pt>
                <c:pt idx="2">
                  <c:v>23.9</c:v>
                </c:pt>
                <c:pt idx="3">
                  <c:v>24.8</c:v>
                </c:pt>
                <c:pt idx="4">
                  <c:v>22.9</c:v>
                </c:pt>
                <c:pt idx="5">
                  <c:v>21.8</c:v>
                </c:pt>
                <c:pt idx="6">
                  <c:v>20.9</c:v>
                </c:pt>
                <c:pt idx="7">
                  <c:v>19.600000000000001</c:v>
                </c:pt>
                <c:pt idx="8">
                  <c:v>20.9</c:v>
                </c:pt>
                <c:pt idx="9">
                  <c:v>21.2</c:v>
                </c:pt>
                <c:pt idx="10">
                  <c:v>16.100000000000001</c:v>
                </c:pt>
                <c:pt idx="11">
                  <c:v>18.2</c:v>
                </c:pt>
                <c:pt idx="12">
                  <c:v>11.6</c:v>
                </c:pt>
                <c:pt idx="13">
                  <c:v>14.3</c:v>
                </c:pt>
                <c:pt idx="14">
                  <c:v>14.1</c:v>
                </c:pt>
                <c:pt idx="15">
                  <c:v>10.5</c:v>
                </c:pt>
                <c:pt idx="16">
                  <c:v>9.9</c:v>
                </c:pt>
                <c:pt idx="17">
                  <c:v>6.7</c:v>
                </c:pt>
                <c:pt idx="18">
                  <c:v>4.2</c:v>
                </c:pt>
                <c:pt idx="19">
                  <c:v>5.8</c:v>
                </c:pt>
                <c:pt idx="20">
                  <c:v>13.5</c:v>
                </c:pt>
                <c:pt idx="21">
                  <c:v>5.2</c:v>
                </c:pt>
                <c:pt idx="22">
                  <c:v>7.7</c:v>
                </c:pt>
                <c:pt idx="23">
                  <c:v>6.3</c:v>
                </c:pt>
                <c:pt idx="24">
                  <c:v>4.5999999999999996</c:v>
                </c:pt>
                <c:pt idx="25">
                  <c:v>5.5</c:v>
                </c:pt>
                <c:pt idx="26">
                  <c:v>3.2</c:v>
                </c:pt>
                <c:pt idx="27">
                  <c:v>2.1</c:v>
                </c:pt>
              </c:numCache>
            </c:numRef>
          </c:val>
          <c:smooth val="0"/>
          <c:extLst>
            <c:ext xmlns:c16="http://schemas.microsoft.com/office/drawing/2014/chart" uri="{C3380CC4-5D6E-409C-BE32-E72D297353CC}">
              <c16:uniqueId val="{0000000B-EB8E-47FE-9270-668362B8EA17}"/>
            </c:ext>
          </c:extLst>
        </c:ser>
        <c:dLbls>
          <c:showLegendKey val="0"/>
          <c:showVal val="0"/>
          <c:showCatName val="0"/>
          <c:showSerName val="0"/>
          <c:showPercent val="0"/>
          <c:showBubbleSize val="0"/>
        </c:dLbls>
        <c:marker val="1"/>
        <c:smooth val="0"/>
        <c:axId val="33460751"/>
        <c:axId val="33466991"/>
      </c:lineChart>
      <c:catAx>
        <c:axId val="33460751"/>
        <c:scaling>
          <c:orientation val="minMax"/>
        </c:scaling>
        <c:delete val="0"/>
        <c:axPos val="b"/>
        <c:numFmt formatCode="General" sourceLinked="1"/>
        <c:majorTickMark val="none"/>
        <c:minorTickMark val="none"/>
        <c:tickLblPos val="nextTo"/>
        <c:spPr>
          <a:noFill/>
          <a:ln w="6350" cap="flat" cmpd="sng" algn="ctr">
            <a:solidFill>
              <a:schemeClr val="tx1"/>
            </a:solidFill>
            <a:round/>
          </a:ln>
          <a:effectLst/>
        </c:spPr>
        <c:txPr>
          <a:bodyPr rot="-5400000" spcFirstLastPara="1" vertOverflow="ellipsis" wrap="square" anchor="ctr" anchorCtr="1"/>
          <a:lstStyle/>
          <a:p>
            <a:pPr>
              <a:defRPr sz="900" b="0" i="0" u="none" strike="noStrike" kern="1200" baseline="0">
                <a:solidFill>
                  <a:schemeClr val="tx1"/>
                </a:solidFill>
                <a:latin typeface="+mn-lt"/>
                <a:ea typeface="+mn-ea"/>
                <a:cs typeface="+mn-cs"/>
              </a:defRPr>
            </a:pPr>
            <a:endParaRPr lang="cs-CZ"/>
          </a:p>
        </c:txPr>
        <c:crossAx val="33466991"/>
        <c:crosses val="autoZero"/>
        <c:auto val="1"/>
        <c:lblAlgn val="ctr"/>
        <c:lblOffset val="100"/>
        <c:tickLblSkip val="1"/>
        <c:noMultiLvlLbl val="0"/>
      </c:catAx>
      <c:valAx>
        <c:axId val="33466991"/>
        <c:scaling>
          <c:orientation val="minMax"/>
        </c:scaling>
        <c:delete val="0"/>
        <c:axPos val="l"/>
        <c:majorGridlines>
          <c:spPr>
            <a:ln w="6350" cap="flat" cmpd="sng" algn="ctr">
              <a:solidFill>
                <a:schemeClr val="tx1"/>
              </a:solidFill>
              <a:prstDash val="dash"/>
              <a:round/>
            </a:ln>
            <a:effectLst/>
          </c:spPr>
        </c:majorGridlines>
        <c:numFmt formatCode="General"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cs-CZ"/>
          </a:p>
        </c:txPr>
        <c:crossAx val="33460751"/>
        <c:crosses val="autoZero"/>
        <c:crossBetween val="between"/>
      </c:valAx>
    </c:plotArea>
    <c:legend>
      <c:legendPos val="b"/>
      <c:layout>
        <c:manualLayout>
          <c:xMode val="edge"/>
          <c:yMode val="edge"/>
          <c:x val="4.8431388376270429E-4"/>
          <c:y val="0.94768882595392823"/>
          <c:w val="0.99507941015667001"/>
          <c:h val="5.2311174046071759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cs-CZ"/>
        </a:p>
      </c:txPr>
    </c:legend>
    <c:plotVisOnly val="1"/>
    <c:dispBlanksAs val="gap"/>
    <c:showDLblsOverMax val="0"/>
    <c:extLst/>
  </c:chart>
  <c:spPr>
    <a:solidFill>
      <a:schemeClr val="bg1"/>
    </a:solidFill>
    <a:ln w="9525" cap="flat" cmpd="sng" algn="ctr">
      <a:noFill/>
      <a:round/>
    </a:ln>
    <a:effectLst/>
  </c:spPr>
  <c:txPr>
    <a:bodyPr/>
    <a:lstStyle/>
    <a:p>
      <a:pPr>
        <a:defRPr/>
      </a:pPr>
      <a:endParaRPr lang="cs-CZ"/>
    </a:p>
  </c:tx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2983954248366014"/>
          <c:y val="5.0925925925925923E-2"/>
          <c:w val="0.82450686274509799"/>
          <c:h val="0.64841741408090847"/>
        </c:manualLayout>
      </c:layout>
      <c:barChart>
        <c:barDir val="col"/>
        <c:grouping val="stacked"/>
        <c:varyColors val="0"/>
        <c:ser>
          <c:idx val="1"/>
          <c:order val="0"/>
          <c:tx>
            <c:strRef>
              <c:f>List2!$C$2</c:f>
              <c:strCache>
                <c:ptCount val="1"/>
                <c:pt idx="0">
                  <c:v>Příjmy</c:v>
                </c:pt>
              </c:strCache>
            </c:strRef>
          </c:tx>
          <c:spPr>
            <a:solidFill>
              <a:schemeClr val="tx2"/>
            </a:solidFill>
            <a:ln w="12700">
              <a:noFill/>
            </a:ln>
            <a:effectLst/>
          </c:spPr>
          <c:invertIfNegative val="0"/>
          <c:cat>
            <c:numRef>
              <c:f>List2!$A$3:$A$32</c:f>
              <c:numCache>
                <c:formatCode>General</c:formatCode>
                <c:ptCount val="30"/>
                <c:pt idx="0">
                  <c:v>1993</c:v>
                </c:pt>
                <c:pt idx="1">
                  <c:v>1994</c:v>
                </c:pt>
                <c:pt idx="2">
                  <c:v>1995</c:v>
                </c:pt>
                <c:pt idx="3">
                  <c:v>1996</c:v>
                </c:pt>
                <c:pt idx="4">
                  <c:v>1997</c:v>
                </c:pt>
                <c:pt idx="5">
                  <c:v>1998</c:v>
                </c:pt>
                <c:pt idx="6">
                  <c:v>1999</c:v>
                </c:pt>
                <c:pt idx="7">
                  <c:v>2000</c:v>
                </c:pt>
                <c:pt idx="8">
                  <c:v>2001</c:v>
                </c:pt>
                <c:pt idx="9">
                  <c:v>2002</c:v>
                </c:pt>
                <c:pt idx="10">
                  <c:v>2003</c:v>
                </c:pt>
                <c:pt idx="11">
                  <c:v>2004</c:v>
                </c:pt>
                <c:pt idx="12">
                  <c:v>2005</c:v>
                </c:pt>
                <c:pt idx="13">
                  <c:v>2006</c:v>
                </c:pt>
                <c:pt idx="14">
                  <c:v>2007</c:v>
                </c:pt>
                <c:pt idx="15">
                  <c:v>2008</c:v>
                </c:pt>
                <c:pt idx="16">
                  <c:v>2009</c:v>
                </c:pt>
                <c:pt idx="17">
                  <c:v>2010</c:v>
                </c:pt>
                <c:pt idx="18">
                  <c:v>2011</c:v>
                </c:pt>
                <c:pt idx="19">
                  <c:v>2012</c:v>
                </c:pt>
                <c:pt idx="20">
                  <c:v>2013</c:v>
                </c:pt>
                <c:pt idx="21">
                  <c:v>2014</c:v>
                </c:pt>
                <c:pt idx="22">
                  <c:v>2015</c:v>
                </c:pt>
                <c:pt idx="23">
                  <c:v>2016</c:v>
                </c:pt>
                <c:pt idx="24">
                  <c:v>2017</c:v>
                </c:pt>
                <c:pt idx="25">
                  <c:v>2018</c:v>
                </c:pt>
                <c:pt idx="26">
                  <c:v>2019</c:v>
                </c:pt>
                <c:pt idx="27">
                  <c:v>2020</c:v>
                </c:pt>
                <c:pt idx="28">
                  <c:v>2021</c:v>
                </c:pt>
                <c:pt idx="29">
                  <c:v>2022</c:v>
                </c:pt>
              </c:numCache>
            </c:numRef>
          </c:cat>
          <c:val>
            <c:numRef>
              <c:f>List2!$C$3:$C$32</c:f>
              <c:numCache>
                <c:formatCode>#\ ##0.0</c:formatCode>
                <c:ptCount val="30"/>
                <c:pt idx="0">
                  <c:v>9.6199999999999994E-2</c:v>
                </c:pt>
                <c:pt idx="1">
                  <c:v>7.8299999999999995E-2</c:v>
                </c:pt>
                <c:pt idx="2">
                  <c:v>0.5121</c:v>
                </c:pt>
                <c:pt idx="3">
                  <c:v>0.87339999999999995</c:v>
                </c:pt>
                <c:pt idx="4">
                  <c:v>1.6695</c:v>
                </c:pt>
                <c:pt idx="5">
                  <c:v>-2.6455000000000002</c:v>
                </c:pt>
                <c:pt idx="6">
                  <c:v>0.48770000000000002</c:v>
                </c:pt>
                <c:pt idx="7">
                  <c:v>-0.41399999999999998</c:v>
                </c:pt>
                <c:pt idx="8">
                  <c:v>2.6587000000000001</c:v>
                </c:pt>
                <c:pt idx="9">
                  <c:v>-2.2850999999999999</c:v>
                </c:pt>
                <c:pt idx="10">
                  <c:v>3.6494</c:v>
                </c:pt>
                <c:pt idx="11">
                  <c:v>10.721366107</c:v>
                </c:pt>
                <c:pt idx="12">
                  <c:v>13.592644005</c:v>
                </c:pt>
                <c:pt idx="13">
                  <c:v>18.345345798</c:v>
                </c:pt>
                <c:pt idx="14">
                  <c:v>32.377063249999999</c:v>
                </c:pt>
                <c:pt idx="15">
                  <c:v>75.221899546000003</c:v>
                </c:pt>
                <c:pt idx="16">
                  <c:v>19.877528807000001</c:v>
                </c:pt>
                <c:pt idx="17">
                  <c:v>23.835719847</c:v>
                </c:pt>
                <c:pt idx="18">
                  <c:v>25.563010869999999</c:v>
                </c:pt>
                <c:pt idx="19">
                  <c:v>48.638072280000003</c:v>
                </c:pt>
                <c:pt idx="20">
                  <c:v>29.678261681999999</c:v>
                </c:pt>
                <c:pt idx="21">
                  <c:v>36.538509836999999</c:v>
                </c:pt>
                <c:pt idx="22">
                  <c:v>48.639938190000002</c:v>
                </c:pt>
                <c:pt idx="23">
                  <c:v>52.728027934000004</c:v>
                </c:pt>
                <c:pt idx="24">
                  <c:v>111.92130785499999</c:v>
                </c:pt>
                <c:pt idx="25">
                  <c:v>94.883513402999995</c:v>
                </c:pt>
                <c:pt idx="26">
                  <c:v>133.406500986</c:v>
                </c:pt>
                <c:pt idx="27">
                  <c:v>54.101222890000003</c:v>
                </c:pt>
                <c:pt idx="28">
                  <c:v>104.074916448</c:v>
                </c:pt>
                <c:pt idx="29">
                  <c:v>104.223836289</c:v>
                </c:pt>
              </c:numCache>
            </c:numRef>
          </c:val>
          <c:extLst>
            <c:ext xmlns:c16="http://schemas.microsoft.com/office/drawing/2014/chart" uri="{C3380CC4-5D6E-409C-BE32-E72D297353CC}">
              <c16:uniqueId val="{00000000-68D7-4235-AC72-869018267D4A}"/>
            </c:ext>
          </c:extLst>
        </c:ser>
        <c:ser>
          <c:idx val="2"/>
          <c:order val="1"/>
          <c:tx>
            <c:strRef>
              <c:f>List2!$D$2</c:f>
              <c:strCache>
                <c:ptCount val="1"/>
                <c:pt idx="0">
                  <c:v>Výdaje</c:v>
                </c:pt>
              </c:strCache>
            </c:strRef>
          </c:tx>
          <c:spPr>
            <a:solidFill>
              <a:schemeClr val="accent1"/>
            </a:solidFill>
            <a:ln w="12700">
              <a:noFill/>
            </a:ln>
            <a:effectLst/>
          </c:spPr>
          <c:invertIfNegative val="0"/>
          <c:cat>
            <c:numRef>
              <c:f>List2!$A$3:$A$32</c:f>
              <c:numCache>
                <c:formatCode>General</c:formatCode>
                <c:ptCount val="30"/>
                <c:pt idx="0">
                  <c:v>1993</c:v>
                </c:pt>
                <c:pt idx="1">
                  <c:v>1994</c:v>
                </c:pt>
                <c:pt idx="2">
                  <c:v>1995</c:v>
                </c:pt>
                <c:pt idx="3">
                  <c:v>1996</c:v>
                </c:pt>
                <c:pt idx="4">
                  <c:v>1997</c:v>
                </c:pt>
                <c:pt idx="5">
                  <c:v>1998</c:v>
                </c:pt>
                <c:pt idx="6">
                  <c:v>1999</c:v>
                </c:pt>
                <c:pt idx="7">
                  <c:v>2000</c:v>
                </c:pt>
                <c:pt idx="8">
                  <c:v>2001</c:v>
                </c:pt>
                <c:pt idx="9">
                  <c:v>2002</c:v>
                </c:pt>
                <c:pt idx="10">
                  <c:v>2003</c:v>
                </c:pt>
                <c:pt idx="11">
                  <c:v>2004</c:v>
                </c:pt>
                <c:pt idx="12">
                  <c:v>2005</c:v>
                </c:pt>
                <c:pt idx="13">
                  <c:v>2006</c:v>
                </c:pt>
                <c:pt idx="14">
                  <c:v>2007</c:v>
                </c:pt>
                <c:pt idx="15">
                  <c:v>2008</c:v>
                </c:pt>
                <c:pt idx="16">
                  <c:v>2009</c:v>
                </c:pt>
                <c:pt idx="17">
                  <c:v>2010</c:v>
                </c:pt>
                <c:pt idx="18">
                  <c:v>2011</c:v>
                </c:pt>
                <c:pt idx="19">
                  <c:v>2012</c:v>
                </c:pt>
                <c:pt idx="20">
                  <c:v>2013</c:v>
                </c:pt>
                <c:pt idx="21">
                  <c:v>2014</c:v>
                </c:pt>
                <c:pt idx="22">
                  <c:v>2015</c:v>
                </c:pt>
                <c:pt idx="23">
                  <c:v>2016</c:v>
                </c:pt>
                <c:pt idx="24">
                  <c:v>2017</c:v>
                </c:pt>
                <c:pt idx="25">
                  <c:v>2018</c:v>
                </c:pt>
                <c:pt idx="26">
                  <c:v>2019</c:v>
                </c:pt>
                <c:pt idx="27">
                  <c:v>2020</c:v>
                </c:pt>
                <c:pt idx="28">
                  <c:v>2021</c:v>
                </c:pt>
                <c:pt idx="29">
                  <c:v>2022</c:v>
                </c:pt>
              </c:numCache>
            </c:numRef>
          </c:cat>
          <c:val>
            <c:numRef>
              <c:f>List2!$D$3:$D$32</c:f>
              <c:numCache>
                <c:formatCode>#\ ##0.0</c:formatCode>
                <c:ptCount val="30"/>
                <c:pt idx="0">
                  <c:v>-0.14119999999999999</c:v>
                </c:pt>
                <c:pt idx="1">
                  <c:v>-0.2651</c:v>
                </c:pt>
                <c:pt idx="2">
                  <c:v>-1.7483</c:v>
                </c:pt>
                <c:pt idx="3">
                  <c:v>-2.0541</c:v>
                </c:pt>
                <c:pt idx="4">
                  <c:v>-1.7866</c:v>
                </c:pt>
                <c:pt idx="5">
                  <c:v>-11.1835</c:v>
                </c:pt>
                <c:pt idx="6">
                  <c:v>-36.163600000000002</c:v>
                </c:pt>
                <c:pt idx="7">
                  <c:v>-53.201999999999998</c:v>
                </c:pt>
                <c:pt idx="8">
                  <c:v>-81.0715</c:v>
                </c:pt>
                <c:pt idx="9">
                  <c:v>-103.2633</c:v>
                </c:pt>
                <c:pt idx="10">
                  <c:v>-118.26130000000001</c:v>
                </c:pt>
                <c:pt idx="11">
                  <c:v>-157.45533236</c:v>
                </c:pt>
                <c:pt idx="12">
                  <c:v>-161.31786496199999</c:v>
                </c:pt>
                <c:pt idx="13">
                  <c:v>-209.04095724300001</c:v>
                </c:pt>
                <c:pt idx="14">
                  <c:v>-313.780329107</c:v>
                </c:pt>
                <c:pt idx="15">
                  <c:v>-241.713024523</c:v>
                </c:pt>
                <c:pt idx="16">
                  <c:v>-261.90580303500002</c:v>
                </c:pt>
                <c:pt idx="17">
                  <c:v>-296.71163397999999</c:v>
                </c:pt>
                <c:pt idx="18">
                  <c:v>-274.33453201600003</c:v>
                </c:pt>
                <c:pt idx="19">
                  <c:v>-299.97534508899997</c:v>
                </c:pt>
                <c:pt idx="20">
                  <c:v>-305.876744944</c:v>
                </c:pt>
                <c:pt idx="21">
                  <c:v>-337.72462035000001</c:v>
                </c:pt>
                <c:pt idx="22">
                  <c:v>-358.82091954600003</c:v>
                </c:pt>
                <c:pt idx="23">
                  <c:v>-378.49421579400001</c:v>
                </c:pt>
                <c:pt idx="24">
                  <c:v>-450.11855189599999</c:v>
                </c:pt>
                <c:pt idx="25">
                  <c:v>-422.25088176200001</c:v>
                </c:pt>
                <c:pt idx="26">
                  <c:v>-471.025350059</c:v>
                </c:pt>
                <c:pt idx="27">
                  <c:v>-365.63265571699998</c:v>
                </c:pt>
                <c:pt idx="28">
                  <c:v>-469.45022084099998</c:v>
                </c:pt>
                <c:pt idx="29">
                  <c:v>-508.30109858399999</c:v>
                </c:pt>
              </c:numCache>
            </c:numRef>
          </c:val>
          <c:extLst>
            <c:ext xmlns:c16="http://schemas.microsoft.com/office/drawing/2014/chart" uri="{C3380CC4-5D6E-409C-BE32-E72D297353CC}">
              <c16:uniqueId val="{00000001-68D7-4235-AC72-869018267D4A}"/>
            </c:ext>
          </c:extLst>
        </c:ser>
        <c:dLbls>
          <c:showLegendKey val="0"/>
          <c:showVal val="0"/>
          <c:showCatName val="0"/>
          <c:showSerName val="0"/>
          <c:showPercent val="0"/>
          <c:showBubbleSize val="0"/>
        </c:dLbls>
        <c:gapWidth val="150"/>
        <c:overlap val="100"/>
        <c:axId val="1759883183"/>
        <c:axId val="1759885263"/>
      </c:barChart>
      <c:lineChart>
        <c:grouping val="standard"/>
        <c:varyColors val="0"/>
        <c:ser>
          <c:idx val="0"/>
          <c:order val="2"/>
          <c:tx>
            <c:strRef>
              <c:f>List2!$B$2</c:f>
              <c:strCache>
                <c:ptCount val="1"/>
                <c:pt idx="0">
                  <c:v>Saldo</c:v>
                </c:pt>
              </c:strCache>
            </c:strRef>
          </c:tx>
          <c:spPr>
            <a:ln w="12700" cap="rnd">
              <a:solidFill>
                <a:schemeClr val="tx1"/>
              </a:solidFill>
              <a:round/>
            </a:ln>
            <a:effectLst/>
          </c:spPr>
          <c:marker>
            <c:symbol val="none"/>
          </c:marker>
          <c:cat>
            <c:numRef>
              <c:f>List2!$A$3:$A$32</c:f>
              <c:numCache>
                <c:formatCode>General</c:formatCode>
                <c:ptCount val="30"/>
                <c:pt idx="0">
                  <c:v>1993</c:v>
                </c:pt>
                <c:pt idx="1">
                  <c:v>1994</c:v>
                </c:pt>
                <c:pt idx="2">
                  <c:v>1995</c:v>
                </c:pt>
                <c:pt idx="3">
                  <c:v>1996</c:v>
                </c:pt>
                <c:pt idx="4">
                  <c:v>1997</c:v>
                </c:pt>
                <c:pt idx="5">
                  <c:v>1998</c:v>
                </c:pt>
                <c:pt idx="6">
                  <c:v>1999</c:v>
                </c:pt>
                <c:pt idx="7">
                  <c:v>2000</c:v>
                </c:pt>
                <c:pt idx="8">
                  <c:v>2001</c:v>
                </c:pt>
                <c:pt idx="9">
                  <c:v>2002</c:v>
                </c:pt>
                <c:pt idx="10">
                  <c:v>2003</c:v>
                </c:pt>
                <c:pt idx="11">
                  <c:v>2004</c:v>
                </c:pt>
                <c:pt idx="12">
                  <c:v>2005</c:v>
                </c:pt>
                <c:pt idx="13">
                  <c:v>2006</c:v>
                </c:pt>
                <c:pt idx="14">
                  <c:v>2007</c:v>
                </c:pt>
                <c:pt idx="15">
                  <c:v>2008</c:v>
                </c:pt>
                <c:pt idx="16">
                  <c:v>2009</c:v>
                </c:pt>
                <c:pt idx="17">
                  <c:v>2010</c:v>
                </c:pt>
                <c:pt idx="18">
                  <c:v>2011</c:v>
                </c:pt>
                <c:pt idx="19">
                  <c:v>2012</c:v>
                </c:pt>
                <c:pt idx="20">
                  <c:v>2013</c:v>
                </c:pt>
                <c:pt idx="21">
                  <c:v>2014</c:v>
                </c:pt>
                <c:pt idx="22">
                  <c:v>2015</c:v>
                </c:pt>
                <c:pt idx="23">
                  <c:v>2016</c:v>
                </c:pt>
                <c:pt idx="24">
                  <c:v>2017</c:v>
                </c:pt>
                <c:pt idx="25">
                  <c:v>2018</c:v>
                </c:pt>
                <c:pt idx="26">
                  <c:v>2019</c:v>
                </c:pt>
                <c:pt idx="27">
                  <c:v>2020</c:v>
                </c:pt>
                <c:pt idx="28">
                  <c:v>2021</c:v>
                </c:pt>
                <c:pt idx="29">
                  <c:v>2022</c:v>
                </c:pt>
              </c:numCache>
            </c:numRef>
          </c:cat>
          <c:val>
            <c:numRef>
              <c:f>List2!$B$3:$B$32</c:f>
              <c:numCache>
                <c:formatCode>#\ ##0.0</c:formatCode>
                <c:ptCount val="30"/>
                <c:pt idx="0">
                  <c:v>-4.4999999999999998E-2</c:v>
                </c:pt>
                <c:pt idx="1">
                  <c:v>-0.18679999999999999</c:v>
                </c:pt>
                <c:pt idx="2">
                  <c:v>-1.2362</c:v>
                </c:pt>
                <c:pt idx="3">
                  <c:v>-1.1807000000000001</c:v>
                </c:pt>
                <c:pt idx="4">
                  <c:v>-0.1171</c:v>
                </c:pt>
                <c:pt idx="5">
                  <c:v>-13.829000000000001</c:v>
                </c:pt>
                <c:pt idx="6">
                  <c:v>-35.675899999999999</c:v>
                </c:pt>
                <c:pt idx="7">
                  <c:v>-53.616</c:v>
                </c:pt>
                <c:pt idx="8">
                  <c:v>-78.412800000000004</c:v>
                </c:pt>
                <c:pt idx="9">
                  <c:v>-105.5484</c:v>
                </c:pt>
                <c:pt idx="10">
                  <c:v>-114.61190000000001</c:v>
                </c:pt>
                <c:pt idx="11">
                  <c:v>-146.73396625199999</c:v>
                </c:pt>
                <c:pt idx="12">
                  <c:v>-147.725220957</c:v>
                </c:pt>
                <c:pt idx="13">
                  <c:v>-190.695611445</c:v>
                </c:pt>
                <c:pt idx="14">
                  <c:v>-281.40326585700001</c:v>
                </c:pt>
                <c:pt idx="15">
                  <c:v>-166.491124977</c:v>
                </c:pt>
                <c:pt idx="16">
                  <c:v>-242.02827422799999</c:v>
                </c:pt>
                <c:pt idx="17">
                  <c:v>-272.87591413299998</c:v>
                </c:pt>
                <c:pt idx="18">
                  <c:v>-248.77152114500001</c:v>
                </c:pt>
                <c:pt idx="19">
                  <c:v>-251.33727280900001</c:v>
                </c:pt>
                <c:pt idx="20">
                  <c:v>-276.19848326200002</c:v>
                </c:pt>
                <c:pt idx="21">
                  <c:v>-301.18611051300002</c:v>
                </c:pt>
                <c:pt idx="22">
                  <c:v>-310.18098135600002</c:v>
                </c:pt>
                <c:pt idx="23">
                  <c:v>-325.76618786</c:v>
                </c:pt>
                <c:pt idx="24">
                  <c:v>-338.19724404099998</c:v>
                </c:pt>
                <c:pt idx="25">
                  <c:v>-327.36736835900001</c:v>
                </c:pt>
                <c:pt idx="26">
                  <c:v>-337.61884907299998</c:v>
                </c:pt>
                <c:pt idx="27">
                  <c:v>-311.531432827</c:v>
                </c:pt>
                <c:pt idx="28">
                  <c:v>-365.37530439199998</c:v>
                </c:pt>
                <c:pt idx="29">
                  <c:v>-404.07726229500003</c:v>
                </c:pt>
              </c:numCache>
            </c:numRef>
          </c:val>
          <c:smooth val="0"/>
          <c:extLst>
            <c:ext xmlns:c16="http://schemas.microsoft.com/office/drawing/2014/chart" uri="{C3380CC4-5D6E-409C-BE32-E72D297353CC}">
              <c16:uniqueId val="{00000002-68D7-4235-AC72-869018267D4A}"/>
            </c:ext>
          </c:extLst>
        </c:ser>
        <c:dLbls>
          <c:showLegendKey val="0"/>
          <c:showVal val="0"/>
          <c:showCatName val="0"/>
          <c:showSerName val="0"/>
          <c:showPercent val="0"/>
          <c:showBubbleSize val="0"/>
        </c:dLbls>
        <c:marker val="1"/>
        <c:smooth val="0"/>
        <c:axId val="1759883183"/>
        <c:axId val="1759885263"/>
      </c:lineChart>
      <c:catAx>
        <c:axId val="1759883183"/>
        <c:scaling>
          <c:orientation val="minMax"/>
        </c:scaling>
        <c:delete val="0"/>
        <c:axPos val="b"/>
        <c:numFmt formatCode="General" sourceLinked="1"/>
        <c:majorTickMark val="none"/>
        <c:minorTickMark val="none"/>
        <c:tickLblPos val="low"/>
        <c:spPr>
          <a:noFill/>
          <a:ln w="635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cs-CZ"/>
          </a:p>
        </c:txPr>
        <c:crossAx val="1759885263"/>
        <c:crosses val="autoZero"/>
        <c:auto val="1"/>
        <c:lblAlgn val="ctr"/>
        <c:lblOffset val="100"/>
        <c:tickLblSkip val="1"/>
        <c:noMultiLvlLbl val="0"/>
      </c:catAx>
      <c:valAx>
        <c:axId val="1759885263"/>
        <c:scaling>
          <c:orientation val="minMax"/>
        </c:scaling>
        <c:delete val="0"/>
        <c:axPos val="l"/>
        <c:majorGridlines>
          <c:spPr>
            <a:ln w="6350" cap="flat" cmpd="sng" algn="ctr">
              <a:solidFill>
                <a:schemeClr val="tx1"/>
              </a:solidFill>
              <a:prstDash val="dash"/>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cs-CZ"/>
          </a:p>
        </c:txPr>
        <c:crossAx val="1759883183"/>
        <c:crosses val="autoZero"/>
        <c:crossBetween val="between"/>
        <c:majorUnit val="100"/>
      </c:valAx>
      <c:spPr>
        <a:noFill/>
        <a:ln>
          <a:noFill/>
        </a:ln>
        <a:effectLst/>
      </c:spPr>
    </c:plotArea>
    <c:legend>
      <c:legendPos val="b"/>
      <c:layout>
        <c:manualLayout>
          <c:xMode val="edge"/>
          <c:yMode val="edge"/>
          <c:x val="0.15523562091503268"/>
          <c:y val="0.92187445319335082"/>
          <c:w val="0.69782941176470592"/>
          <c:h val="7.8125587062353397E-2"/>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cs-CZ"/>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sz="900">
          <a:solidFill>
            <a:sysClr val="windowText" lastClr="000000"/>
          </a:solidFill>
        </a:defRPr>
      </a:pPr>
      <a:endParaRPr lang="cs-CZ"/>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5543853707970945E-2"/>
          <c:y val="2.5668275481413375E-2"/>
          <c:w val="0.90918435239987971"/>
          <c:h val="0.61793781203719722"/>
        </c:manualLayout>
      </c:layout>
      <c:barChart>
        <c:barDir val="col"/>
        <c:grouping val="clustered"/>
        <c:varyColors val="0"/>
        <c:ser>
          <c:idx val="1"/>
          <c:order val="4"/>
          <c:tx>
            <c:strRef>
              <c:f>'Veřejný dluh'!$X$10</c:f>
              <c:strCache>
                <c:ptCount val="1"/>
                <c:pt idx="0">
                  <c:v>2022</c:v>
                </c:pt>
              </c:strCache>
            </c:strRef>
          </c:tx>
          <c:spPr>
            <a:ln>
              <a:noFill/>
            </a:ln>
          </c:spPr>
          <c:invertIfNegative val="0"/>
          <c:dPt>
            <c:idx val="6"/>
            <c:invertIfNegative val="0"/>
            <c:bubble3D val="0"/>
            <c:spPr>
              <a:solidFill>
                <a:schemeClr val="tx1"/>
              </a:solidFill>
              <a:ln>
                <a:noFill/>
              </a:ln>
            </c:spPr>
            <c:extLst>
              <c:ext xmlns:c16="http://schemas.microsoft.com/office/drawing/2014/chart" uri="{C3380CC4-5D6E-409C-BE32-E72D297353CC}">
                <c16:uniqueId val="{00000001-D868-42A2-9DBE-D98C10461879}"/>
              </c:ext>
            </c:extLst>
          </c:dPt>
          <c:dPt>
            <c:idx val="8"/>
            <c:invertIfNegative val="0"/>
            <c:bubble3D val="0"/>
            <c:spPr>
              <a:solidFill>
                <a:schemeClr val="tx1"/>
              </a:solidFill>
              <a:ln>
                <a:noFill/>
              </a:ln>
            </c:spPr>
            <c:extLst>
              <c:ext xmlns:c16="http://schemas.microsoft.com/office/drawing/2014/chart" uri="{C3380CC4-5D6E-409C-BE32-E72D297353CC}">
                <c16:uniqueId val="{00000003-D868-42A2-9DBE-D98C10461879}"/>
              </c:ext>
            </c:extLst>
          </c:dPt>
          <c:dPt>
            <c:idx val="21"/>
            <c:invertIfNegative val="0"/>
            <c:bubble3D val="0"/>
            <c:spPr>
              <a:solidFill>
                <a:schemeClr val="tx1"/>
              </a:solidFill>
              <a:ln>
                <a:noFill/>
              </a:ln>
            </c:spPr>
            <c:extLst>
              <c:ext xmlns:c16="http://schemas.microsoft.com/office/drawing/2014/chart" uri="{C3380CC4-5D6E-409C-BE32-E72D297353CC}">
                <c16:uniqueId val="{00000005-D868-42A2-9DBE-D98C10461879}"/>
              </c:ext>
            </c:extLst>
          </c:dPt>
          <c:cat>
            <c:strRef>
              <c:f>'Veřejný dluh'!$A$11:$A$38</c:f>
              <c:strCache>
                <c:ptCount val="28"/>
                <c:pt idx="0">
                  <c:v>Řecko</c:v>
                </c:pt>
                <c:pt idx="1">
                  <c:v>Itálie</c:v>
                </c:pt>
                <c:pt idx="2">
                  <c:v>Portugalsko</c:v>
                </c:pt>
                <c:pt idx="3">
                  <c:v>Francie</c:v>
                </c:pt>
                <c:pt idx="4">
                  <c:v>Španělsko</c:v>
                </c:pt>
                <c:pt idx="5">
                  <c:v>Belgie</c:v>
                </c:pt>
                <c:pt idx="6">
                  <c:v>Eurozóna</c:v>
                </c:pt>
                <c:pt idx="7">
                  <c:v>Kypr</c:v>
                </c:pt>
                <c:pt idx="8">
                  <c:v>Evropská unie</c:v>
                </c:pt>
                <c:pt idx="9">
                  <c:v>Rakousko</c:v>
                </c:pt>
                <c:pt idx="10">
                  <c:v>Maďarsko</c:v>
                </c:pt>
                <c:pt idx="11">
                  <c:v>Finsko</c:v>
                </c:pt>
                <c:pt idx="12">
                  <c:v>Slovinsko</c:v>
                </c:pt>
                <c:pt idx="13">
                  <c:v>Chorvatsko</c:v>
                </c:pt>
                <c:pt idx="14">
                  <c:v>Německo</c:v>
                </c:pt>
                <c:pt idx="15">
                  <c:v>Slovensko</c:v>
                </c:pt>
                <c:pt idx="16">
                  <c:v>Malta</c:v>
                </c:pt>
                <c:pt idx="17">
                  <c:v>Nizozemsko</c:v>
                </c:pt>
                <c:pt idx="18">
                  <c:v>Polsko</c:v>
                </c:pt>
                <c:pt idx="19">
                  <c:v>Rumunsko</c:v>
                </c:pt>
                <c:pt idx="20">
                  <c:v>Irsko</c:v>
                </c:pt>
                <c:pt idx="21">
                  <c:v>Česko</c:v>
                </c:pt>
                <c:pt idx="22">
                  <c:v>Lotyšsko</c:v>
                </c:pt>
                <c:pt idx="23">
                  <c:v>Litva</c:v>
                </c:pt>
                <c:pt idx="24">
                  <c:v>Dánsko</c:v>
                </c:pt>
                <c:pt idx="25">
                  <c:v>Lucembursko</c:v>
                </c:pt>
                <c:pt idx="26">
                  <c:v>Bulharsko</c:v>
                </c:pt>
                <c:pt idx="27">
                  <c:v>Estonsko</c:v>
                </c:pt>
              </c:strCache>
            </c:strRef>
          </c:cat>
          <c:val>
            <c:numRef>
              <c:f>'Veřejný dluh'!$X$11:$X$38</c:f>
              <c:numCache>
                <c:formatCode>#\ ##0.##########</c:formatCode>
                <c:ptCount val="28"/>
                <c:pt idx="0">
                  <c:v>172.6</c:v>
                </c:pt>
                <c:pt idx="1">
                  <c:v>141.69999999999999</c:v>
                </c:pt>
                <c:pt idx="2">
                  <c:v>112.4</c:v>
                </c:pt>
                <c:pt idx="3">
                  <c:v>111.8</c:v>
                </c:pt>
                <c:pt idx="4">
                  <c:v>111.6</c:v>
                </c:pt>
                <c:pt idx="5">
                  <c:v>104.3</c:v>
                </c:pt>
                <c:pt idx="6">
                  <c:v>90.9</c:v>
                </c:pt>
                <c:pt idx="7">
                  <c:v>85.6</c:v>
                </c:pt>
                <c:pt idx="8">
                  <c:v>83.5</c:v>
                </c:pt>
                <c:pt idx="9">
                  <c:v>78.400000000000006</c:v>
                </c:pt>
                <c:pt idx="10">
                  <c:v>73.900000000000006</c:v>
                </c:pt>
                <c:pt idx="11">
                  <c:v>73.3</c:v>
                </c:pt>
                <c:pt idx="12">
                  <c:v>72.3</c:v>
                </c:pt>
                <c:pt idx="13">
                  <c:v>68.2</c:v>
                </c:pt>
                <c:pt idx="14">
                  <c:v>66.099999999999994</c:v>
                </c:pt>
                <c:pt idx="15">
                  <c:v>57.8</c:v>
                </c:pt>
                <c:pt idx="16">
                  <c:v>52.3</c:v>
                </c:pt>
                <c:pt idx="17">
                  <c:v>50.1</c:v>
                </c:pt>
                <c:pt idx="18">
                  <c:v>49.3</c:v>
                </c:pt>
                <c:pt idx="19">
                  <c:v>47.2</c:v>
                </c:pt>
                <c:pt idx="20">
                  <c:v>44.4</c:v>
                </c:pt>
                <c:pt idx="21">
                  <c:v>44.2</c:v>
                </c:pt>
                <c:pt idx="22" formatCode="#\ ##0.0">
                  <c:v>41</c:v>
                </c:pt>
                <c:pt idx="23">
                  <c:v>38.1</c:v>
                </c:pt>
                <c:pt idx="24">
                  <c:v>29.8</c:v>
                </c:pt>
                <c:pt idx="25">
                  <c:v>24.7</c:v>
                </c:pt>
                <c:pt idx="26">
                  <c:v>22.6</c:v>
                </c:pt>
                <c:pt idx="27">
                  <c:v>18.5</c:v>
                </c:pt>
              </c:numCache>
            </c:numRef>
          </c:val>
          <c:extLst>
            <c:ext xmlns:c16="http://schemas.microsoft.com/office/drawing/2014/chart" uri="{C3380CC4-5D6E-409C-BE32-E72D297353CC}">
              <c16:uniqueId val="{00000006-D868-42A2-9DBE-D98C10461879}"/>
            </c:ext>
          </c:extLst>
        </c:ser>
        <c:dLbls>
          <c:showLegendKey val="0"/>
          <c:showVal val="0"/>
          <c:showCatName val="0"/>
          <c:showSerName val="0"/>
          <c:showPercent val="0"/>
          <c:showBubbleSize val="0"/>
        </c:dLbls>
        <c:gapWidth val="146"/>
        <c:axId val="33460751"/>
        <c:axId val="33466991"/>
      </c:barChart>
      <c:lineChart>
        <c:grouping val="standard"/>
        <c:varyColors val="0"/>
        <c:ser>
          <c:idx val="0"/>
          <c:order val="0"/>
          <c:tx>
            <c:strRef>
              <c:f>'Veřejný dluh'!$V$10</c:f>
              <c:strCache>
                <c:ptCount val="1"/>
                <c:pt idx="0">
                  <c:v>2020</c:v>
                </c:pt>
              </c:strCache>
            </c:strRef>
          </c:tx>
          <c:spPr>
            <a:ln w="28575" cap="rnd">
              <a:noFill/>
              <a:round/>
            </a:ln>
            <a:effectLst/>
          </c:spPr>
          <c:marker>
            <c:symbol val="diamond"/>
            <c:size val="3"/>
            <c:spPr>
              <a:solidFill>
                <a:schemeClr val="accent6"/>
              </a:solidFill>
              <a:ln w="9525">
                <a:noFill/>
              </a:ln>
              <a:effectLst/>
            </c:spPr>
          </c:marker>
          <c:cat>
            <c:strRef>
              <c:f>'Veřejný dluh'!$A$11:$A$38</c:f>
              <c:strCache>
                <c:ptCount val="28"/>
                <c:pt idx="0">
                  <c:v>Řecko</c:v>
                </c:pt>
                <c:pt idx="1">
                  <c:v>Itálie</c:v>
                </c:pt>
                <c:pt idx="2">
                  <c:v>Portugalsko</c:v>
                </c:pt>
                <c:pt idx="3">
                  <c:v>Francie</c:v>
                </c:pt>
                <c:pt idx="4">
                  <c:v>Španělsko</c:v>
                </c:pt>
                <c:pt idx="5">
                  <c:v>Belgie</c:v>
                </c:pt>
                <c:pt idx="6">
                  <c:v>Eurozóna</c:v>
                </c:pt>
                <c:pt idx="7">
                  <c:v>Kypr</c:v>
                </c:pt>
                <c:pt idx="8">
                  <c:v>Evropská unie</c:v>
                </c:pt>
                <c:pt idx="9">
                  <c:v>Rakousko</c:v>
                </c:pt>
                <c:pt idx="10">
                  <c:v>Maďarsko</c:v>
                </c:pt>
                <c:pt idx="11">
                  <c:v>Finsko</c:v>
                </c:pt>
                <c:pt idx="12">
                  <c:v>Slovinsko</c:v>
                </c:pt>
                <c:pt idx="13">
                  <c:v>Chorvatsko</c:v>
                </c:pt>
                <c:pt idx="14">
                  <c:v>Německo</c:v>
                </c:pt>
                <c:pt idx="15">
                  <c:v>Slovensko</c:v>
                </c:pt>
                <c:pt idx="16">
                  <c:v>Malta</c:v>
                </c:pt>
                <c:pt idx="17">
                  <c:v>Nizozemsko</c:v>
                </c:pt>
                <c:pt idx="18">
                  <c:v>Polsko</c:v>
                </c:pt>
                <c:pt idx="19">
                  <c:v>Rumunsko</c:v>
                </c:pt>
                <c:pt idx="20">
                  <c:v>Irsko</c:v>
                </c:pt>
                <c:pt idx="21">
                  <c:v>Česko</c:v>
                </c:pt>
                <c:pt idx="22">
                  <c:v>Lotyšsko</c:v>
                </c:pt>
                <c:pt idx="23">
                  <c:v>Litva</c:v>
                </c:pt>
                <c:pt idx="24">
                  <c:v>Dánsko</c:v>
                </c:pt>
                <c:pt idx="25">
                  <c:v>Lucembursko</c:v>
                </c:pt>
                <c:pt idx="26">
                  <c:v>Bulharsko</c:v>
                </c:pt>
                <c:pt idx="27">
                  <c:v>Estonsko</c:v>
                </c:pt>
              </c:strCache>
            </c:strRef>
          </c:cat>
          <c:val>
            <c:numRef>
              <c:f>'Veřejný dluh'!$V$11:$V$38</c:f>
              <c:numCache>
                <c:formatCode>#\ ##0.##########</c:formatCode>
                <c:ptCount val="28"/>
                <c:pt idx="0" formatCode="#\ ##0.0">
                  <c:v>207</c:v>
                </c:pt>
                <c:pt idx="1">
                  <c:v>154.9</c:v>
                </c:pt>
                <c:pt idx="2">
                  <c:v>134.9</c:v>
                </c:pt>
                <c:pt idx="3">
                  <c:v>114.6</c:v>
                </c:pt>
                <c:pt idx="4">
                  <c:v>120.3</c:v>
                </c:pt>
                <c:pt idx="5">
                  <c:v>111.8</c:v>
                </c:pt>
                <c:pt idx="6">
                  <c:v>97.2</c:v>
                </c:pt>
                <c:pt idx="7">
                  <c:v>114.9</c:v>
                </c:pt>
                <c:pt idx="8" formatCode="#\ ##0.0">
                  <c:v>90</c:v>
                </c:pt>
                <c:pt idx="9" formatCode="#\ ##0.0">
                  <c:v>83</c:v>
                </c:pt>
                <c:pt idx="10">
                  <c:v>79.3</c:v>
                </c:pt>
                <c:pt idx="11">
                  <c:v>74.7</c:v>
                </c:pt>
                <c:pt idx="12">
                  <c:v>79.599999999999994</c:v>
                </c:pt>
                <c:pt idx="13">
                  <c:v>86.8</c:v>
                </c:pt>
                <c:pt idx="14">
                  <c:v>68.8</c:v>
                </c:pt>
                <c:pt idx="15">
                  <c:v>58.9</c:v>
                </c:pt>
                <c:pt idx="16">
                  <c:v>52.2</c:v>
                </c:pt>
                <c:pt idx="17">
                  <c:v>54.7</c:v>
                </c:pt>
                <c:pt idx="18">
                  <c:v>57.2</c:v>
                </c:pt>
                <c:pt idx="19">
                  <c:v>46.8</c:v>
                </c:pt>
                <c:pt idx="20">
                  <c:v>58.1</c:v>
                </c:pt>
                <c:pt idx="21">
                  <c:v>37.700000000000003</c:v>
                </c:pt>
                <c:pt idx="22">
                  <c:v>42.2</c:v>
                </c:pt>
                <c:pt idx="23">
                  <c:v>46.2</c:v>
                </c:pt>
                <c:pt idx="24">
                  <c:v>42.3</c:v>
                </c:pt>
                <c:pt idx="25">
                  <c:v>24.6</c:v>
                </c:pt>
                <c:pt idx="26">
                  <c:v>24.6</c:v>
                </c:pt>
                <c:pt idx="27">
                  <c:v>18.600000000000001</c:v>
                </c:pt>
              </c:numCache>
            </c:numRef>
          </c:val>
          <c:smooth val="0"/>
          <c:extLst>
            <c:ext xmlns:c16="http://schemas.microsoft.com/office/drawing/2014/chart" uri="{C3380CC4-5D6E-409C-BE32-E72D297353CC}">
              <c16:uniqueId val="{00000007-D868-42A2-9DBE-D98C10461879}"/>
            </c:ext>
          </c:extLst>
        </c:ser>
        <c:ser>
          <c:idx val="5"/>
          <c:order val="1"/>
          <c:tx>
            <c:strRef>
              <c:f>'Veřejný dluh'!$Q$10</c:f>
              <c:strCache>
                <c:ptCount val="1"/>
                <c:pt idx="0">
                  <c:v>2015</c:v>
                </c:pt>
              </c:strCache>
            </c:strRef>
          </c:tx>
          <c:spPr>
            <a:ln w="28575" cap="rnd">
              <a:noFill/>
              <a:round/>
            </a:ln>
            <a:effectLst/>
          </c:spPr>
          <c:marker>
            <c:symbol val="triangle"/>
            <c:size val="3"/>
            <c:spPr>
              <a:solidFill>
                <a:schemeClr val="accent4"/>
              </a:solidFill>
              <a:ln w="9525">
                <a:noFill/>
              </a:ln>
              <a:effectLst/>
            </c:spPr>
          </c:marker>
          <c:cat>
            <c:strRef>
              <c:f>'Veřejný dluh'!$A$11:$A$38</c:f>
              <c:strCache>
                <c:ptCount val="28"/>
                <c:pt idx="0">
                  <c:v>Řecko</c:v>
                </c:pt>
                <c:pt idx="1">
                  <c:v>Itálie</c:v>
                </c:pt>
                <c:pt idx="2">
                  <c:v>Portugalsko</c:v>
                </c:pt>
                <c:pt idx="3">
                  <c:v>Francie</c:v>
                </c:pt>
                <c:pt idx="4">
                  <c:v>Španělsko</c:v>
                </c:pt>
                <c:pt idx="5">
                  <c:v>Belgie</c:v>
                </c:pt>
                <c:pt idx="6">
                  <c:v>Eurozóna</c:v>
                </c:pt>
                <c:pt idx="7">
                  <c:v>Kypr</c:v>
                </c:pt>
                <c:pt idx="8">
                  <c:v>Evropská unie</c:v>
                </c:pt>
                <c:pt idx="9">
                  <c:v>Rakousko</c:v>
                </c:pt>
                <c:pt idx="10">
                  <c:v>Maďarsko</c:v>
                </c:pt>
                <c:pt idx="11">
                  <c:v>Finsko</c:v>
                </c:pt>
                <c:pt idx="12">
                  <c:v>Slovinsko</c:v>
                </c:pt>
                <c:pt idx="13">
                  <c:v>Chorvatsko</c:v>
                </c:pt>
                <c:pt idx="14">
                  <c:v>Německo</c:v>
                </c:pt>
                <c:pt idx="15">
                  <c:v>Slovensko</c:v>
                </c:pt>
                <c:pt idx="16">
                  <c:v>Malta</c:v>
                </c:pt>
                <c:pt idx="17">
                  <c:v>Nizozemsko</c:v>
                </c:pt>
                <c:pt idx="18">
                  <c:v>Polsko</c:v>
                </c:pt>
                <c:pt idx="19">
                  <c:v>Rumunsko</c:v>
                </c:pt>
                <c:pt idx="20">
                  <c:v>Irsko</c:v>
                </c:pt>
                <c:pt idx="21">
                  <c:v>Česko</c:v>
                </c:pt>
                <c:pt idx="22">
                  <c:v>Lotyšsko</c:v>
                </c:pt>
                <c:pt idx="23">
                  <c:v>Litva</c:v>
                </c:pt>
                <c:pt idx="24">
                  <c:v>Dánsko</c:v>
                </c:pt>
                <c:pt idx="25">
                  <c:v>Lucembursko</c:v>
                </c:pt>
                <c:pt idx="26">
                  <c:v>Bulharsko</c:v>
                </c:pt>
                <c:pt idx="27">
                  <c:v>Estonsko</c:v>
                </c:pt>
              </c:strCache>
            </c:strRef>
          </c:cat>
          <c:val>
            <c:numRef>
              <c:f>'Veřejný dluh'!$Q$11:$Q$38</c:f>
              <c:numCache>
                <c:formatCode>#\ ##0.##########</c:formatCode>
                <c:ptCount val="28"/>
                <c:pt idx="0">
                  <c:v>176.7</c:v>
                </c:pt>
                <c:pt idx="1">
                  <c:v>135.30000000000001</c:v>
                </c:pt>
                <c:pt idx="2">
                  <c:v>131.19999999999999</c:v>
                </c:pt>
                <c:pt idx="3">
                  <c:v>95.6</c:v>
                </c:pt>
                <c:pt idx="4">
                  <c:v>103.3</c:v>
                </c:pt>
                <c:pt idx="5">
                  <c:v>105.2</c:v>
                </c:pt>
                <c:pt idx="6">
                  <c:v>91.3</c:v>
                </c:pt>
                <c:pt idx="7">
                  <c:v>107.5</c:v>
                </c:pt>
                <c:pt idx="8">
                  <c:v>85.1</c:v>
                </c:pt>
                <c:pt idx="9">
                  <c:v>84.9</c:v>
                </c:pt>
                <c:pt idx="10">
                  <c:v>75.8</c:v>
                </c:pt>
                <c:pt idx="11">
                  <c:v>68.3</c:v>
                </c:pt>
                <c:pt idx="12">
                  <c:v>82.6</c:v>
                </c:pt>
                <c:pt idx="13" formatCode="#\ ##0.0">
                  <c:v>83</c:v>
                </c:pt>
                <c:pt idx="14">
                  <c:v>71.900000000000006</c:v>
                </c:pt>
                <c:pt idx="15">
                  <c:v>51.7</c:v>
                </c:pt>
                <c:pt idx="16">
                  <c:v>56.2</c:v>
                </c:pt>
                <c:pt idx="17">
                  <c:v>64.7</c:v>
                </c:pt>
                <c:pt idx="18">
                  <c:v>51.3</c:v>
                </c:pt>
                <c:pt idx="19">
                  <c:v>37.799999999999997</c:v>
                </c:pt>
                <c:pt idx="20">
                  <c:v>76.5</c:v>
                </c:pt>
                <c:pt idx="21">
                  <c:v>39.700000000000003</c:v>
                </c:pt>
                <c:pt idx="22" formatCode="#\ ##0.0">
                  <c:v>37</c:v>
                </c:pt>
                <c:pt idx="23">
                  <c:v>42.5</c:v>
                </c:pt>
                <c:pt idx="24">
                  <c:v>39.799999999999997</c:v>
                </c:pt>
                <c:pt idx="25">
                  <c:v>21.1</c:v>
                </c:pt>
                <c:pt idx="26">
                  <c:v>25.9</c:v>
                </c:pt>
                <c:pt idx="27">
                  <c:v>10.1</c:v>
                </c:pt>
              </c:numCache>
            </c:numRef>
          </c:val>
          <c:smooth val="0"/>
          <c:extLst xmlns:c15="http://schemas.microsoft.com/office/drawing/2012/chart">
            <c:ext xmlns:c16="http://schemas.microsoft.com/office/drawing/2014/chart" uri="{C3380CC4-5D6E-409C-BE32-E72D297353CC}">
              <c16:uniqueId val="{00000008-D868-42A2-9DBE-D98C10461879}"/>
            </c:ext>
          </c:extLst>
        </c:ser>
        <c:ser>
          <c:idx val="10"/>
          <c:order val="2"/>
          <c:tx>
            <c:strRef>
              <c:f>'Veřejný dluh'!$L$10</c:f>
              <c:strCache>
                <c:ptCount val="1"/>
                <c:pt idx="0">
                  <c:v>2010</c:v>
                </c:pt>
              </c:strCache>
            </c:strRef>
          </c:tx>
          <c:spPr>
            <a:ln w="28575" cap="rnd">
              <a:noFill/>
              <a:round/>
            </a:ln>
            <a:effectLst/>
          </c:spPr>
          <c:marker>
            <c:symbol val="circle"/>
            <c:size val="3"/>
            <c:spPr>
              <a:solidFill>
                <a:schemeClr val="accent5"/>
              </a:solidFill>
              <a:ln w="9525">
                <a:noFill/>
              </a:ln>
              <a:effectLst/>
            </c:spPr>
          </c:marker>
          <c:cat>
            <c:strRef>
              <c:f>'Veřejný dluh'!$A$11:$A$38</c:f>
              <c:strCache>
                <c:ptCount val="28"/>
                <c:pt idx="0">
                  <c:v>Řecko</c:v>
                </c:pt>
                <c:pt idx="1">
                  <c:v>Itálie</c:v>
                </c:pt>
                <c:pt idx="2">
                  <c:v>Portugalsko</c:v>
                </c:pt>
                <c:pt idx="3">
                  <c:v>Francie</c:v>
                </c:pt>
                <c:pt idx="4">
                  <c:v>Španělsko</c:v>
                </c:pt>
                <c:pt idx="5">
                  <c:v>Belgie</c:v>
                </c:pt>
                <c:pt idx="6">
                  <c:v>Eurozóna</c:v>
                </c:pt>
                <c:pt idx="7">
                  <c:v>Kypr</c:v>
                </c:pt>
                <c:pt idx="8">
                  <c:v>Evropská unie</c:v>
                </c:pt>
                <c:pt idx="9">
                  <c:v>Rakousko</c:v>
                </c:pt>
                <c:pt idx="10">
                  <c:v>Maďarsko</c:v>
                </c:pt>
                <c:pt idx="11">
                  <c:v>Finsko</c:v>
                </c:pt>
                <c:pt idx="12">
                  <c:v>Slovinsko</c:v>
                </c:pt>
                <c:pt idx="13">
                  <c:v>Chorvatsko</c:v>
                </c:pt>
                <c:pt idx="14">
                  <c:v>Německo</c:v>
                </c:pt>
                <c:pt idx="15">
                  <c:v>Slovensko</c:v>
                </c:pt>
                <c:pt idx="16">
                  <c:v>Malta</c:v>
                </c:pt>
                <c:pt idx="17">
                  <c:v>Nizozemsko</c:v>
                </c:pt>
                <c:pt idx="18">
                  <c:v>Polsko</c:v>
                </c:pt>
                <c:pt idx="19">
                  <c:v>Rumunsko</c:v>
                </c:pt>
                <c:pt idx="20">
                  <c:v>Irsko</c:v>
                </c:pt>
                <c:pt idx="21">
                  <c:v>Česko</c:v>
                </c:pt>
                <c:pt idx="22">
                  <c:v>Lotyšsko</c:v>
                </c:pt>
                <c:pt idx="23">
                  <c:v>Litva</c:v>
                </c:pt>
                <c:pt idx="24">
                  <c:v>Dánsko</c:v>
                </c:pt>
                <c:pt idx="25">
                  <c:v>Lucembursko</c:v>
                </c:pt>
                <c:pt idx="26">
                  <c:v>Bulharsko</c:v>
                </c:pt>
                <c:pt idx="27">
                  <c:v>Estonsko</c:v>
                </c:pt>
              </c:strCache>
            </c:strRef>
          </c:cat>
          <c:val>
            <c:numRef>
              <c:f>'Veřejný dluh'!$L$11:$L$38</c:f>
              <c:numCache>
                <c:formatCode>#\ ##0.##########</c:formatCode>
                <c:ptCount val="28"/>
                <c:pt idx="0">
                  <c:v>147.5</c:v>
                </c:pt>
                <c:pt idx="1">
                  <c:v>119.2</c:v>
                </c:pt>
                <c:pt idx="2">
                  <c:v>100.2</c:v>
                </c:pt>
                <c:pt idx="3">
                  <c:v>85.3</c:v>
                </c:pt>
                <c:pt idx="4">
                  <c:v>60.5</c:v>
                </c:pt>
                <c:pt idx="5">
                  <c:v>100.3</c:v>
                </c:pt>
                <c:pt idx="6">
                  <c:v>85.6</c:v>
                </c:pt>
                <c:pt idx="7">
                  <c:v>56.3</c:v>
                </c:pt>
                <c:pt idx="8">
                  <c:v>80.400000000000006</c:v>
                </c:pt>
                <c:pt idx="9">
                  <c:v>82.7</c:v>
                </c:pt>
                <c:pt idx="10" formatCode="#\ ##0.0">
                  <c:v>80</c:v>
                </c:pt>
                <c:pt idx="11">
                  <c:v>50.1</c:v>
                </c:pt>
                <c:pt idx="12">
                  <c:v>38.299999999999997</c:v>
                </c:pt>
                <c:pt idx="13" formatCode="#\ ##0.0">
                  <c:v>57</c:v>
                </c:pt>
                <c:pt idx="14" formatCode="#\ ##0.0">
                  <c:v>82</c:v>
                </c:pt>
                <c:pt idx="15">
                  <c:v>40.6</c:v>
                </c:pt>
                <c:pt idx="16">
                  <c:v>65.5</c:v>
                </c:pt>
                <c:pt idx="17">
                  <c:v>59.3</c:v>
                </c:pt>
                <c:pt idx="18" formatCode="#\ ##0.0">
                  <c:v>54</c:v>
                </c:pt>
                <c:pt idx="19" formatCode="#\ ##0.0">
                  <c:v>29</c:v>
                </c:pt>
                <c:pt idx="20">
                  <c:v>86.2</c:v>
                </c:pt>
                <c:pt idx="21">
                  <c:v>37.1</c:v>
                </c:pt>
                <c:pt idx="22">
                  <c:v>47.6</c:v>
                </c:pt>
                <c:pt idx="23">
                  <c:v>36.200000000000003</c:v>
                </c:pt>
                <c:pt idx="24">
                  <c:v>42.6</c:v>
                </c:pt>
                <c:pt idx="25">
                  <c:v>19.100000000000001</c:v>
                </c:pt>
                <c:pt idx="26">
                  <c:v>15.3</c:v>
                </c:pt>
                <c:pt idx="27">
                  <c:v>6.7</c:v>
                </c:pt>
              </c:numCache>
            </c:numRef>
          </c:val>
          <c:smooth val="0"/>
          <c:extLst xmlns:c15="http://schemas.microsoft.com/office/drawing/2012/chart">
            <c:ext xmlns:c16="http://schemas.microsoft.com/office/drawing/2014/chart" uri="{C3380CC4-5D6E-409C-BE32-E72D297353CC}">
              <c16:uniqueId val="{00000009-D868-42A2-9DBE-D98C10461879}"/>
            </c:ext>
          </c:extLst>
        </c:ser>
        <c:ser>
          <c:idx val="15"/>
          <c:order val="3"/>
          <c:tx>
            <c:strRef>
              <c:f>'Veřejný dluh'!$G$10</c:f>
              <c:strCache>
                <c:ptCount val="1"/>
                <c:pt idx="0">
                  <c:v>2005</c:v>
                </c:pt>
              </c:strCache>
            </c:strRef>
          </c:tx>
          <c:spPr>
            <a:ln w="28575" cap="rnd">
              <a:noFill/>
              <a:round/>
            </a:ln>
            <a:effectLst/>
          </c:spPr>
          <c:marker>
            <c:symbol val="square"/>
            <c:size val="3"/>
            <c:spPr>
              <a:solidFill>
                <a:schemeClr val="accent1"/>
              </a:solidFill>
              <a:ln w="9525">
                <a:noFill/>
              </a:ln>
              <a:effectLst/>
            </c:spPr>
          </c:marker>
          <c:cat>
            <c:strRef>
              <c:f>'Veřejný dluh'!$A$11:$A$38</c:f>
              <c:strCache>
                <c:ptCount val="28"/>
                <c:pt idx="0">
                  <c:v>Řecko</c:v>
                </c:pt>
                <c:pt idx="1">
                  <c:v>Itálie</c:v>
                </c:pt>
                <c:pt idx="2">
                  <c:v>Portugalsko</c:v>
                </c:pt>
                <c:pt idx="3">
                  <c:v>Francie</c:v>
                </c:pt>
                <c:pt idx="4">
                  <c:v>Španělsko</c:v>
                </c:pt>
                <c:pt idx="5">
                  <c:v>Belgie</c:v>
                </c:pt>
                <c:pt idx="6">
                  <c:v>Eurozóna</c:v>
                </c:pt>
                <c:pt idx="7">
                  <c:v>Kypr</c:v>
                </c:pt>
                <c:pt idx="8">
                  <c:v>Evropská unie</c:v>
                </c:pt>
                <c:pt idx="9">
                  <c:v>Rakousko</c:v>
                </c:pt>
                <c:pt idx="10">
                  <c:v>Maďarsko</c:v>
                </c:pt>
                <c:pt idx="11">
                  <c:v>Finsko</c:v>
                </c:pt>
                <c:pt idx="12">
                  <c:v>Slovinsko</c:v>
                </c:pt>
                <c:pt idx="13">
                  <c:v>Chorvatsko</c:v>
                </c:pt>
                <c:pt idx="14">
                  <c:v>Německo</c:v>
                </c:pt>
                <c:pt idx="15">
                  <c:v>Slovensko</c:v>
                </c:pt>
                <c:pt idx="16">
                  <c:v>Malta</c:v>
                </c:pt>
                <c:pt idx="17">
                  <c:v>Nizozemsko</c:v>
                </c:pt>
                <c:pt idx="18">
                  <c:v>Polsko</c:v>
                </c:pt>
                <c:pt idx="19">
                  <c:v>Rumunsko</c:v>
                </c:pt>
                <c:pt idx="20">
                  <c:v>Irsko</c:v>
                </c:pt>
                <c:pt idx="21">
                  <c:v>Česko</c:v>
                </c:pt>
                <c:pt idx="22">
                  <c:v>Lotyšsko</c:v>
                </c:pt>
                <c:pt idx="23">
                  <c:v>Litva</c:v>
                </c:pt>
                <c:pt idx="24">
                  <c:v>Dánsko</c:v>
                </c:pt>
                <c:pt idx="25">
                  <c:v>Lucembursko</c:v>
                </c:pt>
                <c:pt idx="26">
                  <c:v>Bulharsko</c:v>
                </c:pt>
                <c:pt idx="27">
                  <c:v>Estonsko</c:v>
                </c:pt>
              </c:strCache>
            </c:strRef>
          </c:cat>
          <c:val>
            <c:numRef>
              <c:f>'Veřejný dluh'!$G$11:$G$38</c:f>
              <c:numCache>
                <c:formatCode>#\ ##0.##########</c:formatCode>
                <c:ptCount val="28"/>
                <c:pt idx="0">
                  <c:v>107.4</c:v>
                </c:pt>
                <c:pt idx="1">
                  <c:v>106.6</c:v>
                </c:pt>
                <c:pt idx="2">
                  <c:v>72.2</c:v>
                </c:pt>
                <c:pt idx="3">
                  <c:v>67.400000000000006</c:v>
                </c:pt>
                <c:pt idx="4">
                  <c:v>42.4</c:v>
                </c:pt>
                <c:pt idx="5">
                  <c:v>95.1</c:v>
                </c:pt>
                <c:pt idx="6">
                  <c:v>70.3</c:v>
                </c:pt>
                <c:pt idx="7">
                  <c:v>63.4</c:v>
                </c:pt>
                <c:pt idx="8">
                  <c:v>67.099999999999994</c:v>
                </c:pt>
                <c:pt idx="9">
                  <c:v>68.599999999999994</c:v>
                </c:pt>
                <c:pt idx="10">
                  <c:v>60.5</c:v>
                </c:pt>
                <c:pt idx="11">
                  <c:v>42.1</c:v>
                </c:pt>
                <c:pt idx="12">
                  <c:v>26.4</c:v>
                </c:pt>
                <c:pt idx="13">
                  <c:v>40.9</c:v>
                </c:pt>
                <c:pt idx="14">
                  <c:v>67.5</c:v>
                </c:pt>
                <c:pt idx="15">
                  <c:v>34.700000000000003</c:v>
                </c:pt>
                <c:pt idx="16">
                  <c:v>69.900000000000006</c:v>
                </c:pt>
                <c:pt idx="17">
                  <c:v>49.8</c:v>
                </c:pt>
                <c:pt idx="18">
                  <c:v>46.6</c:v>
                </c:pt>
                <c:pt idx="19">
                  <c:v>15.9</c:v>
                </c:pt>
                <c:pt idx="20">
                  <c:v>26.1</c:v>
                </c:pt>
                <c:pt idx="21">
                  <c:v>27.7</c:v>
                </c:pt>
                <c:pt idx="22">
                  <c:v>11.9</c:v>
                </c:pt>
                <c:pt idx="23">
                  <c:v>17.600000000000001</c:v>
                </c:pt>
                <c:pt idx="24">
                  <c:v>37.4</c:v>
                </c:pt>
                <c:pt idx="25" formatCode="#\ ##0.0">
                  <c:v>8</c:v>
                </c:pt>
                <c:pt idx="26">
                  <c:v>26.6</c:v>
                </c:pt>
                <c:pt idx="27">
                  <c:v>4.7</c:v>
                </c:pt>
              </c:numCache>
            </c:numRef>
          </c:val>
          <c:smooth val="0"/>
          <c:extLst>
            <c:ext xmlns:c16="http://schemas.microsoft.com/office/drawing/2014/chart" uri="{C3380CC4-5D6E-409C-BE32-E72D297353CC}">
              <c16:uniqueId val="{0000000A-D868-42A2-9DBE-D98C10461879}"/>
            </c:ext>
          </c:extLst>
        </c:ser>
        <c:dLbls>
          <c:showLegendKey val="0"/>
          <c:showVal val="0"/>
          <c:showCatName val="0"/>
          <c:showSerName val="0"/>
          <c:showPercent val="0"/>
          <c:showBubbleSize val="0"/>
        </c:dLbls>
        <c:marker val="1"/>
        <c:smooth val="0"/>
        <c:axId val="33460751"/>
        <c:axId val="33466991"/>
      </c:lineChart>
      <c:catAx>
        <c:axId val="33460751"/>
        <c:scaling>
          <c:orientation val="minMax"/>
        </c:scaling>
        <c:delete val="0"/>
        <c:axPos val="b"/>
        <c:numFmt formatCode="General" sourceLinked="1"/>
        <c:majorTickMark val="none"/>
        <c:minorTickMark val="none"/>
        <c:tickLblPos val="nextTo"/>
        <c:spPr>
          <a:noFill/>
          <a:ln w="6350" cap="flat" cmpd="sng" algn="ctr">
            <a:solidFill>
              <a:schemeClr val="tx1"/>
            </a:solidFill>
            <a:round/>
          </a:ln>
          <a:effectLst/>
        </c:spPr>
        <c:txPr>
          <a:bodyPr rot="-5400000" spcFirstLastPara="1" vertOverflow="ellipsis" wrap="square" anchor="ctr" anchorCtr="1"/>
          <a:lstStyle/>
          <a:p>
            <a:pPr>
              <a:defRPr sz="900" b="0" i="0" u="none" strike="noStrike" kern="1200" baseline="0">
                <a:solidFill>
                  <a:schemeClr val="tx1"/>
                </a:solidFill>
                <a:latin typeface="+mn-lt"/>
                <a:ea typeface="+mn-ea"/>
                <a:cs typeface="+mn-cs"/>
              </a:defRPr>
            </a:pPr>
            <a:endParaRPr lang="cs-CZ"/>
          </a:p>
        </c:txPr>
        <c:crossAx val="33466991"/>
        <c:crosses val="autoZero"/>
        <c:auto val="1"/>
        <c:lblAlgn val="ctr"/>
        <c:lblOffset val="100"/>
        <c:tickLblSkip val="1"/>
        <c:noMultiLvlLbl val="0"/>
      </c:catAx>
      <c:valAx>
        <c:axId val="33466991"/>
        <c:scaling>
          <c:orientation val="minMax"/>
          <c:max val="220"/>
        </c:scaling>
        <c:delete val="0"/>
        <c:axPos val="l"/>
        <c:majorGridlines>
          <c:spPr>
            <a:ln w="6350" cap="flat" cmpd="sng" algn="ctr">
              <a:solidFill>
                <a:schemeClr val="tx1"/>
              </a:solidFill>
              <a:prstDash val="dash"/>
              <a:round/>
            </a:ln>
            <a:effectLst/>
          </c:spPr>
        </c:majorGridlines>
        <c:numFmt formatCode="General"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cs-CZ"/>
          </a:p>
        </c:txPr>
        <c:crossAx val="33460751"/>
        <c:crosses val="autoZero"/>
        <c:crossBetween val="between"/>
        <c:majorUnit val="20"/>
      </c:valAx>
    </c:plotArea>
    <c:legend>
      <c:legendPos val="b"/>
      <c:layout>
        <c:manualLayout>
          <c:xMode val="edge"/>
          <c:yMode val="edge"/>
          <c:x val="4.8431388376270429E-4"/>
          <c:y val="0.94768882595392823"/>
          <c:w val="0.99507941015667001"/>
          <c:h val="5.2311174046071759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cs-CZ"/>
        </a:p>
      </c:txPr>
    </c:legend>
    <c:plotVisOnly val="1"/>
    <c:dispBlanksAs val="gap"/>
    <c:showDLblsOverMax val="0"/>
    <c:extLst/>
  </c:chart>
  <c:spPr>
    <a:solidFill>
      <a:schemeClr val="bg1"/>
    </a:solidFill>
    <a:ln w="9525" cap="flat" cmpd="sng" algn="ctr">
      <a:noFill/>
      <a:round/>
    </a:ln>
    <a:effectLst/>
  </c:spPr>
  <c:txPr>
    <a:bodyPr/>
    <a:lstStyle/>
    <a:p>
      <a:pPr>
        <a:defRPr/>
      </a:pPr>
      <a:endParaRPr lang="cs-CZ"/>
    </a:p>
  </c:tx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667425642278558"/>
          <c:y val="4.0404040404040407E-2"/>
          <c:w val="0.89105213417007989"/>
          <c:h val="0.79064026087648132"/>
        </c:manualLayout>
      </c:layout>
      <c:barChart>
        <c:barDir val="col"/>
        <c:grouping val="clustered"/>
        <c:varyColors val="0"/>
        <c:ser>
          <c:idx val="0"/>
          <c:order val="0"/>
          <c:spPr>
            <a:solidFill>
              <a:schemeClr val="accent1"/>
            </a:solidFill>
            <a:ln>
              <a:noFill/>
            </a:ln>
            <a:effectLst/>
          </c:spPr>
          <c:invertIfNegative val="0"/>
          <c:cat>
            <c:numRef>
              <c:f>'Veřejný rozpočet'!$H$3:$AJ$3</c:f>
              <c:numCache>
                <c:formatCode>General</c:formatCode>
                <c:ptCount val="29"/>
                <c:pt idx="0">
                  <c:v>1995</c:v>
                </c:pt>
                <c:pt idx="1">
                  <c:v>1996</c:v>
                </c:pt>
                <c:pt idx="2">
                  <c:v>1997</c:v>
                </c:pt>
                <c:pt idx="3">
                  <c:v>1998</c:v>
                </c:pt>
                <c:pt idx="4">
                  <c:v>1999</c:v>
                </c:pt>
                <c:pt idx="5">
                  <c:v>2000</c:v>
                </c:pt>
                <c:pt idx="6">
                  <c:v>2001</c:v>
                </c:pt>
                <c:pt idx="7">
                  <c:v>2002</c:v>
                </c:pt>
                <c:pt idx="8">
                  <c:v>2003</c:v>
                </c:pt>
                <c:pt idx="9">
                  <c:v>2004</c:v>
                </c:pt>
                <c:pt idx="10">
                  <c:v>2005</c:v>
                </c:pt>
                <c:pt idx="11">
                  <c:v>2006</c:v>
                </c:pt>
                <c:pt idx="12">
                  <c:v>2007</c:v>
                </c:pt>
                <c:pt idx="13">
                  <c:v>2008</c:v>
                </c:pt>
                <c:pt idx="14">
                  <c:v>2009</c:v>
                </c:pt>
                <c:pt idx="15">
                  <c:v>2010</c:v>
                </c:pt>
                <c:pt idx="16">
                  <c:v>2011</c:v>
                </c:pt>
                <c:pt idx="17">
                  <c:v>2012</c:v>
                </c:pt>
                <c:pt idx="18">
                  <c:v>2013</c:v>
                </c:pt>
                <c:pt idx="19">
                  <c:v>2014</c:v>
                </c:pt>
                <c:pt idx="20">
                  <c:v>2015</c:v>
                </c:pt>
                <c:pt idx="21">
                  <c:v>2016</c:v>
                </c:pt>
                <c:pt idx="22">
                  <c:v>2017</c:v>
                </c:pt>
                <c:pt idx="23">
                  <c:v>2018</c:v>
                </c:pt>
                <c:pt idx="24">
                  <c:v>2019</c:v>
                </c:pt>
                <c:pt idx="25">
                  <c:v>2020</c:v>
                </c:pt>
                <c:pt idx="26">
                  <c:v>2021</c:v>
                </c:pt>
                <c:pt idx="27">
                  <c:v>2022</c:v>
                </c:pt>
                <c:pt idx="28">
                  <c:v>2023</c:v>
                </c:pt>
              </c:numCache>
            </c:numRef>
          </c:cat>
          <c:val>
            <c:numRef>
              <c:f>'Veřejný rozpočet'!$H$6:$AJ$6</c:f>
              <c:numCache>
                <c:formatCode>General</c:formatCode>
                <c:ptCount val="29"/>
                <c:pt idx="0">
                  <c:v>-197.483</c:v>
                </c:pt>
                <c:pt idx="1">
                  <c:v>-54.966999999999999</c:v>
                </c:pt>
                <c:pt idx="2">
                  <c:v>-62.578000000000003</c:v>
                </c:pt>
                <c:pt idx="3">
                  <c:v>-89.997</c:v>
                </c:pt>
                <c:pt idx="4">
                  <c:v>-70.477000000000004</c:v>
                </c:pt>
                <c:pt idx="5">
                  <c:v>-85.325000000000003</c:v>
                </c:pt>
                <c:pt idx="6">
                  <c:v>-148.54599999999999</c:v>
                </c:pt>
                <c:pt idx="7">
                  <c:v>-170.91399999999999</c:v>
                </c:pt>
                <c:pt idx="8">
                  <c:v>-193.63300000000001</c:v>
                </c:pt>
                <c:pt idx="9">
                  <c:v>-72.962999999999994</c:v>
                </c:pt>
                <c:pt idx="10">
                  <c:v>-99.441000000000003</c:v>
                </c:pt>
                <c:pt idx="11">
                  <c:v>-75.918999999999997</c:v>
                </c:pt>
                <c:pt idx="12">
                  <c:v>-24.888000000000002</c:v>
                </c:pt>
                <c:pt idx="13">
                  <c:v>-79.41</c:v>
                </c:pt>
                <c:pt idx="14">
                  <c:v>-213.982</c:v>
                </c:pt>
                <c:pt idx="15">
                  <c:v>-165.78399999999999</c:v>
                </c:pt>
                <c:pt idx="16">
                  <c:v>-109.697</c:v>
                </c:pt>
                <c:pt idx="17">
                  <c:v>-159.34899999999999</c:v>
                </c:pt>
                <c:pt idx="18">
                  <c:v>-53.189</c:v>
                </c:pt>
                <c:pt idx="19">
                  <c:v>-90.195999999999998</c:v>
                </c:pt>
                <c:pt idx="20">
                  <c:v>-29.779</c:v>
                </c:pt>
                <c:pt idx="21">
                  <c:v>34.143000000000001</c:v>
                </c:pt>
                <c:pt idx="22">
                  <c:v>76.733000000000004</c:v>
                </c:pt>
                <c:pt idx="23">
                  <c:v>48.292000000000002</c:v>
                </c:pt>
                <c:pt idx="24">
                  <c:v>16.709</c:v>
                </c:pt>
                <c:pt idx="25">
                  <c:v>-329.21600000000001</c:v>
                </c:pt>
                <c:pt idx="26">
                  <c:v>-310.62799999999999</c:v>
                </c:pt>
                <c:pt idx="27">
                  <c:v>-217.93199999999999</c:v>
                </c:pt>
                <c:pt idx="28">
                  <c:v>-239.7</c:v>
                </c:pt>
              </c:numCache>
            </c:numRef>
          </c:val>
          <c:extLst>
            <c:ext xmlns:c16="http://schemas.microsoft.com/office/drawing/2014/chart" uri="{C3380CC4-5D6E-409C-BE32-E72D297353CC}">
              <c16:uniqueId val="{00000000-B09C-4914-906B-C43AEC4521C3}"/>
            </c:ext>
          </c:extLst>
        </c:ser>
        <c:dLbls>
          <c:showLegendKey val="0"/>
          <c:showVal val="0"/>
          <c:showCatName val="0"/>
          <c:showSerName val="0"/>
          <c:showPercent val="0"/>
          <c:showBubbleSize val="0"/>
        </c:dLbls>
        <c:gapWidth val="150"/>
        <c:axId val="751413120"/>
        <c:axId val="751415616"/>
      </c:barChart>
      <c:catAx>
        <c:axId val="751413120"/>
        <c:scaling>
          <c:orientation val="minMax"/>
        </c:scaling>
        <c:delete val="0"/>
        <c:axPos val="b"/>
        <c:numFmt formatCode="General" sourceLinked="1"/>
        <c:majorTickMark val="none"/>
        <c:minorTickMark val="none"/>
        <c:tickLblPos val="low"/>
        <c:spPr>
          <a:noFill/>
          <a:ln w="9525" cap="flat" cmpd="sng" algn="ctr">
            <a:solidFill>
              <a:schemeClr val="tx1"/>
            </a:solidFill>
            <a:round/>
          </a:ln>
          <a:effectLst/>
        </c:spPr>
        <c:txPr>
          <a:bodyPr rot="-5400000" spcFirstLastPara="1" vertOverflow="ellipsis" wrap="square" anchor="ctr" anchorCtr="1"/>
          <a:lstStyle/>
          <a:p>
            <a:pPr>
              <a:defRPr sz="900" b="0" i="0" u="none" strike="noStrike" kern="1200" baseline="0">
                <a:solidFill>
                  <a:schemeClr val="tx1"/>
                </a:solidFill>
                <a:latin typeface="+mn-lt"/>
                <a:ea typeface="+mn-ea"/>
                <a:cs typeface="+mn-cs"/>
              </a:defRPr>
            </a:pPr>
            <a:endParaRPr lang="cs-CZ"/>
          </a:p>
        </c:txPr>
        <c:crossAx val="751415616"/>
        <c:crosses val="autoZero"/>
        <c:auto val="1"/>
        <c:lblAlgn val="ctr"/>
        <c:lblOffset val="100"/>
        <c:tickLblSkip val="1"/>
        <c:noMultiLvlLbl val="0"/>
      </c:catAx>
      <c:valAx>
        <c:axId val="751415616"/>
        <c:scaling>
          <c:orientation val="minMax"/>
        </c:scaling>
        <c:delete val="0"/>
        <c:axPos val="l"/>
        <c:majorGridlines>
          <c:spPr>
            <a:ln w="9525" cap="flat" cmpd="sng" algn="ctr">
              <a:solidFill>
                <a:schemeClr val="tx1"/>
              </a:solidFill>
              <a:prstDash val="dash"/>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cs-CZ"/>
          </a:p>
        </c:txPr>
        <c:crossAx val="751413120"/>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cs-CZ"/>
    </a:p>
  </c:txPr>
  <c:externalData r:id="rId3">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2664402243837167E-2"/>
          <c:y val="4.2666663408892316E-2"/>
          <c:w val="0.8535220612990001"/>
          <c:h val="0.75486734393759247"/>
        </c:manualLayout>
      </c:layout>
      <c:lineChart>
        <c:grouping val="standard"/>
        <c:varyColors val="0"/>
        <c:ser>
          <c:idx val="0"/>
          <c:order val="0"/>
          <c:tx>
            <c:strRef>
              <c:f>'Spotřeb. ceny'!$A$25</c:f>
              <c:strCache>
                <c:ptCount val="1"/>
                <c:pt idx="0">
                  <c:v>míra inflace</c:v>
                </c:pt>
              </c:strCache>
            </c:strRef>
          </c:tx>
          <c:spPr>
            <a:ln w="12700" cap="rnd">
              <a:solidFill>
                <a:schemeClr val="accent1"/>
              </a:solidFill>
              <a:round/>
            </a:ln>
            <a:effectLst/>
          </c:spPr>
          <c:marker>
            <c:symbol val="none"/>
          </c:marker>
          <c:cat>
            <c:numRef>
              <c:f>'Spotřeb. ceny'!$B$24:$AI$24</c:f>
              <c:numCache>
                <c:formatCode>General</c:formatCode>
                <c:ptCount val="34"/>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pt idx="31">
                  <c:v>2021</c:v>
                </c:pt>
                <c:pt idx="32">
                  <c:v>2022</c:v>
                </c:pt>
                <c:pt idx="33">
                  <c:v>2023</c:v>
                </c:pt>
              </c:numCache>
            </c:numRef>
          </c:cat>
          <c:val>
            <c:numRef>
              <c:f>'Spotřeb. ceny'!$B$25:$AI$25</c:f>
              <c:numCache>
                <c:formatCode>General</c:formatCode>
                <c:ptCount val="34"/>
                <c:pt idx="0">
                  <c:v>9.6999999999999993</c:v>
                </c:pt>
                <c:pt idx="1">
                  <c:v>56.6</c:v>
                </c:pt>
                <c:pt idx="2">
                  <c:v>11.1</c:v>
                </c:pt>
                <c:pt idx="3">
                  <c:v>20.8</c:v>
                </c:pt>
                <c:pt idx="4">
                  <c:v>10</c:v>
                </c:pt>
                <c:pt idx="5">
                  <c:v>9.1</c:v>
                </c:pt>
                <c:pt idx="6">
                  <c:v>8.8000000000000007</c:v>
                </c:pt>
                <c:pt idx="7">
                  <c:v>8.5</c:v>
                </c:pt>
                <c:pt idx="8">
                  <c:v>10.7</c:v>
                </c:pt>
                <c:pt idx="9">
                  <c:v>2.1</c:v>
                </c:pt>
                <c:pt idx="10">
                  <c:v>2.5</c:v>
                </c:pt>
                <c:pt idx="11">
                  <c:v>4.7</c:v>
                </c:pt>
                <c:pt idx="12">
                  <c:v>1.8</c:v>
                </c:pt>
                <c:pt idx="13">
                  <c:v>0.1</c:v>
                </c:pt>
                <c:pt idx="14">
                  <c:v>2.8</c:v>
                </c:pt>
                <c:pt idx="15">
                  <c:v>1.9</c:v>
                </c:pt>
                <c:pt idx="16">
                  <c:v>2.5</c:v>
                </c:pt>
                <c:pt idx="17">
                  <c:v>2.8</c:v>
                </c:pt>
                <c:pt idx="18">
                  <c:v>6.3</c:v>
                </c:pt>
                <c:pt idx="19">
                  <c:v>1</c:v>
                </c:pt>
                <c:pt idx="20">
                  <c:v>1.5</c:v>
                </c:pt>
                <c:pt idx="21">
                  <c:v>1.9</c:v>
                </c:pt>
                <c:pt idx="22">
                  <c:v>3.3</c:v>
                </c:pt>
                <c:pt idx="23">
                  <c:v>1.4</c:v>
                </c:pt>
                <c:pt idx="24">
                  <c:v>0.4</c:v>
                </c:pt>
                <c:pt idx="25">
                  <c:v>0.3</c:v>
                </c:pt>
                <c:pt idx="26">
                  <c:v>0.7</c:v>
                </c:pt>
                <c:pt idx="27">
                  <c:v>2.5</c:v>
                </c:pt>
                <c:pt idx="28">
                  <c:v>2.1</c:v>
                </c:pt>
                <c:pt idx="29">
                  <c:v>2.8</c:v>
                </c:pt>
                <c:pt idx="30">
                  <c:v>3.2</c:v>
                </c:pt>
                <c:pt idx="31">
                  <c:v>3.8</c:v>
                </c:pt>
                <c:pt idx="32">
                  <c:v>15.1</c:v>
                </c:pt>
                <c:pt idx="33">
                  <c:v>10.7</c:v>
                </c:pt>
              </c:numCache>
            </c:numRef>
          </c:val>
          <c:smooth val="0"/>
          <c:extLst>
            <c:ext xmlns:c16="http://schemas.microsoft.com/office/drawing/2014/chart" uri="{C3380CC4-5D6E-409C-BE32-E72D297353CC}">
              <c16:uniqueId val="{00000000-2F28-4460-85D5-90B51F842BEC}"/>
            </c:ext>
          </c:extLst>
        </c:ser>
        <c:dLbls>
          <c:showLegendKey val="0"/>
          <c:showVal val="0"/>
          <c:showCatName val="0"/>
          <c:showSerName val="0"/>
          <c:showPercent val="0"/>
          <c:showBubbleSize val="0"/>
        </c:dLbls>
        <c:smooth val="0"/>
        <c:axId val="1757088992"/>
        <c:axId val="1757090240"/>
      </c:lineChart>
      <c:catAx>
        <c:axId val="1757088992"/>
        <c:scaling>
          <c:orientation val="minMax"/>
        </c:scaling>
        <c:delete val="0"/>
        <c:axPos val="b"/>
        <c:numFmt formatCode="General" sourceLinked="1"/>
        <c:majorTickMark val="none"/>
        <c:minorTickMark val="none"/>
        <c:tickLblPos val="nextTo"/>
        <c:spPr>
          <a:noFill/>
          <a:ln w="9525" cap="flat" cmpd="sng" algn="ctr">
            <a:solidFill>
              <a:schemeClr val="tx1"/>
            </a:solidFill>
            <a:round/>
          </a:ln>
          <a:effectLst/>
        </c:spPr>
        <c:txPr>
          <a:bodyPr rot="-5400000" spcFirstLastPara="1" vertOverflow="ellipsis" wrap="square" anchor="ctr" anchorCtr="1"/>
          <a:lstStyle/>
          <a:p>
            <a:pPr>
              <a:defRPr sz="900" b="0" i="0" u="none" strike="noStrike" kern="1200" baseline="0">
                <a:solidFill>
                  <a:schemeClr val="tx1"/>
                </a:solidFill>
                <a:latin typeface="+mn-lt"/>
                <a:ea typeface="+mn-ea"/>
                <a:cs typeface="+mn-cs"/>
              </a:defRPr>
            </a:pPr>
            <a:endParaRPr lang="cs-CZ"/>
          </a:p>
        </c:txPr>
        <c:crossAx val="1757090240"/>
        <c:crosses val="autoZero"/>
        <c:auto val="1"/>
        <c:lblAlgn val="ctr"/>
        <c:lblOffset val="100"/>
        <c:noMultiLvlLbl val="0"/>
      </c:catAx>
      <c:valAx>
        <c:axId val="1757090240"/>
        <c:scaling>
          <c:orientation val="minMax"/>
        </c:scaling>
        <c:delete val="0"/>
        <c:axPos val="l"/>
        <c:majorGridlines>
          <c:spPr>
            <a:ln w="6350" cap="flat" cmpd="sng" algn="ctr">
              <a:solidFill>
                <a:schemeClr val="tx1"/>
              </a:solidFill>
              <a:prstDash val="dash"/>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cs-CZ"/>
          </a:p>
        </c:txPr>
        <c:crossAx val="1757088992"/>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cs-CZ"/>
    </a:p>
  </c:txPr>
  <c:externalData r:id="rId3">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6567980749815764E-2"/>
          <c:y val="6.7407427065449707E-2"/>
          <c:w val="0.90776535190985175"/>
          <c:h val="0.56536319689261361"/>
        </c:manualLayout>
      </c:layout>
      <c:barChart>
        <c:barDir val="col"/>
        <c:grouping val="clustered"/>
        <c:varyColors val="0"/>
        <c:ser>
          <c:idx val="8"/>
          <c:order val="3"/>
          <c:tx>
            <c:strRef>
              <c:f>PZI_HDP!$J$11</c:f>
              <c:strCache>
                <c:ptCount val="1"/>
                <c:pt idx="0">
                  <c:v>2021</c:v>
                </c:pt>
              </c:strCache>
            </c:strRef>
          </c:tx>
          <c:spPr>
            <a:solidFill>
              <a:schemeClr val="tx2"/>
            </a:solidFill>
            <a:ln>
              <a:noFill/>
            </a:ln>
            <a:effectLst/>
          </c:spPr>
          <c:invertIfNegative val="0"/>
          <c:cat>
            <c:strRef>
              <c:f>PZI_HDP!$A$12:$A$39</c:f>
              <c:strCache>
                <c:ptCount val="28"/>
                <c:pt idx="0">
                  <c:v>Lucembursko</c:v>
                </c:pt>
                <c:pt idx="1">
                  <c:v>Kypr</c:v>
                </c:pt>
                <c:pt idx="2">
                  <c:v>Malta</c:v>
                </c:pt>
                <c:pt idx="3">
                  <c:v>Nizozemsko</c:v>
                </c:pt>
                <c:pt idx="4">
                  <c:v>Irsko</c:v>
                </c:pt>
                <c:pt idx="5">
                  <c:v>Maďarsko</c:v>
                </c:pt>
                <c:pt idx="6">
                  <c:v>Belgie</c:v>
                </c:pt>
                <c:pt idx="7">
                  <c:v>Estonsko</c:v>
                </c:pt>
                <c:pt idx="8">
                  <c:v>EU</c:v>
                </c:pt>
                <c:pt idx="9">
                  <c:v>Portugalsko</c:v>
                </c:pt>
                <c:pt idx="10">
                  <c:v>Česko</c:v>
                </c:pt>
                <c:pt idx="11">
                  <c:v>Bulharsko</c:v>
                </c:pt>
                <c:pt idx="12">
                  <c:v>Švédsko</c:v>
                </c:pt>
                <c:pt idx="13">
                  <c:v>Lotyšsko</c:v>
                </c:pt>
                <c:pt idx="14">
                  <c:v>Španělsko</c:v>
                </c:pt>
                <c:pt idx="15">
                  <c:v>Slovensko</c:v>
                </c:pt>
                <c:pt idx="16">
                  <c:v>Litva</c:v>
                </c:pt>
                <c:pt idx="17">
                  <c:v>Rakousko</c:v>
                </c:pt>
                <c:pt idx="18">
                  <c:v>Chorvatsko</c:v>
                </c:pt>
                <c:pt idx="19">
                  <c:v>Polsko</c:v>
                </c:pt>
                <c:pt idx="20">
                  <c:v>Rumunsko</c:v>
                </c:pt>
                <c:pt idx="21">
                  <c:v>Dánsko</c:v>
                </c:pt>
                <c:pt idx="22">
                  <c:v>Slovinsko</c:v>
                </c:pt>
                <c:pt idx="23">
                  <c:v>Francie</c:v>
                </c:pt>
                <c:pt idx="24">
                  <c:v>Finsko</c:v>
                </c:pt>
                <c:pt idx="25">
                  <c:v>Německo</c:v>
                </c:pt>
                <c:pt idx="26">
                  <c:v>Itálie</c:v>
                </c:pt>
                <c:pt idx="27">
                  <c:v>Řecko</c:v>
                </c:pt>
              </c:strCache>
            </c:strRef>
          </c:cat>
          <c:val>
            <c:numRef>
              <c:f>PZI_HDP!$J$12:$J$39</c:f>
              <c:numCache>
                <c:formatCode>#\ ##0.##########</c:formatCode>
                <c:ptCount val="28"/>
                <c:pt idx="0" formatCode="#\ ##0.0">
                  <c:v>4063</c:v>
                </c:pt>
                <c:pt idx="1">
                  <c:v>1562.3</c:v>
                </c:pt>
                <c:pt idx="2">
                  <c:v>1366.1</c:v>
                </c:pt>
                <c:pt idx="3">
                  <c:v>446.6</c:v>
                </c:pt>
                <c:pt idx="4">
                  <c:v>283.39999999999998</c:v>
                </c:pt>
                <c:pt idx="5">
                  <c:v>205.7</c:v>
                </c:pt>
                <c:pt idx="6">
                  <c:v>106.4</c:v>
                </c:pt>
                <c:pt idx="7">
                  <c:v>99.5</c:v>
                </c:pt>
                <c:pt idx="8">
                  <c:v>96.7</c:v>
                </c:pt>
                <c:pt idx="9">
                  <c:v>74.5</c:v>
                </c:pt>
                <c:pt idx="10">
                  <c:v>74.3</c:v>
                </c:pt>
                <c:pt idx="11" formatCode="#\ ##0.0">
                  <c:v>71</c:v>
                </c:pt>
                <c:pt idx="12">
                  <c:v>67.599999999999994</c:v>
                </c:pt>
                <c:pt idx="13" formatCode="#\ ##0.0">
                  <c:v>63</c:v>
                </c:pt>
                <c:pt idx="14">
                  <c:v>60.1</c:v>
                </c:pt>
                <c:pt idx="15">
                  <c:v>53.2</c:v>
                </c:pt>
                <c:pt idx="16">
                  <c:v>48.3</c:v>
                </c:pt>
                <c:pt idx="17">
                  <c:v>46.7</c:v>
                </c:pt>
                <c:pt idx="18">
                  <c:v>46.5</c:v>
                </c:pt>
                <c:pt idx="19">
                  <c:v>41.7</c:v>
                </c:pt>
                <c:pt idx="20">
                  <c:v>41.6</c:v>
                </c:pt>
                <c:pt idx="21">
                  <c:v>38.4</c:v>
                </c:pt>
                <c:pt idx="22">
                  <c:v>35.200000000000003</c:v>
                </c:pt>
                <c:pt idx="23">
                  <c:v>33.799999999999997</c:v>
                </c:pt>
                <c:pt idx="24">
                  <c:v>30.3</c:v>
                </c:pt>
                <c:pt idx="25">
                  <c:v>27.4</c:v>
                </c:pt>
                <c:pt idx="26">
                  <c:v>22.1</c:v>
                </c:pt>
                <c:pt idx="27">
                  <c:v>20.5</c:v>
                </c:pt>
              </c:numCache>
            </c:numRef>
          </c:val>
          <c:extLst>
            <c:ext xmlns:c16="http://schemas.microsoft.com/office/drawing/2014/chart" uri="{C3380CC4-5D6E-409C-BE32-E72D297353CC}">
              <c16:uniqueId val="{00000000-CD9D-42F9-A618-482C807488F6}"/>
            </c:ext>
          </c:extLst>
        </c:ser>
        <c:dLbls>
          <c:showLegendKey val="0"/>
          <c:showVal val="0"/>
          <c:showCatName val="0"/>
          <c:showSerName val="0"/>
          <c:showPercent val="0"/>
          <c:showBubbleSize val="0"/>
        </c:dLbls>
        <c:gapWidth val="194"/>
        <c:axId val="1815427119"/>
        <c:axId val="1815418383"/>
        <c:extLst/>
      </c:barChart>
      <c:lineChart>
        <c:grouping val="standard"/>
        <c:varyColors val="0"/>
        <c:ser>
          <c:idx val="6"/>
          <c:order val="0"/>
          <c:tx>
            <c:strRef>
              <c:f>PZI_HDP!$H$11</c:f>
              <c:strCache>
                <c:ptCount val="1"/>
                <c:pt idx="0">
                  <c:v>2019</c:v>
                </c:pt>
              </c:strCache>
            </c:strRef>
          </c:tx>
          <c:spPr>
            <a:ln w="28575" cap="rnd">
              <a:noFill/>
              <a:round/>
            </a:ln>
            <a:effectLst/>
          </c:spPr>
          <c:marker>
            <c:symbol val="diamond"/>
            <c:size val="3"/>
            <c:spPr>
              <a:solidFill>
                <a:schemeClr val="accent6"/>
              </a:solidFill>
              <a:ln w="9525">
                <a:noFill/>
              </a:ln>
              <a:effectLst/>
            </c:spPr>
          </c:marker>
          <c:cat>
            <c:strRef>
              <c:f>PZI_HDP!$A$12:$A$39</c:f>
              <c:strCache>
                <c:ptCount val="28"/>
                <c:pt idx="0">
                  <c:v>Lucembursko</c:v>
                </c:pt>
                <c:pt idx="1">
                  <c:v>Kypr</c:v>
                </c:pt>
                <c:pt idx="2">
                  <c:v>Malta</c:v>
                </c:pt>
                <c:pt idx="3">
                  <c:v>Nizozemsko</c:v>
                </c:pt>
                <c:pt idx="4">
                  <c:v>Irsko</c:v>
                </c:pt>
                <c:pt idx="5">
                  <c:v>Maďarsko</c:v>
                </c:pt>
                <c:pt idx="6">
                  <c:v>Belgie</c:v>
                </c:pt>
                <c:pt idx="7">
                  <c:v>Estonsko</c:v>
                </c:pt>
                <c:pt idx="8">
                  <c:v>EU</c:v>
                </c:pt>
                <c:pt idx="9">
                  <c:v>Portugalsko</c:v>
                </c:pt>
                <c:pt idx="10">
                  <c:v>Česko</c:v>
                </c:pt>
                <c:pt idx="11">
                  <c:v>Bulharsko</c:v>
                </c:pt>
                <c:pt idx="12">
                  <c:v>Švédsko</c:v>
                </c:pt>
                <c:pt idx="13">
                  <c:v>Lotyšsko</c:v>
                </c:pt>
                <c:pt idx="14">
                  <c:v>Španělsko</c:v>
                </c:pt>
                <c:pt idx="15">
                  <c:v>Slovensko</c:v>
                </c:pt>
                <c:pt idx="16">
                  <c:v>Litva</c:v>
                </c:pt>
                <c:pt idx="17">
                  <c:v>Rakousko</c:v>
                </c:pt>
                <c:pt idx="18">
                  <c:v>Chorvatsko</c:v>
                </c:pt>
                <c:pt idx="19">
                  <c:v>Polsko</c:v>
                </c:pt>
                <c:pt idx="20">
                  <c:v>Rumunsko</c:v>
                </c:pt>
                <c:pt idx="21">
                  <c:v>Dánsko</c:v>
                </c:pt>
                <c:pt idx="22">
                  <c:v>Slovinsko</c:v>
                </c:pt>
                <c:pt idx="23">
                  <c:v>Francie</c:v>
                </c:pt>
                <c:pt idx="24">
                  <c:v>Finsko</c:v>
                </c:pt>
                <c:pt idx="25">
                  <c:v>Německo</c:v>
                </c:pt>
                <c:pt idx="26">
                  <c:v>Itálie</c:v>
                </c:pt>
                <c:pt idx="27">
                  <c:v>Řecko</c:v>
                </c:pt>
              </c:strCache>
            </c:strRef>
          </c:cat>
          <c:val>
            <c:numRef>
              <c:f>PZI_HDP!$H$12:$H$39</c:f>
              <c:numCache>
                <c:formatCode>#\ ##0.##########</c:formatCode>
                <c:ptCount val="28"/>
                <c:pt idx="0" formatCode="#\ ##0.0">
                  <c:v>5004</c:v>
                </c:pt>
                <c:pt idx="1">
                  <c:v>1850.3</c:v>
                </c:pt>
                <c:pt idx="2">
                  <c:v>1324.9</c:v>
                </c:pt>
                <c:pt idx="3">
                  <c:v>498.8</c:v>
                </c:pt>
                <c:pt idx="4">
                  <c:v>302.7</c:v>
                </c:pt>
                <c:pt idx="5">
                  <c:v>145.6</c:v>
                </c:pt>
                <c:pt idx="6">
                  <c:v>114.2</c:v>
                </c:pt>
                <c:pt idx="7">
                  <c:v>90.1</c:v>
                </c:pt>
                <c:pt idx="8">
                  <c:v>98.9</c:v>
                </c:pt>
                <c:pt idx="9">
                  <c:v>68.599999999999994</c:v>
                </c:pt>
                <c:pt idx="10">
                  <c:v>67.599999999999994</c:v>
                </c:pt>
                <c:pt idx="11">
                  <c:v>74.8</c:v>
                </c:pt>
                <c:pt idx="12">
                  <c:v>64.900000000000006</c:v>
                </c:pt>
                <c:pt idx="13">
                  <c:v>52.2</c:v>
                </c:pt>
                <c:pt idx="14">
                  <c:v>55.5</c:v>
                </c:pt>
                <c:pt idx="15" formatCode="#,##0">
                  <c:v>56.5</c:v>
                </c:pt>
                <c:pt idx="16">
                  <c:v>42.3</c:v>
                </c:pt>
                <c:pt idx="17">
                  <c:v>42.5</c:v>
                </c:pt>
                <c:pt idx="18" formatCode="#\ ##0.0">
                  <c:v>45</c:v>
                </c:pt>
                <c:pt idx="19">
                  <c:v>40.4</c:v>
                </c:pt>
                <c:pt idx="20">
                  <c:v>39.4</c:v>
                </c:pt>
                <c:pt idx="21">
                  <c:v>40.9</c:v>
                </c:pt>
                <c:pt idx="22">
                  <c:v>33.299999999999997</c:v>
                </c:pt>
                <c:pt idx="23">
                  <c:v>31.2</c:v>
                </c:pt>
                <c:pt idx="24">
                  <c:v>31.8</c:v>
                </c:pt>
                <c:pt idx="25">
                  <c:v>24.7</c:v>
                </c:pt>
                <c:pt idx="26" formatCode="#\ ##0.0">
                  <c:v>22</c:v>
                </c:pt>
                <c:pt idx="27" formatCode="#,##0">
                  <c:v>18</c:v>
                </c:pt>
              </c:numCache>
            </c:numRef>
          </c:val>
          <c:smooth val="0"/>
          <c:extLst>
            <c:ext xmlns:c16="http://schemas.microsoft.com/office/drawing/2014/chart" uri="{C3380CC4-5D6E-409C-BE32-E72D297353CC}">
              <c16:uniqueId val="{00000001-CD9D-42F9-A618-482C807488F6}"/>
            </c:ext>
          </c:extLst>
        </c:ser>
        <c:ser>
          <c:idx val="3"/>
          <c:order val="1"/>
          <c:tx>
            <c:strRef>
              <c:f>PZI_HDP!$E$11</c:f>
              <c:strCache>
                <c:ptCount val="1"/>
                <c:pt idx="0">
                  <c:v>2016</c:v>
                </c:pt>
              </c:strCache>
            </c:strRef>
          </c:tx>
          <c:spPr>
            <a:ln w="28575" cap="rnd">
              <a:noFill/>
              <a:round/>
            </a:ln>
            <a:effectLst/>
          </c:spPr>
          <c:marker>
            <c:symbol val="triangle"/>
            <c:size val="3"/>
            <c:spPr>
              <a:solidFill>
                <a:schemeClr val="accent4"/>
              </a:solidFill>
              <a:ln w="9525">
                <a:noFill/>
              </a:ln>
              <a:effectLst/>
            </c:spPr>
          </c:marker>
          <c:cat>
            <c:strRef>
              <c:f>PZI_HDP!$A$12:$A$39</c:f>
              <c:strCache>
                <c:ptCount val="28"/>
                <c:pt idx="0">
                  <c:v>Lucembursko</c:v>
                </c:pt>
                <c:pt idx="1">
                  <c:v>Kypr</c:v>
                </c:pt>
                <c:pt idx="2">
                  <c:v>Malta</c:v>
                </c:pt>
                <c:pt idx="3">
                  <c:v>Nizozemsko</c:v>
                </c:pt>
                <c:pt idx="4">
                  <c:v>Irsko</c:v>
                </c:pt>
                <c:pt idx="5">
                  <c:v>Maďarsko</c:v>
                </c:pt>
                <c:pt idx="6">
                  <c:v>Belgie</c:v>
                </c:pt>
                <c:pt idx="7">
                  <c:v>Estonsko</c:v>
                </c:pt>
                <c:pt idx="8">
                  <c:v>EU</c:v>
                </c:pt>
                <c:pt idx="9">
                  <c:v>Portugalsko</c:v>
                </c:pt>
                <c:pt idx="10">
                  <c:v>Česko</c:v>
                </c:pt>
                <c:pt idx="11">
                  <c:v>Bulharsko</c:v>
                </c:pt>
                <c:pt idx="12">
                  <c:v>Švédsko</c:v>
                </c:pt>
                <c:pt idx="13">
                  <c:v>Lotyšsko</c:v>
                </c:pt>
                <c:pt idx="14">
                  <c:v>Španělsko</c:v>
                </c:pt>
                <c:pt idx="15">
                  <c:v>Slovensko</c:v>
                </c:pt>
                <c:pt idx="16">
                  <c:v>Litva</c:v>
                </c:pt>
                <c:pt idx="17">
                  <c:v>Rakousko</c:v>
                </c:pt>
                <c:pt idx="18">
                  <c:v>Chorvatsko</c:v>
                </c:pt>
                <c:pt idx="19">
                  <c:v>Polsko</c:v>
                </c:pt>
                <c:pt idx="20">
                  <c:v>Rumunsko</c:v>
                </c:pt>
                <c:pt idx="21">
                  <c:v>Dánsko</c:v>
                </c:pt>
                <c:pt idx="22">
                  <c:v>Slovinsko</c:v>
                </c:pt>
                <c:pt idx="23">
                  <c:v>Francie</c:v>
                </c:pt>
                <c:pt idx="24">
                  <c:v>Finsko</c:v>
                </c:pt>
                <c:pt idx="25">
                  <c:v>Německo</c:v>
                </c:pt>
                <c:pt idx="26">
                  <c:v>Itálie</c:v>
                </c:pt>
                <c:pt idx="27">
                  <c:v>Řecko</c:v>
                </c:pt>
              </c:strCache>
            </c:strRef>
          </c:cat>
          <c:val>
            <c:numRef>
              <c:f>PZI_HDP!$E$12:$E$39</c:f>
              <c:numCache>
                <c:formatCode>#\ ##0.0</c:formatCode>
                <c:ptCount val="28"/>
                <c:pt idx="0" formatCode="#\ ##0.##########">
                  <c:v>6783.3</c:v>
                </c:pt>
                <c:pt idx="1">
                  <c:v>1058</c:v>
                </c:pt>
                <c:pt idx="2" formatCode="#\ ##0.##########">
                  <c:v>1585.2</c:v>
                </c:pt>
                <c:pt idx="3" formatCode="#\ ##0.##########">
                  <c:v>553.5</c:v>
                </c:pt>
                <c:pt idx="4" formatCode="#\ ##0.##########">
                  <c:v>291.89999999999998</c:v>
                </c:pt>
                <c:pt idx="5" formatCode="#\ ##0.##########">
                  <c:v>198.4</c:v>
                </c:pt>
                <c:pt idx="6" formatCode="#\ ##0.##########">
                  <c:v>115.6</c:v>
                </c:pt>
                <c:pt idx="7" formatCode="#\ ##0.##########">
                  <c:v>86.4</c:v>
                </c:pt>
                <c:pt idx="8" formatCode="#,##0">
                  <c:v>0</c:v>
                </c:pt>
                <c:pt idx="9" formatCode="#\ ##0.##########">
                  <c:v>59.3</c:v>
                </c:pt>
                <c:pt idx="10" formatCode="#\ ##0.##########">
                  <c:v>63.1</c:v>
                </c:pt>
                <c:pt idx="11" formatCode="#\ ##0.##########">
                  <c:v>84.7</c:v>
                </c:pt>
                <c:pt idx="12" formatCode="#\ ##0.##########">
                  <c:v>61.6</c:v>
                </c:pt>
                <c:pt idx="13" formatCode="#\ ##0.##########">
                  <c:v>53.9</c:v>
                </c:pt>
                <c:pt idx="14">
                  <c:v>47</c:v>
                </c:pt>
                <c:pt idx="15" formatCode="#\ ##0.##########">
                  <c:v>55.6</c:v>
                </c:pt>
                <c:pt idx="16" formatCode="#\ ##0.##########">
                  <c:v>35.799999999999997</c:v>
                </c:pt>
                <c:pt idx="17" formatCode="#\ ##0.##########">
                  <c:v>53.6</c:v>
                </c:pt>
                <c:pt idx="18" formatCode="#\ ##0.##########">
                  <c:v>56.1</c:v>
                </c:pt>
                <c:pt idx="19" formatCode="#\ ##0.##########">
                  <c:v>42.2</c:v>
                </c:pt>
                <c:pt idx="20">
                  <c:v>41</c:v>
                </c:pt>
                <c:pt idx="21" formatCode="#\ ##0.##########">
                  <c:v>44.9</c:v>
                </c:pt>
                <c:pt idx="22" formatCode="#\ ##0.##########">
                  <c:v>32.1</c:v>
                </c:pt>
                <c:pt idx="23">
                  <c:v>30</c:v>
                </c:pt>
                <c:pt idx="24" formatCode="#\ ##0.##########">
                  <c:v>35.4</c:v>
                </c:pt>
                <c:pt idx="25" formatCode="#\ ##0.##########">
                  <c:v>23.2</c:v>
                </c:pt>
                <c:pt idx="26" formatCode="#\ ##0.##########">
                  <c:v>19.5</c:v>
                </c:pt>
                <c:pt idx="27" formatCode="#\ ##0.##########">
                  <c:v>13.4</c:v>
                </c:pt>
              </c:numCache>
            </c:numRef>
          </c:val>
          <c:smooth val="0"/>
          <c:extLst>
            <c:ext xmlns:c16="http://schemas.microsoft.com/office/drawing/2014/chart" uri="{C3380CC4-5D6E-409C-BE32-E72D297353CC}">
              <c16:uniqueId val="{00000002-CD9D-42F9-A618-482C807488F6}"/>
            </c:ext>
          </c:extLst>
        </c:ser>
        <c:ser>
          <c:idx val="0"/>
          <c:order val="2"/>
          <c:tx>
            <c:strRef>
              <c:f>PZI_HDP!$B$11</c:f>
              <c:strCache>
                <c:ptCount val="1"/>
                <c:pt idx="0">
                  <c:v>2013</c:v>
                </c:pt>
              </c:strCache>
            </c:strRef>
          </c:tx>
          <c:spPr>
            <a:ln w="28575" cap="sq">
              <a:noFill/>
              <a:round/>
            </a:ln>
            <a:effectLst/>
          </c:spPr>
          <c:marker>
            <c:symbol val="circle"/>
            <c:size val="3"/>
            <c:spPr>
              <a:solidFill>
                <a:schemeClr val="accent5"/>
              </a:solidFill>
              <a:ln w="9525">
                <a:noFill/>
              </a:ln>
              <a:effectLst/>
            </c:spPr>
          </c:marker>
          <c:cat>
            <c:strRef>
              <c:f>PZI_HDP!$A$12:$A$39</c:f>
              <c:strCache>
                <c:ptCount val="28"/>
                <c:pt idx="0">
                  <c:v>Lucembursko</c:v>
                </c:pt>
                <c:pt idx="1">
                  <c:v>Kypr</c:v>
                </c:pt>
                <c:pt idx="2">
                  <c:v>Malta</c:v>
                </c:pt>
                <c:pt idx="3">
                  <c:v>Nizozemsko</c:v>
                </c:pt>
                <c:pt idx="4">
                  <c:v>Irsko</c:v>
                </c:pt>
                <c:pt idx="5">
                  <c:v>Maďarsko</c:v>
                </c:pt>
                <c:pt idx="6">
                  <c:v>Belgie</c:v>
                </c:pt>
                <c:pt idx="7">
                  <c:v>Estonsko</c:v>
                </c:pt>
                <c:pt idx="8">
                  <c:v>EU</c:v>
                </c:pt>
                <c:pt idx="9">
                  <c:v>Portugalsko</c:v>
                </c:pt>
                <c:pt idx="10">
                  <c:v>Česko</c:v>
                </c:pt>
                <c:pt idx="11">
                  <c:v>Bulharsko</c:v>
                </c:pt>
                <c:pt idx="12">
                  <c:v>Švédsko</c:v>
                </c:pt>
                <c:pt idx="13">
                  <c:v>Lotyšsko</c:v>
                </c:pt>
                <c:pt idx="14">
                  <c:v>Španělsko</c:v>
                </c:pt>
                <c:pt idx="15">
                  <c:v>Slovensko</c:v>
                </c:pt>
                <c:pt idx="16">
                  <c:v>Litva</c:v>
                </c:pt>
                <c:pt idx="17">
                  <c:v>Rakousko</c:v>
                </c:pt>
                <c:pt idx="18">
                  <c:v>Chorvatsko</c:v>
                </c:pt>
                <c:pt idx="19">
                  <c:v>Polsko</c:v>
                </c:pt>
                <c:pt idx="20">
                  <c:v>Rumunsko</c:v>
                </c:pt>
                <c:pt idx="21">
                  <c:v>Dánsko</c:v>
                </c:pt>
                <c:pt idx="22">
                  <c:v>Slovinsko</c:v>
                </c:pt>
                <c:pt idx="23">
                  <c:v>Francie</c:v>
                </c:pt>
                <c:pt idx="24">
                  <c:v>Finsko</c:v>
                </c:pt>
                <c:pt idx="25">
                  <c:v>Německo</c:v>
                </c:pt>
                <c:pt idx="26">
                  <c:v>Itálie</c:v>
                </c:pt>
                <c:pt idx="27">
                  <c:v>Řecko</c:v>
                </c:pt>
              </c:strCache>
            </c:strRef>
          </c:cat>
          <c:val>
            <c:numRef>
              <c:f>PZI_HDP!$B$12:$B$39</c:f>
              <c:numCache>
                <c:formatCode>#\ ##0.0</c:formatCode>
                <c:ptCount val="28"/>
                <c:pt idx="0" formatCode="#\ ##0.##########">
                  <c:v>4638.7</c:v>
                </c:pt>
                <c:pt idx="1">
                  <c:v>851</c:v>
                </c:pt>
                <c:pt idx="2" formatCode="#\ ##0.##########">
                  <c:v>1750.9</c:v>
                </c:pt>
                <c:pt idx="3">
                  <c:v>483</c:v>
                </c:pt>
                <c:pt idx="4" formatCode="#\ ##0.##########">
                  <c:v>167.1</c:v>
                </c:pt>
                <c:pt idx="5" formatCode="#\ ##0.##########">
                  <c:v>176.9</c:v>
                </c:pt>
                <c:pt idx="6" formatCode="#\ ##0.##########">
                  <c:v>102.2</c:v>
                </c:pt>
                <c:pt idx="7" formatCode="#\ ##0.##########">
                  <c:v>84.6</c:v>
                </c:pt>
                <c:pt idx="8" formatCode="#,##0">
                  <c:v>0</c:v>
                </c:pt>
                <c:pt idx="9" formatCode="#\ ##0.##########">
                  <c:v>53.3</c:v>
                </c:pt>
                <c:pt idx="10" formatCode="#\ ##0.##########">
                  <c:v>61.7</c:v>
                </c:pt>
                <c:pt idx="11" formatCode="#\ ##0.##########">
                  <c:v>87.5</c:v>
                </c:pt>
                <c:pt idx="12" formatCode="#\ ##0.##########">
                  <c:v>65.2</c:v>
                </c:pt>
                <c:pt idx="13" formatCode="#\ ##0.##########">
                  <c:v>50.7</c:v>
                </c:pt>
                <c:pt idx="14">
                  <c:v>45</c:v>
                </c:pt>
                <c:pt idx="15" formatCode="#\ ##0.##########">
                  <c:v>56.7</c:v>
                </c:pt>
                <c:pt idx="16" formatCode="#\ ##0.##########">
                  <c:v>36.4</c:v>
                </c:pt>
                <c:pt idx="17" formatCode="#\ ##0.##########">
                  <c:v>65.7</c:v>
                </c:pt>
                <c:pt idx="18" formatCode="#\ ##0.##########">
                  <c:v>50.5</c:v>
                </c:pt>
                <c:pt idx="19" formatCode="#\ ##0.##########">
                  <c:v>42.6</c:v>
                </c:pt>
                <c:pt idx="20" formatCode="#\ ##0.##########">
                  <c:v>41.8</c:v>
                </c:pt>
                <c:pt idx="21">
                  <c:v>29</c:v>
                </c:pt>
                <c:pt idx="22" formatCode="#\ ##0.##########">
                  <c:v>24.6</c:v>
                </c:pt>
                <c:pt idx="23" formatCode="#\ ##0.##########">
                  <c:v>26.1</c:v>
                </c:pt>
                <c:pt idx="24" formatCode="#\ ##0.##########">
                  <c:v>31.7</c:v>
                </c:pt>
                <c:pt idx="25" formatCode="#\ ##0.##########">
                  <c:v>24.8</c:v>
                </c:pt>
                <c:pt idx="26" formatCode="#\ ##0.##########">
                  <c:v>16.5</c:v>
                </c:pt>
                <c:pt idx="27" formatCode="#\ ##0.##########">
                  <c:v>10.4</c:v>
                </c:pt>
              </c:numCache>
            </c:numRef>
          </c:val>
          <c:smooth val="0"/>
          <c:extLst>
            <c:ext xmlns:c16="http://schemas.microsoft.com/office/drawing/2014/chart" uri="{C3380CC4-5D6E-409C-BE32-E72D297353CC}">
              <c16:uniqueId val="{00000003-CD9D-42F9-A618-482C807488F6}"/>
            </c:ext>
          </c:extLst>
        </c:ser>
        <c:dLbls>
          <c:showLegendKey val="0"/>
          <c:showVal val="0"/>
          <c:showCatName val="0"/>
          <c:showSerName val="0"/>
          <c:showPercent val="0"/>
          <c:showBubbleSize val="0"/>
        </c:dLbls>
        <c:marker val="1"/>
        <c:smooth val="0"/>
        <c:axId val="1815427119"/>
        <c:axId val="1815418383"/>
      </c:lineChart>
      <c:catAx>
        <c:axId val="1815427119"/>
        <c:scaling>
          <c:orientation val="minMax"/>
        </c:scaling>
        <c:delete val="0"/>
        <c:axPos val="b"/>
        <c:numFmt formatCode="General" sourceLinked="1"/>
        <c:majorTickMark val="none"/>
        <c:minorTickMark val="none"/>
        <c:tickLblPos val="nextTo"/>
        <c:spPr>
          <a:noFill/>
          <a:ln w="6350" cap="flat" cmpd="sng" algn="ctr">
            <a:solidFill>
              <a:schemeClr val="tx1"/>
            </a:solidFill>
            <a:round/>
          </a:ln>
          <a:effectLst/>
        </c:spPr>
        <c:txPr>
          <a:bodyPr rot="-5400000" spcFirstLastPara="1" vertOverflow="ellipsis" wrap="square" anchor="ctr" anchorCtr="1"/>
          <a:lstStyle/>
          <a:p>
            <a:pPr>
              <a:defRPr sz="900" b="0" i="0" u="none" strike="noStrike" kern="1200" baseline="0">
                <a:solidFill>
                  <a:sysClr val="windowText" lastClr="000000"/>
                </a:solidFill>
                <a:latin typeface="+mn-lt"/>
                <a:ea typeface="+mn-ea"/>
                <a:cs typeface="+mn-cs"/>
              </a:defRPr>
            </a:pPr>
            <a:endParaRPr lang="cs-CZ"/>
          </a:p>
        </c:txPr>
        <c:crossAx val="1815418383"/>
        <c:crosses val="autoZero"/>
        <c:auto val="1"/>
        <c:lblAlgn val="ctr"/>
        <c:lblOffset val="100"/>
        <c:tickLblSkip val="1"/>
        <c:noMultiLvlLbl val="0"/>
      </c:catAx>
      <c:valAx>
        <c:axId val="1815418383"/>
        <c:scaling>
          <c:orientation val="minMax"/>
          <c:max val="220"/>
        </c:scaling>
        <c:delete val="0"/>
        <c:axPos val="l"/>
        <c:majorGridlines>
          <c:spPr>
            <a:ln w="6350" cap="flat" cmpd="sng" algn="ctr">
              <a:solidFill>
                <a:schemeClr val="tx1"/>
              </a:solidFill>
              <a:prstDash val="dash"/>
              <a:round/>
            </a:ln>
            <a:effectLst/>
          </c:spPr>
        </c:majorGridlines>
        <c:numFmt formatCode="General"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cs-CZ"/>
          </a:p>
        </c:txPr>
        <c:crossAx val="1815427119"/>
        <c:crosses val="autoZero"/>
        <c:crossBetween val="between"/>
        <c:majorUnit val="20"/>
      </c:valAx>
      <c:spPr>
        <a:noFill/>
        <a:ln>
          <a:noFill/>
        </a:ln>
        <a:effectLst/>
      </c:spPr>
    </c:plotArea>
    <c:legend>
      <c:legendPos val="b"/>
      <c:layout>
        <c:manualLayout>
          <c:xMode val="edge"/>
          <c:yMode val="edge"/>
          <c:x val="4.4051376445612439E-2"/>
          <c:y val="0.9050607843137255"/>
          <c:w val="0.90490972478790532"/>
          <c:h val="7.0037254901960791E-2"/>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cs-CZ"/>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sz="900">
          <a:solidFill>
            <a:sysClr val="windowText" lastClr="000000"/>
          </a:solidFill>
        </a:defRPr>
      </a:pPr>
      <a:endParaRPr lang="cs-CZ"/>
    </a:p>
  </c:txPr>
  <c:externalData r:id="rId3">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8456338877706898E-2"/>
          <c:y val="4.9217002237136466E-2"/>
          <c:w val="0.4176827709192471"/>
          <c:h val="0.82641230248903452"/>
        </c:manualLayout>
      </c:layout>
      <c:barChart>
        <c:barDir val="col"/>
        <c:grouping val="percentStacked"/>
        <c:varyColors val="0"/>
        <c:ser>
          <c:idx val="0"/>
          <c:order val="0"/>
          <c:tx>
            <c:strRef>
              <c:f>List2!$N$34</c:f>
              <c:strCache>
                <c:ptCount val="1"/>
                <c:pt idx="0">
                  <c:v>Průmysl</c:v>
                </c:pt>
              </c:strCache>
            </c:strRef>
          </c:tx>
          <c:spPr>
            <a:solidFill>
              <a:schemeClr val="accent1"/>
            </a:solidFill>
            <a:ln>
              <a:noFill/>
            </a:ln>
            <a:effectLst/>
          </c:spPr>
          <c:invertIfNegative val="0"/>
          <c:cat>
            <c:numRef>
              <c:f>List2!$O$13:$Y$13</c:f>
              <c:numCache>
                <c:formatCode>General</c:formatCode>
                <c:ptCount val="11"/>
                <c:pt idx="0">
                  <c:v>2013</c:v>
                </c:pt>
                <c:pt idx="1">
                  <c:v>2014</c:v>
                </c:pt>
                <c:pt idx="2">
                  <c:v>2015</c:v>
                </c:pt>
                <c:pt idx="3">
                  <c:v>2016</c:v>
                </c:pt>
                <c:pt idx="4">
                  <c:v>2017</c:v>
                </c:pt>
                <c:pt idx="5">
                  <c:v>2018</c:v>
                </c:pt>
                <c:pt idx="6">
                  <c:v>2019</c:v>
                </c:pt>
                <c:pt idx="7">
                  <c:v>2020</c:v>
                </c:pt>
                <c:pt idx="8">
                  <c:v>2021</c:v>
                </c:pt>
                <c:pt idx="9">
                  <c:v>2022</c:v>
                </c:pt>
                <c:pt idx="10">
                  <c:v>2023</c:v>
                </c:pt>
              </c:numCache>
            </c:numRef>
          </c:cat>
          <c:val>
            <c:numRef>
              <c:f>List2!$O$34:$Y$34</c:f>
              <c:numCache>
                <c:formatCode>###\ ###\ ##0</c:formatCode>
                <c:ptCount val="11"/>
                <c:pt idx="0">
                  <c:v>909902</c:v>
                </c:pt>
                <c:pt idx="1">
                  <c:v>1030576</c:v>
                </c:pt>
                <c:pt idx="2">
                  <c:v>1106468</c:v>
                </c:pt>
                <c:pt idx="3">
                  <c:v>1152741</c:v>
                </c:pt>
                <c:pt idx="4">
                  <c:v>1202728</c:v>
                </c:pt>
                <c:pt idx="5">
                  <c:v>1226882</c:v>
                </c:pt>
                <c:pt idx="6">
                  <c:v>1309868</c:v>
                </c:pt>
                <c:pt idx="7">
                  <c:v>1219021</c:v>
                </c:pt>
                <c:pt idx="8">
                  <c:v>1287641</c:v>
                </c:pt>
                <c:pt idx="9">
                  <c:v>1424629</c:v>
                </c:pt>
                <c:pt idx="10">
                  <c:v>1570120</c:v>
                </c:pt>
              </c:numCache>
            </c:numRef>
          </c:val>
          <c:extLst>
            <c:ext xmlns:c16="http://schemas.microsoft.com/office/drawing/2014/chart" uri="{C3380CC4-5D6E-409C-BE32-E72D297353CC}">
              <c16:uniqueId val="{00000000-EA0F-4C51-860C-86DF14123130}"/>
            </c:ext>
          </c:extLst>
        </c:ser>
        <c:ser>
          <c:idx val="1"/>
          <c:order val="1"/>
          <c:tx>
            <c:strRef>
              <c:f>List2!$N$35</c:f>
              <c:strCache>
                <c:ptCount val="1"/>
                <c:pt idx="0">
                  <c:v>Obchod, doprava, ubytování a pohostinství</c:v>
                </c:pt>
              </c:strCache>
            </c:strRef>
          </c:tx>
          <c:spPr>
            <a:solidFill>
              <a:schemeClr val="accent2"/>
            </a:solidFill>
            <a:ln>
              <a:noFill/>
            </a:ln>
            <a:effectLst/>
          </c:spPr>
          <c:invertIfNegative val="0"/>
          <c:cat>
            <c:numRef>
              <c:f>List2!$O$13:$Y$13</c:f>
              <c:numCache>
                <c:formatCode>General</c:formatCode>
                <c:ptCount val="11"/>
                <c:pt idx="0">
                  <c:v>2013</c:v>
                </c:pt>
                <c:pt idx="1">
                  <c:v>2014</c:v>
                </c:pt>
                <c:pt idx="2">
                  <c:v>2015</c:v>
                </c:pt>
                <c:pt idx="3">
                  <c:v>2016</c:v>
                </c:pt>
                <c:pt idx="4">
                  <c:v>2017</c:v>
                </c:pt>
                <c:pt idx="5">
                  <c:v>2018</c:v>
                </c:pt>
                <c:pt idx="6">
                  <c:v>2019</c:v>
                </c:pt>
                <c:pt idx="7">
                  <c:v>2020</c:v>
                </c:pt>
                <c:pt idx="8">
                  <c:v>2021</c:v>
                </c:pt>
                <c:pt idx="9">
                  <c:v>2022</c:v>
                </c:pt>
                <c:pt idx="10">
                  <c:v>2023</c:v>
                </c:pt>
              </c:numCache>
            </c:numRef>
          </c:cat>
          <c:val>
            <c:numRef>
              <c:f>List2!$O$35:$Y$35</c:f>
              <c:numCache>
                <c:formatCode>###\ ###\ ##0</c:formatCode>
                <c:ptCount val="11"/>
                <c:pt idx="0">
                  <c:v>671525</c:v>
                </c:pt>
                <c:pt idx="1">
                  <c:v>708829</c:v>
                </c:pt>
                <c:pt idx="2">
                  <c:v>773768</c:v>
                </c:pt>
                <c:pt idx="3">
                  <c:v>799938</c:v>
                </c:pt>
                <c:pt idx="4">
                  <c:v>875985</c:v>
                </c:pt>
                <c:pt idx="5">
                  <c:v>915962</c:v>
                </c:pt>
                <c:pt idx="6">
                  <c:v>969671</c:v>
                </c:pt>
                <c:pt idx="7">
                  <c:v>910278</c:v>
                </c:pt>
                <c:pt idx="8">
                  <c:v>993689</c:v>
                </c:pt>
                <c:pt idx="9">
                  <c:v>1223415</c:v>
                </c:pt>
                <c:pt idx="10">
                  <c:v>1339832</c:v>
                </c:pt>
              </c:numCache>
            </c:numRef>
          </c:val>
          <c:extLst>
            <c:ext xmlns:c16="http://schemas.microsoft.com/office/drawing/2014/chart" uri="{C3380CC4-5D6E-409C-BE32-E72D297353CC}">
              <c16:uniqueId val="{00000001-EA0F-4C51-860C-86DF14123130}"/>
            </c:ext>
          </c:extLst>
        </c:ser>
        <c:ser>
          <c:idx val="2"/>
          <c:order val="2"/>
          <c:tx>
            <c:strRef>
              <c:f>List2!$N$36</c:f>
              <c:strCache>
                <c:ptCount val="1"/>
                <c:pt idx="0">
                  <c:v>Veřejná správa a obrana, vzdělávání, zdravotní a sociální péče</c:v>
                </c:pt>
              </c:strCache>
            </c:strRef>
          </c:tx>
          <c:spPr>
            <a:solidFill>
              <a:schemeClr val="accent3"/>
            </a:solidFill>
            <a:ln>
              <a:noFill/>
            </a:ln>
            <a:effectLst/>
          </c:spPr>
          <c:invertIfNegative val="0"/>
          <c:cat>
            <c:numRef>
              <c:f>List2!$O$13:$Y$13</c:f>
              <c:numCache>
                <c:formatCode>General</c:formatCode>
                <c:ptCount val="11"/>
                <c:pt idx="0">
                  <c:v>2013</c:v>
                </c:pt>
                <c:pt idx="1">
                  <c:v>2014</c:v>
                </c:pt>
                <c:pt idx="2">
                  <c:v>2015</c:v>
                </c:pt>
                <c:pt idx="3">
                  <c:v>2016</c:v>
                </c:pt>
                <c:pt idx="4">
                  <c:v>2017</c:v>
                </c:pt>
                <c:pt idx="5">
                  <c:v>2018</c:v>
                </c:pt>
                <c:pt idx="6">
                  <c:v>2019</c:v>
                </c:pt>
                <c:pt idx="7">
                  <c:v>2020</c:v>
                </c:pt>
                <c:pt idx="8">
                  <c:v>2021</c:v>
                </c:pt>
                <c:pt idx="9">
                  <c:v>2022</c:v>
                </c:pt>
                <c:pt idx="10">
                  <c:v>2023</c:v>
                </c:pt>
              </c:numCache>
            </c:numRef>
          </c:cat>
          <c:val>
            <c:numRef>
              <c:f>List2!$O$36:$Y$36</c:f>
              <c:numCache>
                <c:formatCode>###\ ###\ ##0</c:formatCode>
                <c:ptCount val="11"/>
                <c:pt idx="0">
                  <c:v>553795</c:v>
                </c:pt>
                <c:pt idx="1">
                  <c:v>578641</c:v>
                </c:pt>
                <c:pt idx="2">
                  <c:v>599287</c:v>
                </c:pt>
                <c:pt idx="3">
                  <c:v>626143</c:v>
                </c:pt>
                <c:pt idx="4">
                  <c:v>670028</c:v>
                </c:pt>
                <c:pt idx="5">
                  <c:v>734579</c:v>
                </c:pt>
                <c:pt idx="6">
                  <c:v>805596</c:v>
                </c:pt>
                <c:pt idx="7">
                  <c:v>875332</c:v>
                </c:pt>
                <c:pt idx="8">
                  <c:v>945089</c:v>
                </c:pt>
                <c:pt idx="9">
                  <c:v>987831</c:v>
                </c:pt>
                <c:pt idx="10">
                  <c:v>1072061</c:v>
                </c:pt>
              </c:numCache>
            </c:numRef>
          </c:val>
          <c:extLst>
            <c:ext xmlns:c16="http://schemas.microsoft.com/office/drawing/2014/chart" uri="{C3380CC4-5D6E-409C-BE32-E72D297353CC}">
              <c16:uniqueId val="{00000002-EA0F-4C51-860C-86DF14123130}"/>
            </c:ext>
          </c:extLst>
        </c:ser>
        <c:ser>
          <c:idx val="3"/>
          <c:order val="3"/>
          <c:tx>
            <c:strRef>
              <c:f>List2!$N$37</c:f>
              <c:strCache>
                <c:ptCount val="1"/>
                <c:pt idx="0">
                  <c:v>Činnosti v oblasti nemovitostí</c:v>
                </c:pt>
              </c:strCache>
            </c:strRef>
          </c:tx>
          <c:spPr>
            <a:solidFill>
              <a:schemeClr val="accent4"/>
            </a:solidFill>
            <a:ln>
              <a:noFill/>
            </a:ln>
            <a:effectLst/>
          </c:spPr>
          <c:invertIfNegative val="0"/>
          <c:cat>
            <c:numRef>
              <c:f>List2!$O$13:$Y$13</c:f>
              <c:numCache>
                <c:formatCode>General</c:formatCode>
                <c:ptCount val="11"/>
                <c:pt idx="0">
                  <c:v>2013</c:v>
                </c:pt>
                <c:pt idx="1">
                  <c:v>2014</c:v>
                </c:pt>
                <c:pt idx="2">
                  <c:v>2015</c:v>
                </c:pt>
                <c:pt idx="3">
                  <c:v>2016</c:v>
                </c:pt>
                <c:pt idx="4">
                  <c:v>2017</c:v>
                </c:pt>
                <c:pt idx="5">
                  <c:v>2018</c:v>
                </c:pt>
                <c:pt idx="6">
                  <c:v>2019</c:v>
                </c:pt>
                <c:pt idx="7">
                  <c:v>2020</c:v>
                </c:pt>
                <c:pt idx="8">
                  <c:v>2021</c:v>
                </c:pt>
                <c:pt idx="9">
                  <c:v>2022</c:v>
                </c:pt>
                <c:pt idx="10">
                  <c:v>2023</c:v>
                </c:pt>
              </c:numCache>
            </c:numRef>
          </c:cat>
          <c:val>
            <c:numRef>
              <c:f>List2!$O$37:$Y$37</c:f>
              <c:numCache>
                <c:formatCode>###\ ###\ ##0</c:formatCode>
                <c:ptCount val="11"/>
                <c:pt idx="0">
                  <c:v>334226</c:v>
                </c:pt>
                <c:pt idx="1">
                  <c:v>345742</c:v>
                </c:pt>
                <c:pt idx="2">
                  <c:v>356041</c:v>
                </c:pt>
                <c:pt idx="3">
                  <c:v>375082</c:v>
                </c:pt>
                <c:pt idx="4">
                  <c:v>395036</c:v>
                </c:pt>
                <c:pt idx="5">
                  <c:v>446155</c:v>
                </c:pt>
                <c:pt idx="6">
                  <c:v>484890</c:v>
                </c:pt>
                <c:pt idx="7">
                  <c:v>504901</c:v>
                </c:pt>
                <c:pt idx="8">
                  <c:v>515054</c:v>
                </c:pt>
                <c:pt idx="9">
                  <c:v>575368</c:v>
                </c:pt>
                <c:pt idx="10">
                  <c:v>631472</c:v>
                </c:pt>
              </c:numCache>
            </c:numRef>
          </c:val>
          <c:extLst>
            <c:ext xmlns:c16="http://schemas.microsoft.com/office/drawing/2014/chart" uri="{C3380CC4-5D6E-409C-BE32-E72D297353CC}">
              <c16:uniqueId val="{00000003-EA0F-4C51-860C-86DF14123130}"/>
            </c:ext>
          </c:extLst>
        </c:ser>
        <c:ser>
          <c:idx val="4"/>
          <c:order val="4"/>
          <c:tx>
            <c:strRef>
              <c:f>List2!$N$38</c:f>
              <c:strCache>
                <c:ptCount val="1"/>
                <c:pt idx="0">
                  <c:v>Informační a komunikační činnosti</c:v>
                </c:pt>
              </c:strCache>
            </c:strRef>
          </c:tx>
          <c:spPr>
            <a:solidFill>
              <a:schemeClr val="accent5"/>
            </a:solidFill>
            <a:ln>
              <a:noFill/>
            </a:ln>
            <a:effectLst/>
          </c:spPr>
          <c:invertIfNegative val="0"/>
          <c:cat>
            <c:numRef>
              <c:f>List2!$O$13:$Y$13</c:f>
              <c:numCache>
                <c:formatCode>General</c:formatCode>
                <c:ptCount val="11"/>
                <c:pt idx="0">
                  <c:v>2013</c:v>
                </c:pt>
                <c:pt idx="1">
                  <c:v>2014</c:v>
                </c:pt>
                <c:pt idx="2">
                  <c:v>2015</c:v>
                </c:pt>
                <c:pt idx="3">
                  <c:v>2016</c:v>
                </c:pt>
                <c:pt idx="4">
                  <c:v>2017</c:v>
                </c:pt>
                <c:pt idx="5">
                  <c:v>2018</c:v>
                </c:pt>
                <c:pt idx="6">
                  <c:v>2019</c:v>
                </c:pt>
                <c:pt idx="7">
                  <c:v>2020</c:v>
                </c:pt>
                <c:pt idx="8">
                  <c:v>2021</c:v>
                </c:pt>
                <c:pt idx="9">
                  <c:v>2022</c:v>
                </c:pt>
                <c:pt idx="10">
                  <c:v>2023</c:v>
                </c:pt>
              </c:numCache>
            </c:numRef>
          </c:cat>
          <c:val>
            <c:numRef>
              <c:f>List2!$O$38:$Y$38</c:f>
              <c:numCache>
                <c:formatCode>###\ ###\ ##0</c:formatCode>
                <c:ptCount val="11"/>
                <c:pt idx="0">
                  <c:v>188646</c:v>
                </c:pt>
                <c:pt idx="1">
                  <c:v>199234</c:v>
                </c:pt>
                <c:pt idx="2">
                  <c:v>216062</c:v>
                </c:pt>
                <c:pt idx="3">
                  <c:v>228179</c:v>
                </c:pt>
                <c:pt idx="4">
                  <c:v>252822</c:v>
                </c:pt>
                <c:pt idx="5">
                  <c:v>284123</c:v>
                </c:pt>
                <c:pt idx="6">
                  <c:v>330492</c:v>
                </c:pt>
                <c:pt idx="7">
                  <c:v>357653</c:v>
                </c:pt>
                <c:pt idx="8">
                  <c:v>383972</c:v>
                </c:pt>
                <c:pt idx="9">
                  <c:v>447258</c:v>
                </c:pt>
                <c:pt idx="10">
                  <c:v>507758</c:v>
                </c:pt>
              </c:numCache>
            </c:numRef>
          </c:val>
          <c:extLst>
            <c:ext xmlns:c16="http://schemas.microsoft.com/office/drawing/2014/chart" uri="{C3380CC4-5D6E-409C-BE32-E72D297353CC}">
              <c16:uniqueId val="{00000004-EA0F-4C51-860C-86DF14123130}"/>
            </c:ext>
          </c:extLst>
        </c:ser>
        <c:ser>
          <c:idx val="5"/>
          <c:order val="5"/>
          <c:tx>
            <c:strRef>
              <c:f>List2!$N$39</c:f>
              <c:strCache>
                <c:ptCount val="1"/>
                <c:pt idx="0">
                  <c:v>Profesní, vědecké, technické a administrativní činnosti</c:v>
                </c:pt>
              </c:strCache>
            </c:strRef>
          </c:tx>
          <c:spPr>
            <a:solidFill>
              <a:schemeClr val="accent6"/>
            </a:solidFill>
            <a:ln>
              <a:noFill/>
            </a:ln>
            <a:effectLst/>
          </c:spPr>
          <c:invertIfNegative val="0"/>
          <c:cat>
            <c:numRef>
              <c:f>List2!$O$13:$Y$13</c:f>
              <c:numCache>
                <c:formatCode>General</c:formatCode>
                <c:ptCount val="11"/>
                <c:pt idx="0">
                  <c:v>2013</c:v>
                </c:pt>
                <c:pt idx="1">
                  <c:v>2014</c:v>
                </c:pt>
                <c:pt idx="2">
                  <c:v>2015</c:v>
                </c:pt>
                <c:pt idx="3">
                  <c:v>2016</c:v>
                </c:pt>
                <c:pt idx="4">
                  <c:v>2017</c:v>
                </c:pt>
                <c:pt idx="5">
                  <c:v>2018</c:v>
                </c:pt>
                <c:pt idx="6">
                  <c:v>2019</c:v>
                </c:pt>
                <c:pt idx="7">
                  <c:v>2020</c:v>
                </c:pt>
                <c:pt idx="8">
                  <c:v>2021</c:v>
                </c:pt>
                <c:pt idx="9">
                  <c:v>2022</c:v>
                </c:pt>
                <c:pt idx="10">
                  <c:v>2023</c:v>
                </c:pt>
              </c:numCache>
            </c:numRef>
          </c:cat>
          <c:val>
            <c:numRef>
              <c:f>List2!$O$39:$Y$39</c:f>
              <c:numCache>
                <c:formatCode>###\ ###\ ##0</c:formatCode>
                <c:ptCount val="11"/>
                <c:pt idx="0">
                  <c:v>261664</c:v>
                </c:pt>
                <c:pt idx="1">
                  <c:v>270534</c:v>
                </c:pt>
                <c:pt idx="2">
                  <c:v>288182</c:v>
                </c:pt>
                <c:pt idx="3">
                  <c:v>308483</c:v>
                </c:pt>
                <c:pt idx="4">
                  <c:v>334297</c:v>
                </c:pt>
                <c:pt idx="5">
                  <c:v>358927</c:v>
                </c:pt>
                <c:pt idx="6">
                  <c:v>381399</c:v>
                </c:pt>
                <c:pt idx="7">
                  <c:v>368101</c:v>
                </c:pt>
                <c:pt idx="8">
                  <c:v>413875</c:v>
                </c:pt>
                <c:pt idx="9">
                  <c:v>436916</c:v>
                </c:pt>
                <c:pt idx="10">
                  <c:v>474161</c:v>
                </c:pt>
              </c:numCache>
            </c:numRef>
          </c:val>
          <c:extLst>
            <c:ext xmlns:c16="http://schemas.microsoft.com/office/drawing/2014/chart" uri="{C3380CC4-5D6E-409C-BE32-E72D297353CC}">
              <c16:uniqueId val="{00000005-EA0F-4C51-860C-86DF14123130}"/>
            </c:ext>
          </c:extLst>
        </c:ser>
        <c:ser>
          <c:idx val="6"/>
          <c:order val="6"/>
          <c:tx>
            <c:strRef>
              <c:f>List2!$N$40</c:f>
              <c:strCache>
                <c:ptCount val="1"/>
                <c:pt idx="0">
                  <c:v>Stavebnictví</c:v>
                </c:pt>
              </c:strCache>
            </c:strRef>
          </c:tx>
          <c:spPr>
            <a:solidFill>
              <a:schemeClr val="accent1">
                <a:lumMod val="60000"/>
              </a:schemeClr>
            </a:solidFill>
            <a:ln>
              <a:noFill/>
            </a:ln>
            <a:effectLst/>
          </c:spPr>
          <c:invertIfNegative val="0"/>
          <c:cat>
            <c:numRef>
              <c:f>List2!$O$13:$Y$13</c:f>
              <c:numCache>
                <c:formatCode>General</c:formatCode>
                <c:ptCount val="11"/>
                <c:pt idx="0">
                  <c:v>2013</c:v>
                </c:pt>
                <c:pt idx="1">
                  <c:v>2014</c:v>
                </c:pt>
                <c:pt idx="2">
                  <c:v>2015</c:v>
                </c:pt>
                <c:pt idx="3">
                  <c:v>2016</c:v>
                </c:pt>
                <c:pt idx="4">
                  <c:v>2017</c:v>
                </c:pt>
                <c:pt idx="5">
                  <c:v>2018</c:v>
                </c:pt>
                <c:pt idx="6">
                  <c:v>2019</c:v>
                </c:pt>
                <c:pt idx="7">
                  <c:v>2020</c:v>
                </c:pt>
                <c:pt idx="8">
                  <c:v>2021</c:v>
                </c:pt>
                <c:pt idx="9">
                  <c:v>2022</c:v>
                </c:pt>
                <c:pt idx="10">
                  <c:v>2023</c:v>
                </c:pt>
              </c:numCache>
            </c:numRef>
          </c:cat>
          <c:val>
            <c:numRef>
              <c:f>List2!$O$40:$Y$40</c:f>
              <c:numCache>
                <c:formatCode>###\ ###\ ##0</c:formatCode>
                <c:ptCount val="11"/>
                <c:pt idx="0">
                  <c:v>213444</c:v>
                </c:pt>
                <c:pt idx="1">
                  <c:v>221617</c:v>
                </c:pt>
                <c:pt idx="2">
                  <c:v>235596</c:v>
                </c:pt>
                <c:pt idx="3">
                  <c:v>235771</c:v>
                </c:pt>
                <c:pt idx="4">
                  <c:v>251353</c:v>
                </c:pt>
                <c:pt idx="5">
                  <c:v>272646</c:v>
                </c:pt>
                <c:pt idx="6">
                  <c:v>294935</c:v>
                </c:pt>
                <c:pt idx="7">
                  <c:v>293350</c:v>
                </c:pt>
                <c:pt idx="8">
                  <c:v>310521</c:v>
                </c:pt>
                <c:pt idx="9">
                  <c:v>346385</c:v>
                </c:pt>
                <c:pt idx="10">
                  <c:v>388076</c:v>
                </c:pt>
              </c:numCache>
            </c:numRef>
          </c:val>
          <c:extLst>
            <c:ext xmlns:c16="http://schemas.microsoft.com/office/drawing/2014/chart" uri="{C3380CC4-5D6E-409C-BE32-E72D297353CC}">
              <c16:uniqueId val="{00000006-EA0F-4C51-860C-86DF14123130}"/>
            </c:ext>
          </c:extLst>
        </c:ser>
        <c:ser>
          <c:idx val="7"/>
          <c:order val="7"/>
          <c:tx>
            <c:strRef>
              <c:f>List2!$N$41</c:f>
              <c:strCache>
                <c:ptCount val="1"/>
                <c:pt idx="0">
                  <c:v>Energetika a vodárenství</c:v>
                </c:pt>
              </c:strCache>
            </c:strRef>
          </c:tx>
          <c:spPr>
            <a:solidFill>
              <a:schemeClr val="accent2">
                <a:lumMod val="60000"/>
              </a:schemeClr>
            </a:solidFill>
            <a:ln>
              <a:noFill/>
            </a:ln>
            <a:effectLst/>
          </c:spPr>
          <c:invertIfNegative val="0"/>
          <c:cat>
            <c:numRef>
              <c:f>List2!$O$13:$Y$13</c:f>
              <c:numCache>
                <c:formatCode>General</c:formatCode>
                <c:ptCount val="11"/>
                <c:pt idx="0">
                  <c:v>2013</c:v>
                </c:pt>
                <c:pt idx="1">
                  <c:v>2014</c:v>
                </c:pt>
                <c:pt idx="2">
                  <c:v>2015</c:v>
                </c:pt>
                <c:pt idx="3">
                  <c:v>2016</c:v>
                </c:pt>
                <c:pt idx="4">
                  <c:v>2017</c:v>
                </c:pt>
                <c:pt idx="5">
                  <c:v>2018</c:v>
                </c:pt>
                <c:pt idx="6">
                  <c:v>2019</c:v>
                </c:pt>
                <c:pt idx="7">
                  <c:v>2020</c:v>
                </c:pt>
                <c:pt idx="8">
                  <c:v>2021</c:v>
                </c:pt>
                <c:pt idx="9">
                  <c:v>2022</c:v>
                </c:pt>
                <c:pt idx="10">
                  <c:v>2023</c:v>
                </c:pt>
              </c:numCache>
            </c:numRef>
          </c:cat>
          <c:val>
            <c:numRef>
              <c:f>List2!$O$41:$Y$41</c:f>
              <c:numCache>
                <c:formatCode>###\ ###\ ##0</c:formatCode>
                <c:ptCount val="11"/>
                <c:pt idx="0">
                  <c:v>195360</c:v>
                </c:pt>
                <c:pt idx="1">
                  <c:v>179188</c:v>
                </c:pt>
                <c:pt idx="2">
                  <c:v>182915</c:v>
                </c:pt>
                <c:pt idx="3">
                  <c:v>182530</c:v>
                </c:pt>
                <c:pt idx="4">
                  <c:v>184743</c:v>
                </c:pt>
                <c:pt idx="5">
                  <c:v>186355</c:v>
                </c:pt>
                <c:pt idx="6">
                  <c:v>191158</c:v>
                </c:pt>
                <c:pt idx="7">
                  <c:v>212945</c:v>
                </c:pt>
                <c:pt idx="8">
                  <c:v>223242</c:v>
                </c:pt>
                <c:pt idx="9">
                  <c:v>203378</c:v>
                </c:pt>
                <c:pt idx="10">
                  <c:v>230801</c:v>
                </c:pt>
              </c:numCache>
            </c:numRef>
          </c:val>
          <c:extLst>
            <c:ext xmlns:c16="http://schemas.microsoft.com/office/drawing/2014/chart" uri="{C3380CC4-5D6E-409C-BE32-E72D297353CC}">
              <c16:uniqueId val="{00000007-EA0F-4C51-860C-86DF14123130}"/>
            </c:ext>
          </c:extLst>
        </c:ser>
        <c:ser>
          <c:idx val="8"/>
          <c:order val="8"/>
          <c:tx>
            <c:strRef>
              <c:f>List2!$N$42</c:f>
              <c:strCache>
                <c:ptCount val="1"/>
                <c:pt idx="0">
                  <c:v>Peněžnictví a pojišťovnictví</c:v>
                </c:pt>
              </c:strCache>
            </c:strRef>
          </c:tx>
          <c:spPr>
            <a:solidFill>
              <a:schemeClr val="accent3">
                <a:lumMod val="60000"/>
              </a:schemeClr>
            </a:solidFill>
            <a:ln>
              <a:noFill/>
            </a:ln>
            <a:effectLst/>
          </c:spPr>
          <c:invertIfNegative val="0"/>
          <c:cat>
            <c:numRef>
              <c:f>List2!$O$13:$Y$13</c:f>
              <c:numCache>
                <c:formatCode>General</c:formatCode>
                <c:ptCount val="11"/>
                <c:pt idx="0">
                  <c:v>2013</c:v>
                </c:pt>
                <c:pt idx="1">
                  <c:v>2014</c:v>
                </c:pt>
                <c:pt idx="2">
                  <c:v>2015</c:v>
                </c:pt>
                <c:pt idx="3">
                  <c:v>2016</c:v>
                </c:pt>
                <c:pt idx="4">
                  <c:v>2017</c:v>
                </c:pt>
                <c:pt idx="5">
                  <c:v>2018</c:v>
                </c:pt>
                <c:pt idx="6">
                  <c:v>2019</c:v>
                </c:pt>
                <c:pt idx="7">
                  <c:v>2020</c:v>
                </c:pt>
                <c:pt idx="8">
                  <c:v>2021</c:v>
                </c:pt>
                <c:pt idx="9">
                  <c:v>2022</c:v>
                </c:pt>
                <c:pt idx="10">
                  <c:v>2023</c:v>
                </c:pt>
              </c:numCache>
            </c:numRef>
          </c:cat>
          <c:val>
            <c:numRef>
              <c:f>List2!$O$42:$Y$42</c:f>
              <c:numCache>
                <c:formatCode>###\ ###\ ##0</c:formatCode>
                <c:ptCount val="11"/>
                <c:pt idx="0">
                  <c:v>170714</c:v>
                </c:pt>
                <c:pt idx="1">
                  <c:v>167529</c:v>
                </c:pt>
                <c:pt idx="2">
                  <c:v>177664</c:v>
                </c:pt>
                <c:pt idx="3">
                  <c:v>179461</c:v>
                </c:pt>
                <c:pt idx="4">
                  <c:v>188073</c:v>
                </c:pt>
                <c:pt idx="5">
                  <c:v>207955</c:v>
                </c:pt>
                <c:pt idx="6">
                  <c:v>211384</c:v>
                </c:pt>
                <c:pt idx="7">
                  <c:v>213792</c:v>
                </c:pt>
                <c:pt idx="8">
                  <c:v>227397</c:v>
                </c:pt>
                <c:pt idx="9">
                  <c:v>225687</c:v>
                </c:pt>
                <c:pt idx="10">
                  <c:v>227960</c:v>
                </c:pt>
              </c:numCache>
            </c:numRef>
          </c:val>
          <c:extLst>
            <c:ext xmlns:c16="http://schemas.microsoft.com/office/drawing/2014/chart" uri="{C3380CC4-5D6E-409C-BE32-E72D297353CC}">
              <c16:uniqueId val="{00000008-EA0F-4C51-860C-86DF14123130}"/>
            </c:ext>
          </c:extLst>
        </c:ser>
        <c:ser>
          <c:idx val="9"/>
          <c:order val="9"/>
          <c:tx>
            <c:strRef>
              <c:f>List2!$N$43</c:f>
              <c:strCache>
                <c:ptCount val="1"/>
                <c:pt idx="0">
                  <c:v>Ostatní činnosti</c:v>
                </c:pt>
              </c:strCache>
            </c:strRef>
          </c:tx>
          <c:spPr>
            <a:solidFill>
              <a:schemeClr val="accent4">
                <a:lumMod val="60000"/>
              </a:schemeClr>
            </a:solidFill>
            <a:ln>
              <a:noFill/>
            </a:ln>
            <a:effectLst/>
          </c:spPr>
          <c:invertIfNegative val="0"/>
          <c:cat>
            <c:numRef>
              <c:f>List2!$O$13:$Y$13</c:f>
              <c:numCache>
                <c:formatCode>General</c:formatCode>
                <c:ptCount val="11"/>
                <c:pt idx="0">
                  <c:v>2013</c:v>
                </c:pt>
                <c:pt idx="1">
                  <c:v>2014</c:v>
                </c:pt>
                <c:pt idx="2">
                  <c:v>2015</c:v>
                </c:pt>
                <c:pt idx="3">
                  <c:v>2016</c:v>
                </c:pt>
                <c:pt idx="4">
                  <c:v>2017</c:v>
                </c:pt>
                <c:pt idx="5">
                  <c:v>2018</c:v>
                </c:pt>
                <c:pt idx="6">
                  <c:v>2019</c:v>
                </c:pt>
                <c:pt idx="7">
                  <c:v>2020</c:v>
                </c:pt>
                <c:pt idx="8">
                  <c:v>2021</c:v>
                </c:pt>
                <c:pt idx="9">
                  <c:v>2022</c:v>
                </c:pt>
                <c:pt idx="10">
                  <c:v>2023</c:v>
                </c:pt>
              </c:numCache>
            </c:numRef>
          </c:cat>
          <c:val>
            <c:numRef>
              <c:f>List2!$O$43:$Y$43</c:f>
              <c:numCache>
                <c:formatCode>###\ ###\ ##0</c:formatCode>
                <c:ptCount val="11"/>
                <c:pt idx="0">
                  <c:v>82012</c:v>
                </c:pt>
                <c:pt idx="1">
                  <c:v>84605</c:v>
                </c:pt>
                <c:pt idx="2">
                  <c:v>89356</c:v>
                </c:pt>
                <c:pt idx="3">
                  <c:v>94717</c:v>
                </c:pt>
                <c:pt idx="4">
                  <c:v>99583</c:v>
                </c:pt>
                <c:pt idx="5">
                  <c:v>104603</c:v>
                </c:pt>
                <c:pt idx="6">
                  <c:v>115613</c:v>
                </c:pt>
                <c:pt idx="7">
                  <c:v>102231</c:v>
                </c:pt>
                <c:pt idx="8">
                  <c:v>110199</c:v>
                </c:pt>
                <c:pt idx="9">
                  <c:v>119808</c:v>
                </c:pt>
                <c:pt idx="10">
                  <c:v>135132</c:v>
                </c:pt>
              </c:numCache>
            </c:numRef>
          </c:val>
          <c:extLst>
            <c:ext xmlns:c16="http://schemas.microsoft.com/office/drawing/2014/chart" uri="{C3380CC4-5D6E-409C-BE32-E72D297353CC}">
              <c16:uniqueId val="{00000009-EA0F-4C51-860C-86DF14123130}"/>
            </c:ext>
          </c:extLst>
        </c:ser>
        <c:ser>
          <c:idx val="10"/>
          <c:order val="10"/>
          <c:tx>
            <c:strRef>
              <c:f>List2!$N$44</c:f>
              <c:strCache>
                <c:ptCount val="1"/>
                <c:pt idx="0">
                  <c:v>Zemědělství, lesnictví a rybářství</c:v>
                </c:pt>
              </c:strCache>
            </c:strRef>
          </c:tx>
          <c:spPr>
            <a:solidFill>
              <a:schemeClr val="accent5">
                <a:lumMod val="60000"/>
              </a:schemeClr>
            </a:solidFill>
            <a:ln>
              <a:noFill/>
            </a:ln>
            <a:effectLst/>
          </c:spPr>
          <c:invertIfNegative val="0"/>
          <c:cat>
            <c:numRef>
              <c:f>List2!$O$13:$Y$13</c:f>
              <c:numCache>
                <c:formatCode>General</c:formatCode>
                <c:ptCount val="11"/>
                <c:pt idx="0">
                  <c:v>2013</c:v>
                </c:pt>
                <c:pt idx="1">
                  <c:v>2014</c:v>
                </c:pt>
                <c:pt idx="2">
                  <c:v>2015</c:v>
                </c:pt>
                <c:pt idx="3">
                  <c:v>2016</c:v>
                </c:pt>
                <c:pt idx="4">
                  <c:v>2017</c:v>
                </c:pt>
                <c:pt idx="5">
                  <c:v>2018</c:v>
                </c:pt>
                <c:pt idx="6">
                  <c:v>2019</c:v>
                </c:pt>
                <c:pt idx="7">
                  <c:v>2020</c:v>
                </c:pt>
                <c:pt idx="8">
                  <c:v>2021</c:v>
                </c:pt>
                <c:pt idx="9">
                  <c:v>2022</c:v>
                </c:pt>
                <c:pt idx="10">
                  <c:v>2023</c:v>
                </c:pt>
              </c:numCache>
            </c:numRef>
          </c:cat>
          <c:val>
            <c:numRef>
              <c:f>List2!$O$44:$Y$44</c:f>
              <c:numCache>
                <c:formatCode>###\ ###\ ##0</c:formatCode>
                <c:ptCount val="11"/>
                <c:pt idx="0">
                  <c:v>97968</c:v>
                </c:pt>
                <c:pt idx="1">
                  <c:v>104883</c:v>
                </c:pt>
                <c:pt idx="2">
                  <c:v>102277</c:v>
                </c:pt>
                <c:pt idx="3">
                  <c:v>100113</c:v>
                </c:pt>
                <c:pt idx="4">
                  <c:v>105159</c:v>
                </c:pt>
                <c:pt idx="5">
                  <c:v>104766</c:v>
                </c:pt>
                <c:pt idx="6">
                  <c:v>107771</c:v>
                </c:pt>
                <c:pt idx="7">
                  <c:v>111934</c:v>
                </c:pt>
                <c:pt idx="8">
                  <c:v>112728</c:v>
                </c:pt>
                <c:pt idx="9">
                  <c:v>129061</c:v>
                </c:pt>
                <c:pt idx="10">
                  <c:v>118037</c:v>
                </c:pt>
              </c:numCache>
            </c:numRef>
          </c:val>
          <c:extLst>
            <c:ext xmlns:c16="http://schemas.microsoft.com/office/drawing/2014/chart" uri="{C3380CC4-5D6E-409C-BE32-E72D297353CC}">
              <c16:uniqueId val="{0000000A-EA0F-4C51-860C-86DF14123130}"/>
            </c:ext>
          </c:extLst>
        </c:ser>
        <c:ser>
          <c:idx val="11"/>
          <c:order val="11"/>
          <c:tx>
            <c:strRef>
              <c:f>List2!$N$45</c:f>
              <c:strCache>
                <c:ptCount val="1"/>
                <c:pt idx="0">
                  <c:v>Těžba a dobývání</c:v>
                </c:pt>
              </c:strCache>
            </c:strRef>
          </c:tx>
          <c:spPr>
            <a:solidFill>
              <a:schemeClr val="accent6">
                <a:lumMod val="60000"/>
              </a:schemeClr>
            </a:solidFill>
            <a:ln>
              <a:noFill/>
            </a:ln>
            <a:effectLst/>
          </c:spPr>
          <c:invertIfNegative val="0"/>
          <c:cat>
            <c:numRef>
              <c:f>List2!$O$13:$Y$13</c:f>
              <c:numCache>
                <c:formatCode>General</c:formatCode>
                <c:ptCount val="11"/>
                <c:pt idx="0">
                  <c:v>2013</c:v>
                </c:pt>
                <c:pt idx="1">
                  <c:v>2014</c:v>
                </c:pt>
                <c:pt idx="2">
                  <c:v>2015</c:v>
                </c:pt>
                <c:pt idx="3">
                  <c:v>2016</c:v>
                </c:pt>
                <c:pt idx="4">
                  <c:v>2017</c:v>
                </c:pt>
                <c:pt idx="5">
                  <c:v>2018</c:v>
                </c:pt>
                <c:pt idx="6">
                  <c:v>2019</c:v>
                </c:pt>
                <c:pt idx="7">
                  <c:v>2020</c:v>
                </c:pt>
                <c:pt idx="8">
                  <c:v>2021</c:v>
                </c:pt>
                <c:pt idx="9">
                  <c:v>2022</c:v>
                </c:pt>
                <c:pt idx="10">
                  <c:v>2023</c:v>
                </c:pt>
              </c:numCache>
            </c:numRef>
          </c:cat>
          <c:val>
            <c:numRef>
              <c:f>List2!$O$45:$Y$45</c:f>
              <c:numCache>
                <c:formatCode>###\ ###\ ##0</c:formatCode>
                <c:ptCount val="11"/>
                <c:pt idx="0">
                  <c:v>33759</c:v>
                </c:pt>
                <c:pt idx="1">
                  <c:v>39198</c:v>
                </c:pt>
                <c:pt idx="2">
                  <c:v>37558</c:v>
                </c:pt>
                <c:pt idx="3">
                  <c:v>31561</c:v>
                </c:pt>
                <c:pt idx="4">
                  <c:v>32813</c:v>
                </c:pt>
                <c:pt idx="5">
                  <c:v>33162</c:v>
                </c:pt>
                <c:pt idx="6">
                  <c:v>30112</c:v>
                </c:pt>
                <c:pt idx="7">
                  <c:v>26641</c:v>
                </c:pt>
                <c:pt idx="8">
                  <c:v>27441</c:v>
                </c:pt>
                <c:pt idx="9">
                  <c:v>35257</c:v>
                </c:pt>
                <c:pt idx="10">
                  <c:v>37494</c:v>
                </c:pt>
              </c:numCache>
            </c:numRef>
          </c:val>
          <c:extLst>
            <c:ext xmlns:c16="http://schemas.microsoft.com/office/drawing/2014/chart" uri="{C3380CC4-5D6E-409C-BE32-E72D297353CC}">
              <c16:uniqueId val="{0000000B-EA0F-4C51-860C-86DF14123130}"/>
            </c:ext>
          </c:extLst>
        </c:ser>
        <c:dLbls>
          <c:showLegendKey val="0"/>
          <c:showVal val="0"/>
          <c:showCatName val="0"/>
          <c:showSerName val="0"/>
          <c:showPercent val="0"/>
          <c:showBubbleSize val="0"/>
        </c:dLbls>
        <c:gapWidth val="150"/>
        <c:overlap val="100"/>
        <c:axId val="1488847728"/>
        <c:axId val="1488856048"/>
      </c:barChart>
      <c:catAx>
        <c:axId val="1488847728"/>
        <c:scaling>
          <c:orientation val="minMax"/>
        </c:scaling>
        <c:delete val="0"/>
        <c:axPos val="b"/>
        <c:numFmt formatCode="General" sourceLinked="1"/>
        <c:majorTickMark val="none"/>
        <c:minorTickMark val="none"/>
        <c:tickLblPos val="nextTo"/>
        <c:spPr>
          <a:noFill/>
          <a:ln w="6350" cap="flat" cmpd="sng" algn="ctr">
            <a:solidFill>
              <a:schemeClr val="tx1"/>
            </a:solidFill>
            <a:round/>
          </a:ln>
          <a:effectLst/>
        </c:spPr>
        <c:txPr>
          <a:bodyPr rot="-60000000" spcFirstLastPara="1" vertOverflow="ellipsis" vert="horz" wrap="square" anchor="ctr" anchorCtr="1"/>
          <a:lstStyle/>
          <a:p>
            <a:pPr>
              <a:defRPr sz="700" b="0" i="0" u="none" strike="noStrike" kern="1200" baseline="0">
                <a:solidFill>
                  <a:sysClr val="windowText" lastClr="000000"/>
                </a:solidFill>
                <a:latin typeface="+mn-lt"/>
                <a:ea typeface="+mn-ea"/>
                <a:cs typeface="+mn-cs"/>
              </a:defRPr>
            </a:pPr>
            <a:endParaRPr lang="cs-CZ"/>
          </a:p>
        </c:txPr>
        <c:crossAx val="1488856048"/>
        <c:crosses val="autoZero"/>
        <c:auto val="1"/>
        <c:lblAlgn val="ctr"/>
        <c:lblOffset val="100"/>
        <c:noMultiLvlLbl val="0"/>
      </c:catAx>
      <c:valAx>
        <c:axId val="1488856048"/>
        <c:scaling>
          <c:orientation val="minMax"/>
        </c:scaling>
        <c:delete val="0"/>
        <c:axPos val="l"/>
        <c:majorGridlines>
          <c:spPr>
            <a:ln w="6350" cap="flat" cmpd="sng" algn="ctr">
              <a:solidFill>
                <a:schemeClr val="tx1"/>
              </a:solidFill>
              <a:prstDash val="dash"/>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700" b="0" i="0" u="none" strike="noStrike" kern="1200" baseline="0">
                <a:solidFill>
                  <a:sysClr val="windowText" lastClr="000000"/>
                </a:solidFill>
                <a:latin typeface="+mn-lt"/>
                <a:ea typeface="+mn-ea"/>
                <a:cs typeface="+mn-cs"/>
              </a:defRPr>
            </a:pPr>
            <a:endParaRPr lang="cs-CZ"/>
          </a:p>
        </c:txPr>
        <c:crossAx val="1488847728"/>
        <c:crosses val="autoZero"/>
        <c:crossBetween val="between"/>
      </c:valAx>
      <c:spPr>
        <a:noFill/>
        <a:ln>
          <a:noFill/>
        </a:ln>
        <a:effectLst/>
      </c:spPr>
    </c:plotArea>
    <c:legend>
      <c:legendPos val="r"/>
      <c:layout>
        <c:manualLayout>
          <c:xMode val="edge"/>
          <c:yMode val="edge"/>
          <c:x val="0.51426501537432712"/>
          <c:y val="5.4883253229709925E-2"/>
          <c:w val="0.48126823447651884"/>
          <c:h val="0.92231319680094781"/>
        </c:manualLayout>
      </c:layout>
      <c:overlay val="0"/>
      <c:spPr>
        <a:noFill/>
        <a:ln>
          <a:noFill/>
        </a:ln>
        <a:effectLst/>
      </c:spPr>
      <c:txPr>
        <a:bodyPr rot="0" spcFirstLastPara="1" vertOverflow="ellipsis" vert="horz" wrap="square" anchor="ctr" anchorCtr="1"/>
        <a:lstStyle/>
        <a:p>
          <a:pPr>
            <a:defRPr sz="700" b="0" i="0" u="none" strike="noStrike" kern="1200" baseline="0">
              <a:solidFill>
                <a:sysClr val="windowText" lastClr="000000"/>
              </a:solidFill>
              <a:latin typeface="+mn-lt"/>
              <a:ea typeface="+mn-ea"/>
              <a:cs typeface="+mn-cs"/>
            </a:defRPr>
          </a:pPr>
          <a:endParaRPr lang="cs-CZ"/>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sz="700">
          <a:solidFill>
            <a:sysClr val="windowText" lastClr="000000"/>
          </a:solidFill>
        </a:defRPr>
      </a:pPr>
      <a:endParaRPr lang="cs-CZ"/>
    </a:p>
  </c:txPr>
  <c:externalData r:id="rId3">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1719171032014005E-2"/>
          <c:y val="6.378660481298927E-2"/>
          <c:w val="0.86248565827689527"/>
          <c:h val="0.58873757770710655"/>
        </c:manualLayout>
      </c:layout>
      <c:lineChart>
        <c:grouping val="standard"/>
        <c:varyColors val="0"/>
        <c:ser>
          <c:idx val="5"/>
          <c:order val="0"/>
          <c:tx>
            <c:strRef>
              <c:f>GRAF_Mzdy_HPH_Průmysl!$A$6</c:f>
              <c:strCache>
                <c:ptCount val="1"/>
                <c:pt idx="0">
                  <c:v>Česká republika</c:v>
                </c:pt>
              </c:strCache>
            </c:strRef>
          </c:tx>
          <c:spPr>
            <a:ln w="12700" cap="rnd">
              <a:solidFill>
                <a:schemeClr val="accent1"/>
              </a:solidFill>
              <a:round/>
            </a:ln>
            <a:effectLst/>
          </c:spPr>
          <c:marker>
            <c:symbol val="none"/>
          </c:marker>
          <c:cat>
            <c:numRef>
              <c:f>GRAF_Mzdy_HPH_Průmysl!$B$1:$N$1</c:f>
              <c:numCache>
                <c:formatCode>General</c:formatCode>
                <c:ptCount val="13"/>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numCache>
            </c:numRef>
          </c:cat>
          <c:val>
            <c:numRef>
              <c:f>GRAF_Mzdy_HPH_Průmysl!$B$6:$N$6</c:f>
              <c:numCache>
                <c:formatCode>#,##0.00</c:formatCode>
                <c:ptCount val="13"/>
                <c:pt idx="0">
                  <c:v>44.50297494978588</c:v>
                </c:pt>
                <c:pt idx="1">
                  <c:v>45.129290059437693</c:v>
                </c:pt>
                <c:pt idx="2">
                  <c:v>46.406488306711836</c:v>
                </c:pt>
                <c:pt idx="3">
                  <c:v>46.1856386529265</c:v>
                </c:pt>
                <c:pt idx="4">
                  <c:v>44.001025144768555</c:v>
                </c:pt>
                <c:pt idx="5">
                  <c:v>44.081806596655355</c:v>
                </c:pt>
                <c:pt idx="6">
                  <c:v>45.451215503961919</c:v>
                </c:pt>
                <c:pt idx="7">
                  <c:v>47.637136509265964</c:v>
                </c:pt>
                <c:pt idx="8">
                  <c:v>50.792422350082013</c:v>
                </c:pt>
                <c:pt idx="9">
                  <c:v>50.827682203696497</c:v>
                </c:pt>
                <c:pt idx="10">
                  <c:v>52.361886563911121</c:v>
                </c:pt>
                <c:pt idx="11">
                  <c:v>53.869650255090598</c:v>
                </c:pt>
                <c:pt idx="12">
                  <c:v>50.57997035818866</c:v>
                </c:pt>
              </c:numCache>
            </c:numRef>
          </c:val>
          <c:smooth val="0"/>
          <c:extLst xmlns:c15="http://schemas.microsoft.com/office/drawing/2012/chart">
            <c:ext xmlns:c16="http://schemas.microsoft.com/office/drawing/2014/chart" uri="{C3380CC4-5D6E-409C-BE32-E72D297353CC}">
              <c16:uniqueId val="{00000000-8645-4B6B-A221-EC37C1B029CF}"/>
            </c:ext>
          </c:extLst>
        </c:ser>
        <c:ser>
          <c:idx val="7"/>
          <c:order val="1"/>
          <c:tx>
            <c:strRef>
              <c:f>GRAF_Mzdy_HPH_Průmysl!$A$8</c:f>
              <c:strCache>
                <c:ptCount val="1"/>
                <c:pt idx="0">
                  <c:v>Německo</c:v>
                </c:pt>
              </c:strCache>
            </c:strRef>
          </c:tx>
          <c:spPr>
            <a:ln w="12700" cap="rnd">
              <a:solidFill>
                <a:schemeClr val="bg2"/>
              </a:solidFill>
              <a:round/>
            </a:ln>
            <a:effectLst/>
          </c:spPr>
          <c:marker>
            <c:symbol val="none"/>
          </c:marker>
          <c:val>
            <c:numRef>
              <c:f>GRAF_Mzdy_HPH_Průmysl!$B$8:$N$8</c:f>
              <c:numCache>
                <c:formatCode>#,##0.00</c:formatCode>
                <c:ptCount val="13"/>
                <c:pt idx="0">
                  <c:v>59.715895865861803</c:v>
                </c:pt>
                <c:pt idx="1">
                  <c:v>59.293232575941147</c:v>
                </c:pt>
                <c:pt idx="2">
                  <c:v>59.857697161772393</c:v>
                </c:pt>
                <c:pt idx="3">
                  <c:v>61.91903884181562</c:v>
                </c:pt>
                <c:pt idx="4">
                  <c:v>61.023772806174527</c:v>
                </c:pt>
                <c:pt idx="5">
                  <c:v>60.71297111076602</c:v>
                </c:pt>
                <c:pt idx="6">
                  <c:v>59.149077499853078</c:v>
                </c:pt>
                <c:pt idx="7">
                  <c:v>58.65466174247014</c:v>
                </c:pt>
                <c:pt idx="8">
                  <c:v>60.074844182713193</c:v>
                </c:pt>
                <c:pt idx="9">
                  <c:v>60.993780093745606</c:v>
                </c:pt>
                <c:pt idx="10">
                  <c:v>61.703603725199088</c:v>
                </c:pt>
                <c:pt idx="11">
                  <c:v>57.775075836998532</c:v>
                </c:pt>
                <c:pt idx="12">
                  <c:v>57.206442048645592</c:v>
                </c:pt>
              </c:numCache>
            </c:numRef>
          </c:val>
          <c:smooth val="0"/>
          <c:extLst>
            <c:ext xmlns:c16="http://schemas.microsoft.com/office/drawing/2014/chart" uri="{C3380CC4-5D6E-409C-BE32-E72D297353CC}">
              <c16:uniqueId val="{00000001-8645-4B6B-A221-EC37C1B029CF}"/>
            </c:ext>
          </c:extLst>
        </c:ser>
        <c:ser>
          <c:idx val="23"/>
          <c:order val="2"/>
          <c:tx>
            <c:strRef>
              <c:f>GRAF_Mzdy_HPH_Průmysl!$A$24</c:f>
              <c:strCache>
                <c:ptCount val="1"/>
                <c:pt idx="0">
                  <c:v>Polsko</c:v>
                </c:pt>
              </c:strCache>
            </c:strRef>
          </c:tx>
          <c:spPr>
            <a:ln w="12700" cap="rnd">
              <a:solidFill>
                <a:schemeClr val="accent6"/>
              </a:solidFill>
              <a:round/>
            </a:ln>
            <a:effectLst/>
          </c:spPr>
          <c:marker>
            <c:symbol val="none"/>
          </c:marker>
          <c:val>
            <c:numRef>
              <c:f>GRAF_Mzdy_HPH_Průmysl!$B$24:$N$24</c:f>
              <c:numCache>
                <c:formatCode>#,##0.00</c:formatCode>
                <c:ptCount val="13"/>
                <c:pt idx="0">
                  <c:v>44.861163968953875</c:v>
                </c:pt>
                <c:pt idx="1">
                  <c:v>44.13260403316044</c:v>
                </c:pt>
                <c:pt idx="2">
                  <c:v>43.57196252227137</c:v>
                </c:pt>
                <c:pt idx="3">
                  <c:v>45.798605324739647</c:v>
                </c:pt>
                <c:pt idx="4">
                  <c:v>44.636354222398644</c:v>
                </c:pt>
                <c:pt idx="5">
                  <c:v>42.289509945240617</c:v>
                </c:pt>
                <c:pt idx="6">
                  <c:v>43.285334816278478</c:v>
                </c:pt>
                <c:pt idx="7">
                  <c:v>46.743729121856404</c:v>
                </c:pt>
                <c:pt idx="8">
                  <c:v>47.759093483795098</c:v>
                </c:pt>
                <c:pt idx="9">
                  <c:v>48.616859915393285</c:v>
                </c:pt>
                <c:pt idx="10">
                  <c:v>48.575491735800533</c:v>
                </c:pt>
                <c:pt idx="11">
                  <c:v>45.261089487861888</c:v>
                </c:pt>
                <c:pt idx="12">
                  <c:v>45.497950808429387</c:v>
                </c:pt>
              </c:numCache>
            </c:numRef>
          </c:val>
          <c:smooth val="0"/>
          <c:extLst>
            <c:ext xmlns:c16="http://schemas.microsoft.com/office/drawing/2014/chart" uri="{C3380CC4-5D6E-409C-BE32-E72D297353CC}">
              <c16:uniqueId val="{00000002-8645-4B6B-A221-EC37C1B029CF}"/>
            </c:ext>
          </c:extLst>
        </c:ser>
        <c:ser>
          <c:idx val="27"/>
          <c:order val="3"/>
          <c:tx>
            <c:strRef>
              <c:f>GRAF_Mzdy_HPH_Průmysl!$A$28</c:f>
              <c:strCache>
                <c:ptCount val="1"/>
                <c:pt idx="0">
                  <c:v>Slovensko</c:v>
                </c:pt>
              </c:strCache>
            </c:strRef>
          </c:tx>
          <c:spPr>
            <a:ln w="12700" cap="rnd">
              <a:solidFill>
                <a:schemeClr val="accent4"/>
              </a:solidFill>
              <a:round/>
            </a:ln>
            <a:effectLst/>
          </c:spPr>
          <c:marker>
            <c:symbol val="none"/>
          </c:marker>
          <c:val>
            <c:numRef>
              <c:f>GRAF_Mzdy_HPH_Průmysl!$B$28:$N$28</c:f>
              <c:numCache>
                <c:formatCode>#,##0.00</c:formatCode>
                <c:ptCount val="13"/>
                <c:pt idx="0">
                  <c:v>39.67065868263473</c:v>
                </c:pt>
                <c:pt idx="1">
                  <c:v>40.166576946573187</c:v>
                </c:pt>
                <c:pt idx="2">
                  <c:v>40.942589552503215</c:v>
                </c:pt>
                <c:pt idx="3">
                  <c:v>43.213453885231168</c:v>
                </c:pt>
                <c:pt idx="4">
                  <c:v>41.36638050401551</c:v>
                </c:pt>
                <c:pt idx="5">
                  <c:v>42.46230888638442</c:v>
                </c:pt>
                <c:pt idx="6">
                  <c:v>46.703130416600182</c:v>
                </c:pt>
                <c:pt idx="7">
                  <c:v>51.928584856627857</c:v>
                </c:pt>
                <c:pt idx="8">
                  <c:v>52.390627048064623</c:v>
                </c:pt>
                <c:pt idx="9">
                  <c:v>48.843300849608895</c:v>
                </c:pt>
                <c:pt idx="10">
                  <c:v>50.153364037794979</c:v>
                </c:pt>
                <c:pt idx="11">
                  <c:v>49.444917366125182</c:v>
                </c:pt>
                <c:pt idx="12">
                  <c:v>55.854789567854709</c:v>
                </c:pt>
              </c:numCache>
            </c:numRef>
          </c:val>
          <c:smooth val="0"/>
          <c:extLst>
            <c:ext xmlns:c16="http://schemas.microsoft.com/office/drawing/2014/chart" uri="{C3380CC4-5D6E-409C-BE32-E72D297353CC}">
              <c16:uniqueId val="{00000003-8645-4B6B-A221-EC37C1B029CF}"/>
            </c:ext>
          </c:extLst>
        </c:ser>
        <c:ser>
          <c:idx val="1"/>
          <c:order val="4"/>
          <c:tx>
            <c:strRef>
              <c:f>GRAF_Mzdy_HPH_Průmysl!$A$2</c:f>
              <c:strCache>
                <c:ptCount val="1"/>
                <c:pt idx="0">
                  <c:v>EU27</c:v>
                </c:pt>
              </c:strCache>
            </c:strRef>
          </c:tx>
          <c:spPr>
            <a:ln w="12700" cap="rnd">
              <a:solidFill>
                <a:schemeClr val="tx1"/>
              </a:solidFill>
              <a:round/>
            </a:ln>
            <a:effectLst/>
          </c:spPr>
          <c:marker>
            <c:symbol val="none"/>
          </c:marker>
          <c:cat>
            <c:numRef>
              <c:f>GRAF_Mzdy_HPH_Průmysl!$B$1:$N$1</c:f>
              <c:numCache>
                <c:formatCode>General</c:formatCode>
                <c:ptCount val="13"/>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numCache>
            </c:numRef>
          </c:cat>
          <c:val>
            <c:numRef>
              <c:f>GRAF_Mzdy_HPH_Průmysl!$B$2:$N$2</c:f>
              <c:numCache>
                <c:formatCode>#,##0.00</c:formatCode>
                <c:ptCount val="13"/>
                <c:pt idx="0">
                  <c:v>52.913322003023524</c:v>
                </c:pt>
                <c:pt idx="1">
                  <c:v>52.19708080309988</c:v>
                </c:pt>
                <c:pt idx="2">
                  <c:v>52.800148087103992</c:v>
                </c:pt>
                <c:pt idx="3">
                  <c:v>53.487097227688409</c:v>
                </c:pt>
                <c:pt idx="4">
                  <c:v>53.072356175770288</c:v>
                </c:pt>
                <c:pt idx="5">
                  <c:v>51.082467004867091</c:v>
                </c:pt>
                <c:pt idx="6">
                  <c:v>50.956428356273818</c:v>
                </c:pt>
                <c:pt idx="7">
                  <c:v>50.971731995808781</c:v>
                </c:pt>
                <c:pt idx="8">
                  <c:v>51.526874370871823</c:v>
                </c:pt>
                <c:pt idx="9">
                  <c:v>51.743859896112276</c:v>
                </c:pt>
                <c:pt idx="10">
                  <c:v>52.283601909233646</c:v>
                </c:pt>
                <c:pt idx="11">
                  <c:v>49.433263839882976</c:v>
                </c:pt>
                <c:pt idx="12">
                  <c:v>46.744675120481944</c:v>
                </c:pt>
              </c:numCache>
            </c:numRef>
          </c:val>
          <c:smooth val="0"/>
          <c:extLst>
            <c:ext xmlns:c16="http://schemas.microsoft.com/office/drawing/2014/chart" uri="{C3380CC4-5D6E-409C-BE32-E72D297353CC}">
              <c16:uniqueId val="{00000004-8645-4B6B-A221-EC37C1B029CF}"/>
            </c:ext>
          </c:extLst>
        </c:ser>
        <c:dLbls>
          <c:showLegendKey val="0"/>
          <c:showVal val="0"/>
          <c:showCatName val="0"/>
          <c:showSerName val="0"/>
          <c:showPercent val="0"/>
          <c:showBubbleSize val="0"/>
        </c:dLbls>
        <c:smooth val="0"/>
        <c:axId val="997725615"/>
        <c:axId val="997712303"/>
      </c:lineChart>
      <c:catAx>
        <c:axId val="997725615"/>
        <c:scaling>
          <c:orientation val="minMax"/>
        </c:scaling>
        <c:delete val="0"/>
        <c:axPos val="b"/>
        <c:numFmt formatCode="General" sourceLinked="1"/>
        <c:majorTickMark val="none"/>
        <c:minorTickMark val="none"/>
        <c:tickLblPos val="nextTo"/>
        <c:spPr>
          <a:noFill/>
          <a:ln w="6350" cap="flat" cmpd="sng" algn="ctr">
            <a:solidFill>
              <a:schemeClr val="tx1"/>
            </a:solidFill>
            <a:prstDash val="dash"/>
            <a:round/>
          </a:ln>
          <a:effectLst/>
        </c:spPr>
        <c:txPr>
          <a:bodyPr rot="-5400000" spcFirstLastPara="1" vertOverflow="ellipsis" wrap="square" anchor="ctr" anchorCtr="1"/>
          <a:lstStyle/>
          <a:p>
            <a:pPr>
              <a:defRPr sz="800" b="0" i="0" u="none" strike="noStrike" baseline="0">
                <a:solidFill>
                  <a:sysClr val="windowText" lastClr="000000"/>
                </a:solidFill>
                <a:latin typeface="+mn-lt"/>
                <a:ea typeface="+mn-ea"/>
                <a:cs typeface="+mn-cs"/>
              </a:defRPr>
            </a:pPr>
            <a:endParaRPr lang="cs-CZ"/>
          </a:p>
        </c:txPr>
        <c:crossAx val="997712303"/>
        <c:crosses val="autoZero"/>
        <c:auto val="1"/>
        <c:lblAlgn val="ctr"/>
        <c:lblOffset val="100"/>
        <c:noMultiLvlLbl val="0"/>
      </c:catAx>
      <c:valAx>
        <c:axId val="997712303"/>
        <c:scaling>
          <c:orientation val="minMax"/>
          <c:max val="65"/>
          <c:min val="30"/>
        </c:scaling>
        <c:delete val="0"/>
        <c:axPos val="l"/>
        <c:majorGridlines>
          <c:spPr>
            <a:ln w="6350" cap="flat" cmpd="sng" algn="ctr">
              <a:solidFill>
                <a:schemeClr val="tx1"/>
              </a:solidFill>
              <a:prstDash val="dash"/>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baseline="0">
                <a:solidFill>
                  <a:sysClr val="windowText" lastClr="000000"/>
                </a:solidFill>
                <a:latin typeface="+mn-lt"/>
                <a:ea typeface="+mn-ea"/>
                <a:cs typeface="+mn-cs"/>
              </a:defRPr>
            </a:pPr>
            <a:endParaRPr lang="cs-CZ"/>
          </a:p>
        </c:txPr>
        <c:crossAx val="997725615"/>
        <c:crosses val="autoZero"/>
        <c:crossBetween val="between"/>
      </c:valAx>
      <c:spPr>
        <a:noFill/>
        <a:ln>
          <a:noFill/>
        </a:ln>
        <a:effectLst/>
      </c:spPr>
    </c:plotArea>
    <c:legend>
      <c:legendPos val="b"/>
      <c:layout>
        <c:manualLayout>
          <c:xMode val="edge"/>
          <c:yMode val="edge"/>
          <c:x val="4.3817160240481996E-2"/>
          <c:y val="0.76732180730235622"/>
          <c:w val="0.93734486353235802"/>
          <c:h val="0.19788549916328593"/>
        </c:manualLayout>
      </c:layout>
      <c:overlay val="0"/>
      <c:spPr>
        <a:noFill/>
        <a:ln>
          <a:noFill/>
        </a:ln>
        <a:effectLst/>
      </c:spPr>
      <c:txPr>
        <a:bodyPr rot="0" spcFirstLastPara="1" vertOverflow="ellipsis" vert="horz" wrap="square" anchor="ctr" anchorCtr="1"/>
        <a:lstStyle/>
        <a:p>
          <a:pPr>
            <a:defRPr sz="900" b="0" i="0" u="none" strike="noStrike" baseline="0">
              <a:solidFill>
                <a:schemeClr val="tx1">
                  <a:lumMod val="65000"/>
                  <a:lumOff val="35000"/>
                </a:schemeClr>
              </a:solidFill>
              <a:latin typeface="+mn-lt"/>
              <a:ea typeface="+mn-ea"/>
              <a:cs typeface="+mn-cs"/>
            </a:defRPr>
          </a:pPr>
          <a:endParaRPr lang="cs-CZ"/>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cs-CZ"/>
    </a:p>
  </c:txPr>
  <c:externalData r:id="rId3">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1719171032014005E-2"/>
          <c:y val="5.9347181008902079E-2"/>
          <c:w val="0.86248565827689527"/>
          <c:h val="0.58895735971147933"/>
        </c:manualLayout>
      </c:layout>
      <c:lineChart>
        <c:grouping val="standard"/>
        <c:varyColors val="0"/>
        <c:ser>
          <c:idx val="1"/>
          <c:order val="1"/>
          <c:tx>
            <c:strRef>
              <c:f>GRAF_Mzdy_HPH_Total!$A$6</c:f>
              <c:strCache>
                <c:ptCount val="1"/>
                <c:pt idx="0">
                  <c:v>Česká republika</c:v>
                </c:pt>
              </c:strCache>
            </c:strRef>
          </c:tx>
          <c:spPr>
            <a:ln w="12700" cap="rnd">
              <a:solidFill>
                <a:schemeClr val="accent1"/>
              </a:solidFill>
              <a:round/>
            </a:ln>
            <a:effectLst/>
          </c:spPr>
          <c:marker>
            <c:symbol val="none"/>
          </c:marker>
          <c:cat>
            <c:numRef>
              <c:f>GRAF_Mzdy_HPH_Total!$H$1:$T$1</c:f>
              <c:numCache>
                <c:formatCode>General</c:formatCode>
                <c:ptCount val="13"/>
                <c:pt idx="0">
                  <c:v>2011</c:v>
                </c:pt>
                <c:pt idx="1">
                  <c:v>2012</c:v>
                </c:pt>
                <c:pt idx="2">
                  <c:v>2013</c:v>
                </c:pt>
                <c:pt idx="3">
                  <c:v>2014</c:v>
                </c:pt>
                <c:pt idx="4">
                  <c:v>2015</c:v>
                </c:pt>
                <c:pt idx="5">
                  <c:v>2016</c:v>
                </c:pt>
                <c:pt idx="6">
                  <c:v>2017</c:v>
                </c:pt>
                <c:pt idx="7">
                  <c:v>2018</c:v>
                </c:pt>
                <c:pt idx="8">
                  <c:v>2019</c:v>
                </c:pt>
                <c:pt idx="9">
                  <c:v>2020</c:v>
                </c:pt>
                <c:pt idx="10">
                  <c:v>2021</c:v>
                </c:pt>
                <c:pt idx="11">
                  <c:v>2022</c:v>
                </c:pt>
                <c:pt idx="12">
                  <c:v>2023</c:v>
                </c:pt>
              </c:numCache>
              <c:extLst/>
            </c:numRef>
          </c:cat>
          <c:val>
            <c:numRef>
              <c:f>GRAF_Mzdy_HPH_Total!$H$6:$T$6</c:f>
              <c:numCache>
                <c:formatCode>#,##0.00</c:formatCode>
                <c:ptCount val="13"/>
                <c:pt idx="0">
                  <c:v>34.78781292677872</c:v>
                </c:pt>
                <c:pt idx="1">
                  <c:v>35.645508270302287</c:v>
                </c:pt>
                <c:pt idx="2">
                  <c:v>35.585197187179304</c:v>
                </c:pt>
                <c:pt idx="3">
                  <c:v>34.883315324830541</c:v>
                </c:pt>
                <c:pt idx="4">
                  <c:v>34.638968611908339</c:v>
                </c:pt>
                <c:pt idx="5">
                  <c:v>35.189460346114458</c:v>
                </c:pt>
                <c:pt idx="6">
                  <c:v>35.947998872683876</c:v>
                </c:pt>
                <c:pt idx="7">
                  <c:v>37.158172128905406</c:v>
                </c:pt>
                <c:pt idx="8">
                  <c:v>37.151683999894054</c:v>
                </c:pt>
                <c:pt idx="9">
                  <c:v>37.397982291547422</c:v>
                </c:pt>
                <c:pt idx="10">
                  <c:v>37.08222411817674</c:v>
                </c:pt>
                <c:pt idx="11">
                  <c:v>36.235839798147744</c:v>
                </c:pt>
                <c:pt idx="12">
                  <c:v>35.800512019698452</c:v>
                </c:pt>
              </c:numCache>
              <c:extLst/>
            </c:numRef>
          </c:val>
          <c:smooth val="0"/>
          <c:extLst>
            <c:ext xmlns:c16="http://schemas.microsoft.com/office/drawing/2014/chart" uri="{C3380CC4-5D6E-409C-BE32-E72D297353CC}">
              <c16:uniqueId val="{00000000-E09E-40EE-99F5-9E1D9A238DD7}"/>
            </c:ext>
          </c:extLst>
        </c:ser>
        <c:ser>
          <c:idx val="4"/>
          <c:order val="4"/>
          <c:tx>
            <c:strRef>
              <c:f>GRAF_Mzdy_HPH_Total!$A$8</c:f>
              <c:strCache>
                <c:ptCount val="1"/>
                <c:pt idx="0">
                  <c:v>Německo</c:v>
                </c:pt>
              </c:strCache>
            </c:strRef>
          </c:tx>
          <c:spPr>
            <a:ln w="12700" cap="rnd">
              <a:solidFill>
                <a:schemeClr val="accent5"/>
              </a:solidFill>
              <a:round/>
            </a:ln>
            <a:effectLst/>
          </c:spPr>
          <c:marker>
            <c:symbol val="none"/>
          </c:marker>
          <c:cat>
            <c:numRef>
              <c:f>GRAF_Mzdy_HPH_Total!$H$1:$T$1</c:f>
              <c:numCache>
                <c:formatCode>General</c:formatCode>
                <c:ptCount val="13"/>
                <c:pt idx="0">
                  <c:v>2011</c:v>
                </c:pt>
                <c:pt idx="1">
                  <c:v>2012</c:v>
                </c:pt>
                <c:pt idx="2">
                  <c:v>2013</c:v>
                </c:pt>
                <c:pt idx="3">
                  <c:v>2014</c:v>
                </c:pt>
                <c:pt idx="4">
                  <c:v>2015</c:v>
                </c:pt>
                <c:pt idx="5">
                  <c:v>2016</c:v>
                </c:pt>
                <c:pt idx="6">
                  <c:v>2017</c:v>
                </c:pt>
                <c:pt idx="7">
                  <c:v>2018</c:v>
                </c:pt>
                <c:pt idx="8">
                  <c:v>2019</c:v>
                </c:pt>
                <c:pt idx="9">
                  <c:v>2020</c:v>
                </c:pt>
                <c:pt idx="10">
                  <c:v>2021</c:v>
                </c:pt>
                <c:pt idx="11">
                  <c:v>2022</c:v>
                </c:pt>
                <c:pt idx="12">
                  <c:v>2023</c:v>
                </c:pt>
              </c:numCache>
              <c:extLst/>
            </c:numRef>
          </c:cat>
          <c:val>
            <c:numRef>
              <c:f>GRAF_Mzdy_HPH_Total!$H$8:$T$8</c:f>
              <c:numCache>
                <c:formatCode>#,##0.00</c:formatCode>
                <c:ptCount val="13"/>
                <c:pt idx="0">
                  <c:v>45.540236359222682</c:v>
                </c:pt>
                <c:pt idx="1">
                  <c:v>46.539378700624546</c:v>
                </c:pt>
                <c:pt idx="2">
                  <c:v>46.834722967795585</c:v>
                </c:pt>
                <c:pt idx="3">
                  <c:v>46.746538372075811</c:v>
                </c:pt>
                <c:pt idx="4">
                  <c:v>47.119345192173462</c:v>
                </c:pt>
                <c:pt idx="5">
                  <c:v>47.296863036738031</c:v>
                </c:pt>
                <c:pt idx="6">
                  <c:v>47.284647057105225</c:v>
                </c:pt>
                <c:pt idx="7">
                  <c:v>48.142271533031561</c:v>
                </c:pt>
                <c:pt idx="8">
                  <c:v>48.612056538000942</c:v>
                </c:pt>
                <c:pt idx="9">
                  <c:v>48.946386005338944</c:v>
                </c:pt>
                <c:pt idx="10">
                  <c:v>47.831308790166702</c:v>
                </c:pt>
                <c:pt idx="11">
                  <c:v>47.246631266903499</c:v>
                </c:pt>
                <c:pt idx="12">
                  <c:v>47.133463148924243</c:v>
                </c:pt>
              </c:numCache>
              <c:extLst/>
            </c:numRef>
          </c:val>
          <c:smooth val="0"/>
          <c:extLst>
            <c:ext xmlns:c16="http://schemas.microsoft.com/office/drawing/2014/chart" uri="{C3380CC4-5D6E-409C-BE32-E72D297353CC}">
              <c16:uniqueId val="{00000001-E09E-40EE-99F5-9E1D9A238DD7}"/>
            </c:ext>
          </c:extLst>
        </c:ser>
        <c:ser>
          <c:idx val="2"/>
          <c:order val="2"/>
          <c:tx>
            <c:strRef>
              <c:f>GRAF_Mzdy_HPH_Total!$A$24</c:f>
              <c:strCache>
                <c:ptCount val="1"/>
                <c:pt idx="0">
                  <c:v>Polsko</c:v>
                </c:pt>
              </c:strCache>
            </c:strRef>
          </c:tx>
          <c:spPr>
            <a:ln w="12700" cap="rnd">
              <a:solidFill>
                <a:schemeClr val="accent3"/>
              </a:solidFill>
              <a:round/>
            </a:ln>
            <a:effectLst/>
          </c:spPr>
          <c:marker>
            <c:symbol val="none"/>
          </c:marker>
          <c:cat>
            <c:numRef>
              <c:f>GRAF_Mzdy_HPH_Total!$H$1:$T$1</c:f>
              <c:numCache>
                <c:formatCode>General</c:formatCode>
                <c:ptCount val="13"/>
                <c:pt idx="0">
                  <c:v>2011</c:v>
                </c:pt>
                <c:pt idx="1">
                  <c:v>2012</c:v>
                </c:pt>
                <c:pt idx="2">
                  <c:v>2013</c:v>
                </c:pt>
                <c:pt idx="3">
                  <c:v>2014</c:v>
                </c:pt>
                <c:pt idx="4">
                  <c:v>2015</c:v>
                </c:pt>
                <c:pt idx="5">
                  <c:v>2016</c:v>
                </c:pt>
                <c:pt idx="6">
                  <c:v>2017</c:v>
                </c:pt>
                <c:pt idx="7">
                  <c:v>2018</c:v>
                </c:pt>
                <c:pt idx="8">
                  <c:v>2019</c:v>
                </c:pt>
                <c:pt idx="9">
                  <c:v>2020</c:v>
                </c:pt>
                <c:pt idx="10">
                  <c:v>2021</c:v>
                </c:pt>
                <c:pt idx="11">
                  <c:v>2022</c:v>
                </c:pt>
                <c:pt idx="12">
                  <c:v>2023</c:v>
                </c:pt>
              </c:numCache>
              <c:extLst/>
            </c:numRef>
          </c:cat>
          <c:val>
            <c:numRef>
              <c:f>GRAF_Mzdy_HPH_Total!$H$24:$T$24</c:f>
              <c:numCache>
                <c:formatCode>#,##0.00</c:formatCode>
                <c:ptCount val="13"/>
                <c:pt idx="0">
                  <c:v>36.417706522668553</c:v>
                </c:pt>
                <c:pt idx="1">
                  <c:v>35.834517116269573</c:v>
                </c:pt>
                <c:pt idx="2">
                  <c:v>36.084593616734331</c:v>
                </c:pt>
                <c:pt idx="3">
                  <c:v>36.184233926812837</c:v>
                </c:pt>
                <c:pt idx="4">
                  <c:v>35.525121460277077</c:v>
                </c:pt>
                <c:pt idx="5">
                  <c:v>36.861620571838834</c:v>
                </c:pt>
                <c:pt idx="6">
                  <c:v>37.393097065394294</c:v>
                </c:pt>
                <c:pt idx="7">
                  <c:v>37.997795153364514</c:v>
                </c:pt>
                <c:pt idx="8">
                  <c:v>38.354774085805168</c:v>
                </c:pt>
                <c:pt idx="9">
                  <c:v>39.230689226740481</c:v>
                </c:pt>
                <c:pt idx="10">
                  <c:v>38.148196664307989</c:v>
                </c:pt>
                <c:pt idx="11">
                  <c:v>36.246660108873954</c:v>
                </c:pt>
                <c:pt idx="12">
                  <c:v>36.451541998615134</c:v>
                </c:pt>
              </c:numCache>
              <c:extLst/>
            </c:numRef>
          </c:val>
          <c:smooth val="0"/>
          <c:extLst>
            <c:ext xmlns:c16="http://schemas.microsoft.com/office/drawing/2014/chart" uri="{C3380CC4-5D6E-409C-BE32-E72D297353CC}">
              <c16:uniqueId val="{00000002-E09E-40EE-99F5-9E1D9A238DD7}"/>
            </c:ext>
          </c:extLst>
        </c:ser>
        <c:ser>
          <c:idx val="3"/>
          <c:order val="3"/>
          <c:tx>
            <c:strRef>
              <c:f>GRAF_Mzdy_HPH_Total!$A$28</c:f>
              <c:strCache>
                <c:ptCount val="1"/>
                <c:pt idx="0">
                  <c:v>Slovensko</c:v>
                </c:pt>
              </c:strCache>
            </c:strRef>
          </c:tx>
          <c:spPr>
            <a:ln w="12700" cap="rnd">
              <a:solidFill>
                <a:schemeClr val="accent4"/>
              </a:solidFill>
              <a:round/>
            </a:ln>
            <a:effectLst/>
          </c:spPr>
          <c:marker>
            <c:symbol val="none"/>
          </c:marker>
          <c:cat>
            <c:numRef>
              <c:f>GRAF_Mzdy_HPH_Total!$H$1:$T$1</c:f>
              <c:numCache>
                <c:formatCode>General</c:formatCode>
                <c:ptCount val="13"/>
                <c:pt idx="0">
                  <c:v>2011</c:v>
                </c:pt>
                <c:pt idx="1">
                  <c:v>2012</c:v>
                </c:pt>
                <c:pt idx="2">
                  <c:v>2013</c:v>
                </c:pt>
                <c:pt idx="3">
                  <c:v>2014</c:v>
                </c:pt>
                <c:pt idx="4">
                  <c:v>2015</c:v>
                </c:pt>
                <c:pt idx="5">
                  <c:v>2016</c:v>
                </c:pt>
                <c:pt idx="6">
                  <c:v>2017</c:v>
                </c:pt>
                <c:pt idx="7">
                  <c:v>2018</c:v>
                </c:pt>
                <c:pt idx="8">
                  <c:v>2019</c:v>
                </c:pt>
                <c:pt idx="9">
                  <c:v>2020</c:v>
                </c:pt>
                <c:pt idx="10">
                  <c:v>2021</c:v>
                </c:pt>
                <c:pt idx="11">
                  <c:v>2022</c:v>
                </c:pt>
                <c:pt idx="12">
                  <c:v>2023</c:v>
                </c:pt>
              </c:numCache>
              <c:extLst/>
            </c:numRef>
          </c:cat>
          <c:val>
            <c:numRef>
              <c:f>GRAF_Mzdy_HPH_Total!$H$28:$T$28</c:f>
              <c:numCache>
                <c:formatCode>#,##0.00</c:formatCode>
                <c:ptCount val="13"/>
                <c:pt idx="0">
                  <c:v>31.336674930443543</c:v>
                </c:pt>
                <c:pt idx="1">
                  <c:v>31.161404530889371</c:v>
                </c:pt>
                <c:pt idx="2">
                  <c:v>31.318478339888461</c:v>
                </c:pt>
                <c:pt idx="3">
                  <c:v>31.755770809581414</c:v>
                </c:pt>
                <c:pt idx="4">
                  <c:v>32.141099762006078</c:v>
                </c:pt>
                <c:pt idx="5">
                  <c:v>33.474930942149797</c:v>
                </c:pt>
                <c:pt idx="6">
                  <c:v>34.602745251568976</c:v>
                </c:pt>
                <c:pt idx="7">
                  <c:v>35.351905739511878</c:v>
                </c:pt>
                <c:pt idx="8">
                  <c:v>36.120119679055456</c:v>
                </c:pt>
                <c:pt idx="9">
                  <c:v>37.065310799197938</c:v>
                </c:pt>
                <c:pt idx="10">
                  <c:v>36.615385303317225</c:v>
                </c:pt>
                <c:pt idx="11">
                  <c:v>36.141416494028135</c:v>
                </c:pt>
                <c:pt idx="12">
                  <c:v>34.69549357813235</c:v>
                </c:pt>
              </c:numCache>
              <c:extLst/>
            </c:numRef>
          </c:val>
          <c:smooth val="0"/>
          <c:extLst>
            <c:ext xmlns:c16="http://schemas.microsoft.com/office/drawing/2014/chart" uri="{C3380CC4-5D6E-409C-BE32-E72D297353CC}">
              <c16:uniqueId val="{00000003-E09E-40EE-99F5-9E1D9A238DD7}"/>
            </c:ext>
          </c:extLst>
        </c:ser>
        <c:ser>
          <c:idx val="0"/>
          <c:order val="0"/>
          <c:tx>
            <c:strRef>
              <c:f>GRAF_Mzdy_HPH_Total!$A$2</c:f>
              <c:strCache>
                <c:ptCount val="1"/>
                <c:pt idx="0">
                  <c:v>EU27</c:v>
                </c:pt>
              </c:strCache>
            </c:strRef>
          </c:tx>
          <c:spPr>
            <a:ln w="12700" cap="rnd">
              <a:solidFill>
                <a:schemeClr val="tx1"/>
              </a:solidFill>
              <a:round/>
            </a:ln>
            <a:effectLst/>
          </c:spPr>
          <c:marker>
            <c:symbol val="none"/>
          </c:marker>
          <c:cat>
            <c:numRef>
              <c:f>GRAF_Mzdy_HPH_Total!$H$1:$T$1</c:f>
              <c:numCache>
                <c:formatCode>General</c:formatCode>
                <c:ptCount val="13"/>
                <c:pt idx="0">
                  <c:v>2011</c:v>
                </c:pt>
                <c:pt idx="1">
                  <c:v>2012</c:v>
                </c:pt>
                <c:pt idx="2">
                  <c:v>2013</c:v>
                </c:pt>
                <c:pt idx="3">
                  <c:v>2014</c:v>
                </c:pt>
                <c:pt idx="4">
                  <c:v>2015</c:v>
                </c:pt>
                <c:pt idx="5">
                  <c:v>2016</c:v>
                </c:pt>
                <c:pt idx="6">
                  <c:v>2017</c:v>
                </c:pt>
                <c:pt idx="7">
                  <c:v>2018</c:v>
                </c:pt>
                <c:pt idx="8">
                  <c:v>2019</c:v>
                </c:pt>
                <c:pt idx="9">
                  <c:v>2020</c:v>
                </c:pt>
                <c:pt idx="10">
                  <c:v>2021</c:v>
                </c:pt>
                <c:pt idx="11">
                  <c:v>2022</c:v>
                </c:pt>
                <c:pt idx="12">
                  <c:v>2023</c:v>
                </c:pt>
              </c:numCache>
              <c:extLst/>
            </c:numRef>
          </c:cat>
          <c:val>
            <c:numRef>
              <c:f>GRAF_Mzdy_HPH_Total!$H$2:$T$2</c:f>
              <c:numCache>
                <c:formatCode>#,##0.00</c:formatCode>
                <c:ptCount val="13"/>
                <c:pt idx="0">
                  <c:v>41.016439660715207</c:v>
                </c:pt>
                <c:pt idx="1">
                  <c:v>41.305306612034634</c:v>
                </c:pt>
                <c:pt idx="2">
                  <c:v>41.329072353640704</c:v>
                </c:pt>
                <c:pt idx="3">
                  <c:v>41.222274684455769</c:v>
                </c:pt>
                <c:pt idx="4">
                  <c:v>40.961605615146027</c:v>
                </c:pt>
                <c:pt idx="5">
                  <c:v>41.289717888554968</c:v>
                </c:pt>
                <c:pt idx="6">
                  <c:v>41.353510672298825</c:v>
                </c:pt>
                <c:pt idx="7">
                  <c:v>41.803345834201615</c:v>
                </c:pt>
                <c:pt idx="8">
                  <c:v>42.04580140179683</c:v>
                </c:pt>
                <c:pt idx="9">
                  <c:v>42.765624549167832</c:v>
                </c:pt>
                <c:pt idx="10">
                  <c:v>41.92261139030213</c:v>
                </c:pt>
                <c:pt idx="11">
                  <c:v>41.148779347285171</c:v>
                </c:pt>
                <c:pt idx="12">
                  <c:v>41.239132939919024</c:v>
                </c:pt>
              </c:numCache>
              <c:extLst/>
            </c:numRef>
          </c:val>
          <c:smooth val="0"/>
          <c:extLst>
            <c:ext xmlns:c16="http://schemas.microsoft.com/office/drawing/2014/chart" uri="{C3380CC4-5D6E-409C-BE32-E72D297353CC}">
              <c16:uniqueId val="{00000004-E09E-40EE-99F5-9E1D9A238DD7}"/>
            </c:ext>
          </c:extLst>
        </c:ser>
        <c:dLbls>
          <c:showLegendKey val="0"/>
          <c:showVal val="0"/>
          <c:showCatName val="0"/>
          <c:showSerName val="0"/>
          <c:showPercent val="0"/>
          <c:showBubbleSize val="0"/>
        </c:dLbls>
        <c:smooth val="0"/>
        <c:axId val="997725615"/>
        <c:axId val="997712303"/>
        <c:extLst>
          <c:ext xmlns:c15="http://schemas.microsoft.com/office/drawing/2012/chart" uri="{02D57815-91ED-43cb-92C2-25804820EDAC}">
            <c15:filteredLineSeries>
              <c15:ser>
                <c:idx val="5"/>
                <c:order val="5"/>
                <c:tx>
                  <c:strRef>
                    <c:extLst>
                      <c:ext uri="{02D57815-91ED-43cb-92C2-25804820EDAC}">
                        <c15:formulaRef>
                          <c15:sqref>GRAF_Mzdy_HPH_Total!$A$23</c15:sqref>
                        </c15:formulaRef>
                      </c:ext>
                    </c:extLst>
                    <c:strCache>
                      <c:ptCount val="1"/>
                      <c:pt idx="0">
                        <c:v>Rakousko</c:v>
                      </c:pt>
                    </c:strCache>
                  </c:strRef>
                </c:tx>
                <c:spPr>
                  <a:ln w="28575" cap="rnd">
                    <a:solidFill>
                      <a:schemeClr val="accent6"/>
                    </a:solidFill>
                    <a:round/>
                  </a:ln>
                  <a:effectLst/>
                </c:spPr>
                <c:marker>
                  <c:symbol val="none"/>
                </c:marker>
                <c:cat>
                  <c:numRef>
                    <c:extLst>
                      <c:ext uri="{02D57815-91ED-43cb-92C2-25804820EDAC}">
                        <c15:formulaRef>
                          <c15:sqref>GRAF_Mzdy_HPH_Total!$H$1:$T$1</c15:sqref>
                        </c15:formulaRef>
                      </c:ext>
                    </c:extLst>
                    <c:numCache>
                      <c:formatCode>General</c:formatCode>
                      <c:ptCount val="13"/>
                      <c:pt idx="0">
                        <c:v>2011</c:v>
                      </c:pt>
                      <c:pt idx="1">
                        <c:v>2012</c:v>
                      </c:pt>
                      <c:pt idx="2">
                        <c:v>2013</c:v>
                      </c:pt>
                      <c:pt idx="3">
                        <c:v>2014</c:v>
                      </c:pt>
                      <c:pt idx="4">
                        <c:v>2015</c:v>
                      </c:pt>
                      <c:pt idx="5">
                        <c:v>2016</c:v>
                      </c:pt>
                      <c:pt idx="6">
                        <c:v>2017</c:v>
                      </c:pt>
                      <c:pt idx="7">
                        <c:v>2018</c:v>
                      </c:pt>
                      <c:pt idx="8">
                        <c:v>2019</c:v>
                      </c:pt>
                      <c:pt idx="9">
                        <c:v>2020</c:v>
                      </c:pt>
                      <c:pt idx="10">
                        <c:v>2021</c:v>
                      </c:pt>
                      <c:pt idx="11">
                        <c:v>2022</c:v>
                      </c:pt>
                      <c:pt idx="12">
                        <c:v>2023</c:v>
                      </c:pt>
                    </c:numCache>
                  </c:numRef>
                </c:cat>
                <c:val>
                  <c:numRef>
                    <c:extLst>
                      <c:ext uri="{02D57815-91ED-43cb-92C2-25804820EDAC}">
                        <c15:formulaRef>
                          <c15:sqref>GRAF_Mzdy_HPH_Total!$H$23:$T$23</c15:sqref>
                        </c15:formulaRef>
                      </c:ext>
                    </c:extLst>
                    <c:numCache>
                      <c:formatCode>#,##0.00</c:formatCode>
                      <c:ptCount val="13"/>
                      <c:pt idx="0">
                        <c:v>43.065621336883694</c:v>
                      </c:pt>
                      <c:pt idx="1">
                        <c:v>43.745684155286476</c:v>
                      </c:pt>
                      <c:pt idx="2">
                        <c:v>44.133513406013769</c:v>
                      </c:pt>
                      <c:pt idx="3">
                        <c:v>43.995024731672622</c:v>
                      </c:pt>
                      <c:pt idx="4">
                        <c:v>43.942421402974283</c:v>
                      </c:pt>
                      <c:pt idx="5">
                        <c:v>43.942816599451888</c:v>
                      </c:pt>
                      <c:pt idx="6">
                        <c:v>44.058621175362035</c:v>
                      </c:pt>
                      <c:pt idx="7">
                        <c:v>44.261966514933611</c:v>
                      </c:pt>
                      <c:pt idx="8">
                        <c:v>44.807917444440534</c:v>
                      </c:pt>
                      <c:pt idx="9">
                        <c:v>46.419560375974761</c:v>
                      </c:pt>
                      <c:pt idx="10">
                        <c:v>45.939310867710084</c:v>
                      </c:pt>
                      <c:pt idx="11">
                        <c:v>44.831929565637807</c:v>
                      </c:pt>
                      <c:pt idx="12">
                        <c:v>45.569154857552277</c:v>
                      </c:pt>
                    </c:numCache>
                  </c:numRef>
                </c:val>
                <c:smooth val="0"/>
                <c:extLst>
                  <c:ext xmlns:c16="http://schemas.microsoft.com/office/drawing/2014/chart" uri="{C3380CC4-5D6E-409C-BE32-E72D297353CC}">
                    <c16:uniqueId val="{00000005-E09E-40EE-99F5-9E1D9A238DD7}"/>
                  </c:ext>
                </c:extLst>
              </c15:ser>
            </c15:filteredLineSeries>
            <c15:filteredLineSeries>
              <c15:ser>
                <c:idx val="6"/>
                <c:order val="6"/>
                <c:tx>
                  <c:strRef>
                    <c:extLst xmlns:c15="http://schemas.microsoft.com/office/drawing/2012/chart">
                      <c:ext xmlns:c15="http://schemas.microsoft.com/office/drawing/2012/chart" uri="{02D57815-91ED-43cb-92C2-25804820EDAC}">
                        <c15:formulaRef>
                          <c15:sqref>GRAF_Mzdy_HPH_Total!$A$20</c15:sqref>
                        </c15:formulaRef>
                      </c:ext>
                    </c:extLst>
                    <c:strCache>
                      <c:ptCount val="1"/>
                      <c:pt idx="0">
                        <c:v>Maďarsko</c:v>
                      </c:pt>
                    </c:strCache>
                  </c:strRef>
                </c:tx>
                <c:spPr>
                  <a:ln w="28575" cap="rnd">
                    <a:solidFill>
                      <a:schemeClr val="accent1">
                        <a:lumMod val="60000"/>
                      </a:schemeClr>
                    </a:solidFill>
                    <a:round/>
                  </a:ln>
                  <a:effectLst/>
                </c:spPr>
                <c:marker>
                  <c:symbol val="none"/>
                </c:marker>
                <c:cat>
                  <c:numRef>
                    <c:extLst xmlns:c15="http://schemas.microsoft.com/office/drawing/2012/chart">
                      <c:ext xmlns:c15="http://schemas.microsoft.com/office/drawing/2012/chart" uri="{02D57815-91ED-43cb-92C2-25804820EDAC}">
                        <c15:formulaRef>
                          <c15:sqref>GRAF_Mzdy_HPH_Total!$H$1:$T$1</c15:sqref>
                        </c15:formulaRef>
                      </c:ext>
                    </c:extLst>
                    <c:numCache>
                      <c:formatCode>General</c:formatCode>
                      <c:ptCount val="13"/>
                      <c:pt idx="0">
                        <c:v>2011</c:v>
                      </c:pt>
                      <c:pt idx="1">
                        <c:v>2012</c:v>
                      </c:pt>
                      <c:pt idx="2">
                        <c:v>2013</c:v>
                      </c:pt>
                      <c:pt idx="3">
                        <c:v>2014</c:v>
                      </c:pt>
                      <c:pt idx="4">
                        <c:v>2015</c:v>
                      </c:pt>
                      <c:pt idx="5">
                        <c:v>2016</c:v>
                      </c:pt>
                      <c:pt idx="6">
                        <c:v>2017</c:v>
                      </c:pt>
                      <c:pt idx="7">
                        <c:v>2018</c:v>
                      </c:pt>
                      <c:pt idx="8">
                        <c:v>2019</c:v>
                      </c:pt>
                      <c:pt idx="9">
                        <c:v>2020</c:v>
                      </c:pt>
                      <c:pt idx="10">
                        <c:v>2021</c:v>
                      </c:pt>
                      <c:pt idx="11">
                        <c:v>2022</c:v>
                      </c:pt>
                      <c:pt idx="12">
                        <c:v>2023</c:v>
                      </c:pt>
                    </c:numCache>
                  </c:numRef>
                </c:cat>
                <c:val>
                  <c:numRef>
                    <c:extLst xmlns:c15="http://schemas.microsoft.com/office/drawing/2012/chart">
                      <c:ext xmlns:c15="http://schemas.microsoft.com/office/drawing/2012/chart" uri="{02D57815-91ED-43cb-92C2-25804820EDAC}">
                        <c15:formulaRef>
                          <c15:sqref>GRAF_Mzdy_HPH_Total!$H$20:$T$20</c15:sqref>
                        </c15:formulaRef>
                      </c:ext>
                    </c:extLst>
                    <c:numCache>
                      <c:formatCode>#,##0.00</c:formatCode>
                      <c:ptCount val="13"/>
                      <c:pt idx="0">
                        <c:v>41.435757975250873</c:v>
                      </c:pt>
                      <c:pt idx="1">
                        <c:v>42.522212715935567</c:v>
                      </c:pt>
                      <c:pt idx="2">
                        <c:v>41.902195125623543</c:v>
                      </c:pt>
                      <c:pt idx="3">
                        <c:v>40.664759970063081</c:v>
                      </c:pt>
                      <c:pt idx="4">
                        <c:v>39.7028353756386</c:v>
                      </c:pt>
                      <c:pt idx="5">
                        <c:v>40.330154481066309</c:v>
                      </c:pt>
                      <c:pt idx="6">
                        <c:v>41.964765585041853</c:v>
                      </c:pt>
                      <c:pt idx="7">
                        <c:v>42.129475315760018</c:v>
                      </c:pt>
                      <c:pt idx="8">
                        <c:v>41.674475943656873</c:v>
                      </c:pt>
                      <c:pt idx="9">
                        <c:v>42.428691455345493</c:v>
                      </c:pt>
                      <c:pt idx="10">
                        <c:v>40.890512091649732</c:v>
                      </c:pt>
                      <c:pt idx="11">
                        <c:v>41.305809204229973</c:v>
                      </c:pt>
                      <c:pt idx="12">
                        <c:v>41.005906126643218</c:v>
                      </c:pt>
                    </c:numCache>
                  </c:numRef>
                </c:val>
                <c:smooth val="0"/>
                <c:extLst xmlns:c15="http://schemas.microsoft.com/office/drawing/2012/chart">
                  <c:ext xmlns:c16="http://schemas.microsoft.com/office/drawing/2014/chart" uri="{C3380CC4-5D6E-409C-BE32-E72D297353CC}">
                    <c16:uniqueId val="{00000006-E09E-40EE-99F5-9E1D9A238DD7}"/>
                  </c:ext>
                </c:extLst>
              </c15:ser>
            </c15:filteredLineSeries>
          </c:ext>
        </c:extLst>
      </c:lineChart>
      <c:catAx>
        <c:axId val="997725615"/>
        <c:scaling>
          <c:orientation val="minMax"/>
        </c:scaling>
        <c:delete val="0"/>
        <c:axPos val="b"/>
        <c:numFmt formatCode="General" sourceLinked="1"/>
        <c:majorTickMark val="none"/>
        <c:minorTickMark val="none"/>
        <c:tickLblPos val="nextTo"/>
        <c:spPr>
          <a:noFill/>
          <a:ln w="6350" cap="flat" cmpd="sng" algn="ctr">
            <a:solidFill>
              <a:schemeClr val="tx1"/>
            </a:solidFill>
            <a:prstDash val="dash"/>
            <a:round/>
          </a:ln>
          <a:effectLst/>
        </c:spPr>
        <c:txPr>
          <a:bodyPr rot="-5400000" spcFirstLastPara="1" vertOverflow="ellipsis" wrap="square" anchor="ctr" anchorCtr="1"/>
          <a:lstStyle/>
          <a:p>
            <a:pPr>
              <a:defRPr sz="800" b="0" i="0" u="none" strike="noStrike" baseline="0">
                <a:solidFill>
                  <a:sysClr val="windowText" lastClr="000000"/>
                </a:solidFill>
                <a:latin typeface="+mn-lt"/>
                <a:ea typeface="+mn-ea"/>
                <a:cs typeface="+mn-cs"/>
              </a:defRPr>
            </a:pPr>
            <a:endParaRPr lang="cs-CZ"/>
          </a:p>
        </c:txPr>
        <c:crossAx val="997712303"/>
        <c:crosses val="autoZero"/>
        <c:auto val="1"/>
        <c:lblAlgn val="ctr"/>
        <c:lblOffset val="100"/>
        <c:noMultiLvlLbl val="0"/>
      </c:catAx>
      <c:valAx>
        <c:axId val="997712303"/>
        <c:scaling>
          <c:orientation val="minMax"/>
          <c:max val="65"/>
          <c:min val="30"/>
        </c:scaling>
        <c:delete val="0"/>
        <c:axPos val="l"/>
        <c:majorGridlines>
          <c:spPr>
            <a:ln w="6350" cap="flat" cmpd="sng" algn="ctr">
              <a:solidFill>
                <a:schemeClr val="tx1"/>
              </a:solidFill>
              <a:prstDash val="dash"/>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baseline="0">
                <a:solidFill>
                  <a:sysClr val="windowText" lastClr="000000"/>
                </a:solidFill>
                <a:latin typeface="+mn-lt"/>
                <a:ea typeface="+mn-ea"/>
                <a:cs typeface="+mn-cs"/>
              </a:defRPr>
            </a:pPr>
            <a:endParaRPr lang="cs-CZ"/>
          </a:p>
        </c:txPr>
        <c:crossAx val="997725615"/>
        <c:crosses val="autoZero"/>
        <c:crossBetween val="between"/>
      </c:valAx>
      <c:spPr>
        <a:noFill/>
        <a:ln>
          <a:noFill/>
        </a:ln>
        <a:effectLst/>
      </c:spPr>
    </c:plotArea>
    <c:legend>
      <c:legendPos val="b"/>
      <c:layout>
        <c:manualLayout>
          <c:xMode val="edge"/>
          <c:yMode val="edge"/>
          <c:x val="6.3483842204986526E-3"/>
          <c:y val="0.79327774749805746"/>
          <c:w val="0.98314003422344898"/>
          <c:h val="0.18024190275184673"/>
        </c:manualLayout>
      </c:layout>
      <c:overlay val="0"/>
      <c:spPr>
        <a:noFill/>
        <a:ln>
          <a:noFill/>
        </a:ln>
        <a:effectLst/>
      </c:spPr>
      <c:txPr>
        <a:bodyPr rot="0" spcFirstLastPara="1" vertOverflow="ellipsis" vert="horz" wrap="square" anchor="ctr" anchorCtr="1"/>
        <a:lstStyle/>
        <a:p>
          <a:pPr>
            <a:defRPr sz="900" b="0" i="0" u="none" strike="noStrike" baseline="0">
              <a:solidFill>
                <a:schemeClr val="tx1">
                  <a:lumMod val="65000"/>
                  <a:lumOff val="35000"/>
                </a:schemeClr>
              </a:solidFill>
              <a:latin typeface="+mn-lt"/>
              <a:ea typeface="+mn-ea"/>
              <a:cs typeface="+mn-cs"/>
            </a:defRPr>
          </a:pPr>
          <a:endParaRPr lang="cs-CZ"/>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cs-CZ"/>
    </a:p>
  </c:txPr>
  <c:externalData r:id="rId3">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2273826929002739E-2"/>
          <c:y val="5.7894736842105263E-2"/>
          <c:w val="0.8619310023799065"/>
          <c:h val="0.4705072523829259"/>
        </c:manualLayout>
      </c:layout>
      <c:barChart>
        <c:barDir val="col"/>
        <c:grouping val="clustered"/>
        <c:varyColors val="0"/>
        <c:ser>
          <c:idx val="0"/>
          <c:order val="0"/>
          <c:tx>
            <c:strRef>
              <c:f>'OECD.Stat export (2)'!$AG$3:$AG$4</c:f>
              <c:strCache>
                <c:ptCount val="2"/>
                <c:pt idx="0">
                  <c:v>2016-2019</c:v>
                </c:pt>
              </c:strCache>
            </c:strRef>
          </c:tx>
          <c:spPr>
            <a:solidFill>
              <a:schemeClr val="accent1"/>
            </a:solidFill>
            <a:ln>
              <a:noFill/>
            </a:ln>
            <a:effectLst/>
          </c:spPr>
          <c:invertIfNegative val="0"/>
          <c:cat>
            <c:strRef>
              <c:f>('OECD.Stat export (2)'!$AF$5:$AF$9,'OECD.Stat export (2)'!$AF$12:$AF$13,'OECD.Stat export (2)'!$AF$15:$AF$16,'OECD.Stat export (2)'!$AF$20:$AF$21,'OECD.Stat export (2)'!$AF$23:$AF$27,'OECD.Stat export (2)'!$AF$31,'OECD.Stat export (2)'!$AF$35,'OECD.Stat export (2)'!$AF$42)</c:f>
              <c:strCache>
                <c:ptCount val="19"/>
                <c:pt idx="0">
                  <c:v>Island</c:v>
                </c:pt>
                <c:pt idx="1">
                  <c:v>Litva</c:v>
                </c:pt>
                <c:pt idx="2">
                  <c:v>Polsko</c:v>
                </c:pt>
                <c:pt idx="3">
                  <c:v>Estonsko</c:v>
                </c:pt>
                <c:pt idx="4">
                  <c:v>Česko</c:v>
                </c:pt>
                <c:pt idx="5">
                  <c:v>Maďarsko</c:v>
                </c:pt>
                <c:pt idx="6">
                  <c:v>Slovenská republika</c:v>
                </c:pt>
                <c:pt idx="7">
                  <c:v>Korea</c:v>
                </c:pt>
                <c:pt idx="8">
                  <c:v>Slovinsko</c:v>
                </c:pt>
                <c:pt idx="9">
                  <c:v>Německo</c:v>
                </c:pt>
                <c:pt idx="10">
                  <c:v>Portugalsko</c:v>
                </c:pt>
                <c:pt idx="11">
                  <c:v>Irsko</c:v>
                </c:pt>
                <c:pt idx="12">
                  <c:v>země OECD</c:v>
                </c:pt>
                <c:pt idx="13">
                  <c:v>Spojené království</c:v>
                </c:pt>
                <c:pt idx="14">
                  <c:v>Japonsko</c:v>
                </c:pt>
                <c:pt idx="15">
                  <c:v>Spojené státy</c:v>
                </c:pt>
                <c:pt idx="16">
                  <c:v>Rakousko</c:v>
                </c:pt>
                <c:pt idx="17">
                  <c:v>Mexiko</c:v>
                </c:pt>
                <c:pt idx="18">
                  <c:v>Holandsko</c:v>
                </c:pt>
              </c:strCache>
              <c:extLst/>
            </c:strRef>
          </c:cat>
          <c:val>
            <c:numRef>
              <c:f>('OECD.Stat export (2)'!$AG$5:$AG$9,'OECD.Stat export (2)'!$AG$12:$AG$13,'OECD.Stat export (2)'!$AG$15:$AG$16,'OECD.Stat export (2)'!$AG$20:$AG$21,'OECD.Stat export (2)'!$AG$23:$AG$27,'OECD.Stat export (2)'!$AG$31,'OECD.Stat export (2)'!$AG$35,'OECD.Stat export (2)'!$AG$42)</c:f>
              <c:numCache>
                <c:formatCode>0.0</c:formatCode>
                <c:ptCount val="19"/>
                <c:pt idx="0">
                  <c:v>5.484116187891952</c:v>
                </c:pt>
                <c:pt idx="1">
                  <c:v>5.4731682927080971</c:v>
                </c:pt>
                <c:pt idx="2">
                  <c:v>5.4712342207010822</c:v>
                </c:pt>
                <c:pt idx="3">
                  <c:v>4.7142227366615108</c:v>
                </c:pt>
                <c:pt idx="4">
                  <c:v>4.5225000552211903</c:v>
                </c:pt>
                <c:pt idx="5">
                  <c:v>4.049606071751688</c:v>
                </c:pt>
                <c:pt idx="6">
                  <c:v>3.074821063292732</c:v>
                </c:pt>
                <c:pt idx="7">
                  <c:v>3.0241647460872212</c:v>
                </c:pt>
                <c:pt idx="8">
                  <c:v>2.5715860656955414</c:v>
                </c:pt>
                <c:pt idx="9">
                  <c:v>1.3998272698456216</c:v>
                </c:pt>
                <c:pt idx="10">
                  <c:v>1.3870269123788859</c:v>
                </c:pt>
                <c:pt idx="11">
                  <c:v>1.2498395058288647</c:v>
                </c:pt>
                <c:pt idx="12">
                  <c:v>1.2491975229632857</c:v>
                </c:pt>
                <c:pt idx="13">
                  <c:v>1.0245451151883467</c:v>
                </c:pt>
                <c:pt idx="14">
                  <c:v>0.99888268670798031</c:v>
                </c:pt>
                <c:pt idx="15">
                  <c:v>0.99858770687433207</c:v>
                </c:pt>
                <c:pt idx="16">
                  <c:v>0.54926600903590916</c:v>
                </c:pt>
                <c:pt idx="17">
                  <c:v>0.39186938052446774</c:v>
                </c:pt>
                <c:pt idx="18">
                  <c:v>-0.52656267192039419</c:v>
                </c:pt>
              </c:numCache>
              <c:extLst/>
            </c:numRef>
          </c:val>
          <c:extLst>
            <c:ext xmlns:c16="http://schemas.microsoft.com/office/drawing/2014/chart" uri="{C3380CC4-5D6E-409C-BE32-E72D297353CC}">
              <c16:uniqueId val="{00000000-5555-4A3F-BDFA-039E7564C2B9}"/>
            </c:ext>
          </c:extLst>
        </c:ser>
        <c:ser>
          <c:idx val="1"/>
          <c:order val="1"/>
          <c:tx>
            <c:strRef>
              <c:f>'OECD.Stat export (2)'!$AH$3:$AH$4</c:f>
              <c:strCache>
                <c:ptCount val="2"/>
                <c:pt idx="0">
                  <c:v>2020-2022</c:v>
                </c:pt>
              </c:strCache>
            </c:strRef>
          </c:tx>
          <c:spPr>
            <a:solidFill>
              <a:schemeClr val="accent2"/>
            </a:solidFill>
            <a:ln>
              <a:noFill/>
            </a:ln>
            <a:effectLst/>
          </c:spPr>
          <c:invertIfNegative val="0"/>
          <c:cat>
            <c:strRef>
              <c:f>('OECD.Stat export (2)'!$AF$5:$AF$9,'OECD.Stat export (2)'!$AF$12:$AF$13,'OECD.Stat export (2)'!$AF$15:$AF$16,'OECD.Stat export (2)'!$AF$20:$AF$21,'OECD.Stat export (2)'!$AF$23:$AF$27,'OECD.Stat export (2)'!$AF$31,'OECD.Stat export (2)'!$AF$35,'OECD.Stat export (2)'!$AF$42)</c:f>
              <c:strCache>
                <c:ptCount val="19"/>
                <c:pt idx="0">
                  <c:v>Island</c:v>
                </c:pt>
                <c:pt idx="1">
                  <c:v>Litva</c:v>
                </c:pt>
                <c:pt idx="2">
                  <c:v>Polsko</c:v>
                </c:pt>
                <c:pt idx="3">
                  <c:v>Estonsko</c:v>
                </c:pt>
                <c:pt idx="4">
                  <c:v>Česko</c:v>
                </c:pt>
                <c:pt idx="5">
                  <c:v>Maďarsko</c:v>
                </c:pt>
                <c:pt idx="6">
                  <c:v>Slovenská republika</c:v>
                </c:pt>
                <c:pt idx="7">
                  <c:v>Korea</c:v>
                </c:pt>
                <c:pt idx="8">
                  <c:v>Slovinsko</c:v>
                </c:pt>
                <c:pt idx="9">
                  <c:v>Německo</c:v>
                </c:pt>
                <c:pt idx="10">
                  <c:v>Portugalsko</c:v>
                </c:pt>
                <c:pt idx="11">
                  <c:v>Irsko</c:v>
                </c:pt>
                <c:pt idx="12">
                  <c:v>země OECD</c:v>
                </c:pt>
                <c:pt idx="13">
                  <c:v>Spojené království</c:v>
                </c:pt>
                <c:pt idx="14">
                  <c:v>Japonsko</c:v>
                </c:pt>
                <c:pt idx="15">
                  <c:v>Spojené státy</c:v>
                </c:pt>
                <c:pt idx="16">
                  <c:v>Rakousko</c:v>
                </c:pt>
                <c:pt idx="17">
                  <c:v>Mexiko</c:v>
                </c:pt>
                <c:pt idx="18">
                  <c:v>Holandsko</c:v>
                </c:pt>
              </c:strCache>
              <c:extLst/>
            </c:strRef>
          </c:cat>
          <c:val>
            <c:numRef>
              <c:f>('OECD.Stat export (2)'!$AH$5:$AH$9,'OECD.Stat export (2)'!$AH$12:$AH$13,'OECD.Stat export (2)'!$AH$15:$AH$16,'OECD.Stat export (2)'!$AH$20:$AH$21,'OECD.Stat export (2)'!$AH$23:$AH$27,'OECD.Stat export (2)'!$AH$31,'OECD.Stat export (2)'!$AH$35,'OECD.Stat export (2)'!$AH$42)</c:f>
              <c:numCache>
                <c:formatCode>0.0</c:formatCode>
                <c:ptCount val="19"/>
                <c:pt idx="0">
                  <c:v>1.3120242053865416</c:v>
                </c:pt>
                <c:pt idx="1">
                  <c:v>1.4326405855679569</c:v>
                </c:pt>
                <c:pt idx="2">
                  <c:v>0.21005943754381917</c:v>
                </c:pt>
                <c:pt idx="3">
                  <c:v>1.6772312068545903</c:v>
                </c:pt>
                <c:pt idx="4">
                  <c:v>-2.4454715189371146</c:v>
                </c:pt>
                <c:pt idx="5">
                  <c:v>1.5962797143900698</c:v>
                </c:pt>
                <c:pt idx="6">
                  <c:v>-0.5546509908807562</c:v>
                </c:pt>
                <c:pt idx="7">
                  <c:v>1.1959871711726855</c:v>
                </c:pt>
                <c:pt idx="8">
                  <c:v>0.10738038893041146</c:v>
                </c:pt>
                <c:pt idx="9">
                  <c:v>-0.99430464614608249</c:v>
                </c:pt>
                <c:pt idx="10">
                  <c:v>0.89163080577239207</c:v>
                </c:pt>
                <c:pt idx="11">
                  <c:v>-0.2587526693102693</c:v>
                </c:pt>
                <c:pt idx="12">
                  <c:v>0.28069510953558918</c:v>
                </c:pt>
                <c:pt idx="13">
                  <c:v>-0.44155862676766855</c:v>
                </c:pt>
                <c:pt idx="14">
                  <c:v>-0.14661133170724705</c:v>
                </c:pt>
                <c:pt idx="15">
                  <c:v>1.9157674327225482</c:v>
                </c:pt>
                <c:pt idx="16">
                  <c:v>-0.43846250722936464</c:v>
                </c:pt>
                <c:pt idx="17">
                  <c:v>-2.5425954645096449</c:v>
                </c:pt>
                <c:pt idx="18">
                  <c:v>-1.1519292901515099</c:v>
                </c:pt>
              </c:numCache>
              <c:extLst/>
            </c:numRef>
          </c:val>
          <c:extLst>
            <c:ext xmlns:c16="http://schemas.microsoft.com/office/drawing/2014/chart" uri="{C3380CC4-5D6E-409C-BE32-E72D297353CC}">
              <c16:uniqueId val="{00000001-5555-4A3F-BDFA-039E7564C2B9}"/>
            </c:ext>
          </c:extLst>
        </c:ser>
        <c:dLbls>
          <c:showLegendKey val="0"/>
          <c:showVal val="0"/>
          <c:showCatName val="0"/>
          <c:showSerName val="0"/>
          <c:showPercent val="0"/>
          <c:showBubbleSize val="0"/>
        </c:dLbls>
        <c:gapWidth val="219"/>
        <c:overlap val="-27"/>
        <c:axId val="1454501631"/>
        <c:axId val="1454503295"/>
      </c:barChart>
      <c:catAx>
        <c:axId val="1454501631"/>
        <c:scaling>
          <c:orientation val="minMax"/>
        </c:scaling>
        <c:delete val="0"/>
        <c:axPos val="b"/>
        <c:numFmt formatCode="General" sourceLinked="1"/>
        <c:majorTickMark val="none"/>
        <c:minorTickMark val="none"/>
        <c:tickLblPos val="low"/>
        <c:spPr>
          <a:noFill/>
          <a:ln w="6350" cap="flat" cmpd="sng" algn="ctr">
            <a:solidFill>
              <a:schemeClr val="tx1"/>
            </a:solidFill>
            <a:round/>
          </a:ln>
          <a:effectLst/>
        </c:spPr>
        <c:txPr>
          <a:bodyPr rot="-5400000" spcFirstLastPara="1" vertOverflow="ellipsis" wrap="square" anchor="ctr" anchorCtr="1"/>
          <a:lstStyle/>
          <a:p>
            <a:pPr>
              <a:defRPr sz="900" b="0" i="0" u="none" strike="noStrike" kern="1200" baseline="0">
                <a:solidFill>
                  <a:sysClr val="windowText" lastClr="000000"/>
                </a:solidFill>
                <a:latin typeface="+mn-lt"/>
                <a:ea typeface="+mn-ea"/>
                <a:cs typeface="+mn-cs"/>
              </a:defRPr>
            </a:pPr>
            <a:endParaRPr lang="cs-CZ"/>
          </a:p>
        </c:txPr>
        <c:crossAx val="1454503295"/>
        <c:crosses val="autoZero"/>
        <c:auto val="1"/>
        <c:lblAlgn val="ctr"/>
        <c:lblOffset val="100"/>
        <c:tickLblSkip val="1"/>
        <c:noMultiLvlLbl val="0"/>
      </c:catAx>
      <c:valAx>
        <c:axId val="1454503295"/>
        <c:scaling>
          <c:orientation val="minMax"/>
        </c:scaling>
        <c:delete val="0"/>
        <c:axPos val="l"/>
        <c:majorGridlines>
          <c:spPr>
            <a:ln w="6350" cap="flat" cmpd="sng" algn="ctr">
              <a:solidFill>
                <a:schemeClr val="tx1"/>
              </a:solidFill>
              <a:prstDash val="dash"/>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cs-CZ"/>
          </a:p>
        </c:txPr>
        <c:crossAx val="1454501631"/>
        <c:crosses val="autoZero"/>
        <c:crossBetween val="between"/>
      </c:valAx>
      <c:spPr>
        <a:noFill/>
        <a:ln>
          <a:noFill/>
        </a:ln>
        <a:effectLst/>
      </c:spPr>
    </c:plotArea>
    <c:legend>
      <c:legendPos val="b"/>
      <c:layout>
        <c:manualLayout>
          <c:xMode val="edge"/>
          <c:yMode val="edge"/>
          <c:x val="0.25459656323142787"/>
          <c:y val="0.93223622047244092"/>
          <c:w val="0.49080654572633042"/>
          <c:h val="6.7763779527559048E-2"/>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cs-CZ"/>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solidFill>
            <a:sysClr val="windowText" lastClr="000000"/>
          </a:solidFill>
        </a:defRPr>
      </a:pPr>
      <a:endParaRPr lang="cs-CZ"/>
    </a:p>
  </c:txPr>
  <c:externalData r:id="rId3">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5412647058823528"/>
          <c:y val="5.471233456666081E-2"/>
          <c:w val="0.74748986928104577"/>
          <c:h val="0.65538235686640856"/>
        </c:manualLayout>
      </c:layout>
      <c:areaChart>
        <c:grouping val="stacked"/>
        <c:varyColors val="0"/>
        <c:ser>
          <c:idx val="0"/>
          <c:order val="0"/>
          <c:tx>
            <c:strRef>
              <c:f>GRAF!$C$26</c:f>
              <c:strCache>
                <c:ptCount val="1"/>
                <c:pt idx="0">
                  <c:v>Ostatní</c:v>
                </c:pt>
              </c:strCache>
            </c:strRef>
          </c:tx>
          <c:spPr>
            <a:solidFill>
              <a:schemeClr val="accent1"/>
            </a:solidFill>
            <a:ln>
              <a:noFill/>
            </a:ln>
            <a:effectLst/>
          </c:spPr>
          <c:cat>
            <c:strRef>
              <c:f>GRAF!$D$25:$M$25</c:f>
              <c:strCache>
                <c:ptCount val="10"/>
                <c:pt idx="0">
                  <c:v>2014</c:v>
                </c:pt>
                <c:pt idx="1">
                  <c:v>2015</c:v>
                </c:pt>
                <c:pt idx="2">
                  <c:v>2016</c:v>
                </c:pt>
                <c:pt idx="3">
                  <c:v>2017</c:v>
                </c:pt>
                <c:pt idx="4">
                  <c:v>2018</c:v>
                </c:pt>
                <c:pt idx="5">
                  <c:v>2019</c:v>
                </c:pt>
                <c:pt idx="6">
                  <c:v>2020</c:v>
                </c:pt>
                <c:pt idx="7">
                  <c:v>2021</c:v>
                </c:pt>
                <c:pt idx="8">
                  <c:v>2022</c:v>
                </c:pt>
                <c:pt idx="9">
                  <c:v>2023*</c:v>
                </c:pt>
              </c:strCache>
            </c:strRef>
          </c:cat>
          <c:val>
            <c:numRef>
              <c:f>GRAF!$D$26:$M$26</c:f>
              <c:numCache>
                <c:formatCode>0.0</c:formatCode>
                <c:ptCount val="10"/>
                <c:pt idx="0">
                  <c:v>63.757223999999994</c:v>
                </c:pt>
                <c:pt idx="1">
                  <c:v>40.294407999999997</c:v>
                </c:pt>
                <c:pt idx="2">
                  <c:v>36.805497000000003</c:v>
                </c:pt>
                <c:pt idx="3">
                  <c:v>30.452333999999997</c:v>
                </c:pt>
                <c:pt idx="4">
                  <c:v>32.944927</c:v>
                </c:pt>
                <c:pt idx="5">
                  <c:v>56.252678000000003</c:v>
                </c:pt>
                <c:pt idx="6">
                  <c:v>29.101067999999998</c:v>
                </c:pt>
                <c:pt idx="7">
                  <c:v>29.557643000000002</c:v>
                </c:pt>
                <c:pt idx="8">
                  <c:v>50.235284000000007</c:v>
                </c:pt>
                <c:pt idx="9">
                  <c:v>44.506250930180123</c:v>
                </c:pt>
              </c:numCache>
            </c:numRef>
          </c:val>
          <c:extLst>
            <c:ext xmlns:c16="http://schemas.microsoft.com/office/drawing/2014/chart" uri="{C3380CC4-5D6E-409C-BE32-E72D297353CC}">
              <c16:uniqueId val="{00000000-60B7-4A14-A2C3-F4E00D2E32D4}"/>
            </c:ext>
          </c:extLst>
        </c:ser>
        <c:ser>
          <c:idx val="1"/>
          <c:order val="1"/>
          <c:tx>
            <c:strRef>
              <c:f>GRAF!$C$27</c:f>
              <c:strCache>
                <c:ptCount val="1"/>
                <c:pt idx="0">
                  <c:v>Inf. a kom. čin.</c:v>
                </c:pt>
              </c:strCache>
            </c:strRef>
          </c:tx>
          <c:spPr>
            <a:solidFill>
              <a:schemeClr val="accent2"/>
            </a:solidFill>
            <a:ln>
              <a:noFill/>
            </a:ln>
            <a:effectLst/>
          </c:spPr>
          <c:cat>
            <c:strRef>
              <c:f>GRAF!$D$25:$M$25</c:f>
              <c:strCache>
                <c:ptCount val="10"/>
                <c:pt idx="0">
                  <c:v>2014</c:v>
                </c:pt>
                <c:pt idx="1">
                  <c:v>2015</c:v>
                </c:pt>
                <c:pt idx="2">
                  <c:v>2016</c:v>
                </c:pt>
                <c:pt idx="3">
                  <c:v>2017</c:v>
                </c:pt>
                <c:pt idx="4">
                  <c:v>2018</c:v>
                </c:pt>
                <c:pt idx="5">
                  <c:v>2019</c:v>
                </c:pt>
                <c:pt idx="6">
                  <c:v>2020</c:v>
                </c:pt>
                <c:pt idx="7">
                  <c:v>2021</c:v>
                </c:pt>
                <c:pt idx="8">
                  <c:v>2022</c:v>
                </c:pt>
                <c:pt idx="9">
                  <c:v>2023*</c:v>
                </c:pt>
              </c:strCache>
            </c:strRef>
          </c:cat>
          <c:val>
            <c:numRef>
              <c:f>GRAF!$D$27:$M$27</c:f>
              <c:numCache>
                <c:formatCode>0.0</c:formatCode>
                <c:ptCount val="10"/>
                <c:pt idx="0">
                  <c:v>13.102822</c:v>
                </c:pt>
                <c:pt idx="1">
                  <c:v>7.1093659999999996</c:v>
                </c:pt>
                <c:pt idx="2">
                  <c:v>18.041931999999999</c:v>
                </c:pt>
                <c:pt idx="3">
                  <c:v>18.540632000000002</c:v>
                </c:pt>
                <c:pt idx="4">
                  <c:v>22.781817999999998</c:v>
                </c:pt>
                <c:pt idx="5">
                  <c:v>26.819036000000001</c:v>
                </c:pt>
                <c:pt idx="6">
                  <c:v>27.871473000000002</c:v>
                </c:pt>
                <c:pt idx="7">
                  <c:v>27.570401</c:v>
                </c:pt>
                <c:pt idx="8">
                  <c:v>42.771735</c:v>
                </c:pt>
                <c:pt idx="9">
                  <c:v>21.609151085276498</c:v>
                </c:pt>
              </c:numCache>
            </c:numRef>
          </c:val>
          <c:extLst>
            <c:ext xmlns:c16="http://schemas.microsoft.com/office/drawing/2014/chart" uri="{C3380CC4-5D6E-409C-BE32-E72D297353CC}">
              <c16:uniqueId val="{00000001-60B7-4A14-A2C3-F4E00D2E32D4}"/>
            </c:ext>
          </c:extLst>
        </c:ser>
        <c:ser>
          <c:idx val="2"/>
          <c:order val="2"/>
          <c:tx>
            <c:strRef>
              <c:f>GRAF!$C$28</c:f>
              <c:strCache>
                <c:ptCount val="1"/>
                <c:pt idx="0">
                  <c:v>Obchod</c:v>
                </c:pt>
              </c:strCache>
            </c:strRef>
          </c:tx>
          <c:spPr>
            <a:solidFill>
              <a:schemeClr val="accent3"/>
            </a:solidFill>
            <a:ln>
              <a:noFill/>
            </a:ln>
            <a:effectLst/>
          </c:spPr>
          <c:cat>
            <c:strRef>
              <c:f>GRAF!$D$25:$M$25</c:f>
              <c:strCache>
                <c:ptCount val="10"/>
                <c:pt idx="0">
                  <c:v>2014</c:v>
                </c:pt>
                <c:pt idx="1">
                  <c:v>2015</c:v>
                </c:pt>
                <c:pt idx="2">
                  <c:v>2016</c:v>
                </c:pt>
                <c:pt idx="3">
                  <c:v>2017</c:v>
                </c:pt>
                <c:pt idx="4">
                  <c:v>2018</c:v>
                </c:pt>
                <c:pt idx="5">
                  <c:v>2019</c:v>
                </c:pt>
                <c:pt idx="6">
                  <c:v>2020</c:v>
                </c:pt>
                <c:pt idx="7">
                  <c:v>2021</c:v>
                </c:pt>
                <c:pt idx="8">
                  <c:v>2022</c:v>
                </c:pt>
                <c:pt idx="9">
                  <c:v>2023*</c:v>
                </c:pt>
              </c:strCache>
            </c:strRef>
          </c:cat>
          <c:val>
            <c:numRef>
              <c:f>GRAF!$D$28:$M$28</c:f>
              <c:numCache>
                <c:formatCode>0.0</c:formatCode>
                <c:ptCount val="10"/>
                <c:pt idx="0">
                  <c:v>23.637725999999997</c:v>
                </c:pt>
                <c:pt idx="1">
                  <c:v>20.795955999999997</c:v>
                </c:pt>
                <c:pt idx="2">
                  <c:v>30.338892999999999</c:v>
                </c:pt>
                <c:pt idx="3">
                  <c:v>28.998414</c:v>
                </c:pt>
                <c:pt idx="4">
                  <c:v>33.981735</c:v>
                </c:pt>
                <c:pt idx="5">
                  <c:v>27.778704000000001</c:v>
                </c:pt>
                <c:pt idx="6">
                  <c:v>24.682711999999999</c:v>
                </c:pt>
                <c:pt idx="7">
                  <c:v>33.446529999999996</c:v>
                </c:pt>
                <c:pt idx="8">
                  <c:v>37.415005000000001</c:v>
                </c:pt>
                <c:pt idx="9">
                  <c:v>30.654679259601998</c:v>
                </c:pt>
              </c:numCache>
            </c:numRef>
          </c:val>
          <c:extLst>
            <c:ext xmlns:c16="http://schemas.microsoft.com/office/drawing/2014/chart" uri="{C3380CC4-5D6E-409C-BE32-E72D297353CC}">
              <c16:uniqueId val="{00000002-60B7-4A14-A2C3-F4E00D2E32D4}"/>
            </c:ext>
          </c:extLst>
        </c:ser>
        <c:ser>
          <c:idx val="3"/>
          <c:order val="3"/>
          <c:tx>
            <c:strRef>
              <c:f>GRAF!$C$29</c:f>
              <c:strCache>
                <c:ptCount val="1"/>
                <c:pt idx="0">
                  <c:v>Fin. a poj. čin.</c:v>
                </c:pt>
              </c:strCache>
            </c:strRef>
          </c:tx>
          <c:spPr>
            <a:solidFill>
              <a:schemeClr val="accent4"/>
            </a:solidFill>
            <a:ln>
              <a:noFill/>
            </a:ln>
            <a:effectLst/>
          </c:spPr>
          <c:cat>
            <c:strRef>
              <c:f>GRAF!$D$25:$M$25</c:f>
              <c:strCache>
                <c:ptCount val="10"/>
                <c:pt idx="0">
                  <c:v>2014</c:v>
                </c:pt>
                <c:pt idx="1">
                  <c:v>2015</c:v>
                </c:pt>
                <c:pt idx="2">
                  <c:v>2016</c:v>
                </c:pt>
                <c:pt idx="3">
                  <c:v>2017</c:v>
                </c:pt>
                <c:pt idx="4">
                  <c:v>2018</c:v>
                </c:pt>
                <c:pt idx="5">
                  <c:v>2019</c:v>
                </c:pt>
                <c:pt idx="6">
                  <c:v>2020</c:v>
                </c:pt>
                <c:pt idx="7">
                  <c:v>2021</c:v>
                </c:pt>
                <c:pt idx="8">
                  <c:v>2022</c:v>
                </c:pt>
                <c:pt idx="9">
                  <c:v>2023*</c:v>
                </c:pt>
              </c:strCache>
            </c:strRef>
          </c:cat>
          <c:val>
            <c:numRef>
              <c:f>GRAF!$D$29:$M$29</c:f>
              <c:numCache>
                <c:formatCode>0.0</c:formatCode>
                <c:ptCount val="10"/>
                <c:pt idx="0">
                  <c:v>48.636419000000004</c:v>
                </c:pt>
                <c:pt idx="1">
                  <c:v>56.587074000000001</c:v>
                </c:pt>
                <c:pt idx="2">
                  <c:v>68.30450900000001</c:v>
                </c:pt>
                <c:pt idx="3">
                  <c:v>56.722557000000002</c:v>
                </c:pt>
                <c:pt idx="4">
                  <c:v>68.819485</c:v>
                </c:pt>
                <c:pt idx="5">
                  <c:v>89.322734999999994</c:v>
                </c:pt>
                <c:pt idx="6">
                  <c:v>49.7242435</c:v>
                </c:pt>
                <c:pt idx="7">
                  <c:v>58.154201801600003</c:v>
                </c:pt>
                <c:pt idx="8">
                  <c:v>134.275049</c:v>
                </c:pt>
                <c:pt idx="9">
                  <c:v>84.759142198145796</c:v>
                </c:pt>
              </c:numCache>
            </c:numRef>
          </c:val>
          <c:extLst>
            <c:ext xmlns:c16="http://schemas.microsoft.com/office/drawing/2014/chart" uri="{C3380CC4-5D6E-409C-BE32-E72D297353CC}">
              <c16:uniqueId val="{00000003-60B7-4A14-A2C3-F4E00D2E32D4}"/>
            </c:ext>
          </c:extLst>
        </c:ser>
        <c:ser>
          <c:idx val="4"/>
          <c:order val="4"/>
          <c:tx>
            <c:strRef>
              <c:f>GRAF!$C$30</c:f>
              <c:strCache>
                <c:ptCount val="1"/>
                <c:pt idx="0">
                  <c:v>Zprac. prům.</c:v>
                </c:pt>
              </c:strCache>
            </c:strRef>
          </c:tx>
          <c:spPr>
            <a:solidFill>
              <a:schemeClr val="accent5"/>
            </a:solidFill>
            <a:ln>
              <a:noFill/>
            </a:ln>
            <a:effectLst/>
          </c:spPr>
          <c:cat>
            <c:strRef>
              <c:f>GRAF!$D$25:$M$25</c:f>
              <c:strCache>
                <c:ptCount val="10"/>
                <c:pt idx="0">
                  <c:v>2014</c:v>
                </c:pt>
                <c:pt idx="1">
                  <c:v>2015</c:v>
                </c:pt>
                <c:pt idx="2">
                  <c:v>2016</c:v>
                </c:pt>
                <c:pt idx="3">
                  <c:v>2017</c:v>
                </c:pt>
                <c:pt idx="4">
                  <c:v>2018</c:v>
                </c:pt>
                <c:pt idx="5">
                  <c:v>2019</c:v>
                </c:pt>
                <c:pt idx="6">
                  <c:v>2020</c:v>
                </c:pt>
                <c:pt idx="7">
                  <c:v>2021</c:v>
                </c:pt>
                <c:pt idx="8">
                  <c:v>2022</c:v>
                </c:pt>
                <c:pt idx="9">
                  <c:v>2023*</c:v>
                </c:pt>
              </c:strCache>
            </c:strRef>
          </c:cat>
          <c:val>
            <c:numRef>
              <c:f>GRAF!$D$30:$M$30</c:f>
              <c:numCache>
                <c:formatCode>0.0</c:formatCode>
                <c:ptCount val="10"/>
                <c:pt idx="0">
                  <c:v>96.608131999999998</c:v>
                </c:pt>
                <c:pt idx="1">
                  <c:v>143.46147399999998</c:v>
                </c:pt>
                <c:pt idx="2">
                  <c:v>120.82352400000001</c:v>
                </c:pt>
                <c:pt idx="3">
                  <c:v>122.287356</c:v>
                </c:pt>
                <c:pt idx="4">
                  <c:v>133.59332199999997</c:v>
                </c:pt>
                <c:pt idx="5">
                  <c:v>128.215385</c:v>
                </c:pt>
                <c:pt idx="6">
                  <c:v>111.39421400000001</c:v>
                </c:pt>
                <c:pt idx="7">
                  <c:v>87.14178299999999</c:v>
                </c:pt>
                <c:pt idx="8">
                  <c:v>119.14281299999999</c:v>
                </c:pt>
                <c:pt idx="9">
                  <c:v>101.25001144057801</c:v>
                </c:pt>
              </c:numCache>
            </c:numRef>
          </c:val>
          <c:extLst>
            <c:ext xmlns:c16="http://schemas.microsoft.com/office/drawing/2014/chart" uri="{C3380CC4-5D6E-409C-BE32-E72D297353CC}">
              <c16:uniqueId val="{00000004-60B7-4A14-A2C3-F4E00D2E32D4}"/>
            </c:ext>
          </c:extLst>
        </c:ser>
        <c:dLbls>
          <c:showLegendKey val="0"/>
          <c:showVal val="0"/>
          <c:showCatName val="0"/>
          <c:showSerName val="0"/>
          <c:showPercent val="0"/>
          <c:showBubbleSize val="0"/>
        </c:dLbls>
        <c:axId val="473093056"/>
        <c:axId val="473096384"/>
      </c:areaChart>
      <c:lineChart>
        <c:grouping val="standard"/>
        <c:varyColors val="0"/>
        <c:ser>
          <c:idx val="5"/>
          <c:order val="5"/>
          <c:tx>
            <c:strRef>
              <c:f>GRAF!$C$32</c:f>
              <c:strCache>
                <c:ptCount val="1"/>
                <c:pt idx="0">
                  <c:v>Poměr k HDP</c:v>
                </c:pt>
              </c:strCache>
            </c:strRef>
          </c:tx>
          <c:spPr>
            <a:ln w="12700" cap="rnd">
              <a:solidFill>
                <a:schemeClr val="tx1"/>
              </a:solidFill>
              <a:round/>
            </a:ln>
            <a:effectLst/>
          </c:spPr>
          <c:marker>
            <c:symbol val="none"/>
          </c:marker>
          <c:cat>
            <c:numRef>
              <c:f>GRAF!$D$25:$L$25</c:f>
              <c:numCache>
                <c:formatCode>General</c:formatCode>
                <c:ptCount val="9"/>
                <c:pt idx="0">
                  <c:v>2014</c:v>
                </c:pt>
                <c:pt idx="1">
                  <c:v>2015</c:v>
                </c:pt>
                <c:pt idx="2">
                  <c:v>2016</c:v>
                </c:pt>
                <c:pt idx="3">
                  <c:v>2017</c:v>
                </c:pt>
                <c:pt idx="4">
                  <c:v>2018</c:v>
                </c:pt>
                <c:pt idx="5">
                  <c:v>2019</c:v>
                </c:pt>
                <c:pt idx="6">
                  <c:v>2020</c:v>
                </c:pt>
                <c:pt idx="7">
                  <c:v>2021</c:v>
                </c:pt>
                <c:pt idx="8">
                  <c:v>2022</c:v>
                </c:pt>
              </c:numCache>
            </c:numRef>
          </c:cat>
          <c:val>
            <c:numRef>
              <c:f>GRAF!$D$32:$M$32</c:f>
              <c:numCache>
                <c:formatCode>#,##0.00</c:formatCode>
                <c:ptCount val="10"/>
                <c:pt idx="0">
                  <c:v>5.6547527639546171</c:v>
                </c:pt>
                <c:pt idx="1">
                  <c:v>5.7994887769172596</c:v>
                </c:pt>
                <c:pt idx="2">
                  <c:v>5.7186078305596162</c:v>
                </c:pt>
                <c:pt idx="3">
                  <c:v>5.0286483393901831</c:v>
                </c:pt>
                <c:pt idx="4">
                  <c:v>5.3988946656486956</c:v>
                </c:pt>
                <c:pt idx="5">
                  <c:v>5.6724913830584072</c:v>
                </c:pt>
                <c:pt idx="6">
                  <c:v>4.2523758957361464</c:v>
                </c:pt>
                <c:pt idx="7">
                  <c:v>3.8612127358592652</c:v>
                </c:pt>
                <c:pt idx="8">
                  <c:v>5.6557312183076949</c:v>
                </c:pt>
                <c:pt idx="9">
                  <c:v>3.8502590594109725</c:v>
                </c:pt>
              </c:numCache>
            </c:numRef>
          </c:val>
          <c:smooth val="0"/>
          <c:extLst>
            <c:ext xmlns:c16="http://schemas.microsoft.com/office/drawing/2014/chart" uri="{C3380CC4-5D6E-409C-BE32-E72D297353CC}">
              <c16:uniqueId val="{00000005-60B7-4A14-A2C3-F4E00D2E32D4}"/>
            </c:ext>
          </c:extLst>
        </c:ser>
        <c:dLbls>
          <c:showLegendKey val="0"/>
          <c:showVal val="0"/>
          <c:showCatName val="0"/>
          <c:showSerName val="0"/>
          <c:showPercent val="0"/>
          <c:showBubbleSize val="0"/>
        </c:dLbls>
        <c:marker val="1"/>
        <c:smooth val="0"/>
        <c:axId val="1812752079"/>
        <c:axId val="1812753743"/>
      </c:lineChart>
      <c:catAx>
        <c:axId val="473093056"/>
        <c:scaling>
          <c:orientation val="minMax"/>
        </c:scaling>
        <c:delete val="0"/>
        <c:axPos val="b"/>
        <c:numFmt formatCode="General" sourceLinked="1"/>
        <c:majorTickMark val="none"/>
        <c:minorTickMark val="none"/>
        <c:tickLblPos val="nextTo"/>
        <c:spPr>
          <a:noFill/>
          <a:ln w="6350" cap="flat" cmpd="sng" algn="ctr">
            <a:solidFill>
              <a:schemeClr val="tx1"/>
            </a:solidFill>
            <a:round/>
          </a:ln>
          <a:effectLst/>
        </c:spPr>
        <c:txPr>
          <a:bodyPr rot="-5400000" spcFirstLastPara="1" vertOverflow="ellipsis" wrap="square" anchor="ctr" anchorCtr="1"/>
          <a:lstStyle/>
          <a:p>
            <a:pPr>
              <a:defRPr sz="900" b="0" i="0" u="none" strike="noStrike" kern="1200" baseline="0">
                <a:solidFill>
                  <a:sysClr val="windowText" lastClr="000000"/>
                </a:solidFill>
                <a:latin typeface="+mn-lt"/>
                <a:ea typeface="+mn-ea"/>
                <a:cs typeface="+mn-cs"/>
              </a:defRPr>
            </a:pPr>
            <a:endParaRPr lang="cs-CZ"/>
          </a:p>
        </c:txPr>
        <c:crossAx val="473096384"/>
        <c:crosses val="autoZero"/>
        <c:auto val="1"/>
        <c:lblAlgn val="ctr"/>
        <c:lblOffset val="100"/>
        <c:noMultiLvlLbl val="0"/>
      </c:catAx>
      <c:valAx>
        <c:axId val="473096384"/>
        <c:scaling>
          <c:orientation val="minMax"/>
          <c:max val="400"/>
        </c:scaling>
        <c:delete val="0"/>
        <c:axPos val="l"/>
        <c:majorGridlines>
          <c:spPr>
            <a:ln w="6350" cap="flat" cmpd="sng" algn="ctr">
              <a:solidFill>
                <a:schemeClr val="tx1"/>
              </a:solidFill>
              <a:prstDash val="dash"/>
              <a:round/>
            </a:ln>
            <a:effectLst/>
          </c:spPr>
        </c:majorGridlines>
        <c:title>
          <c:tx>
            <c:rich>
              <a:bodyPr rot="-5400000" spcFirstLastPara="1" vertOverflow="ellipsis" vert="horz" wrap="square" anchor="ctr" anchorCtr="1"/>
              <a:lstStyle/>
              <a:p>
                <a:pPr>
                  <a:defRPr sz="800" b="0" i="1" u="none" strike="noStrike" kern="1200" baseline="0">
                    <a:solidFill>
                      <a:sysClr val="windowText" lastClr="000000"/>
                    </a:solidFill>
                    <a:latin typeface="+mn-lt"/>
                    <a:ea typeface="+mn-ea"/>
                    <a:cs typeface="+mn-cs"/>
                  </a:defRPr>
                </a:pPr>
                <a:r>
                  <a:rPr lang="cs-CZ" sz="800" i="1"/>
                  <a:t>mld.</a:t>
                </a:r>
                <a:r>
                  <a:rPr lang="cs-CZ" sz="800" i="1" baseline="0"/>
                  <a:t> Kč</a:t>
                </a:r>
                <a:endParaRPr lang="cs-CZ" sz="800" i="1"/>
              </a:p>
            </c:rich>
          </c:tx>
          <c:overlay val="0"/>
          <c:spPr>
            <a:noFill/>
            <a:ln>
              <a:noFill/>
            </a:ln>
            <a:effectLst/>
          </c:spPr>
          <c:txPr>
            <a:bodyPr rot="-5400000" spcFirstLastPara="1" vertOverflow="ellipsis" vert="horz" wrap="square" anchor="ctr" anchorCtr="1"/>
            <a:lstStyle/>
            <a:p>
              <a:pPr>
                <a:defRPr sz="800" b="0" i="1" u="none" strike="noStrike" kern="1200" baseline="0">
                  <a:solidFill>
                    <a:sysClr val="windowText" lastClr="000000"/>
                  </a:solidFill>
                  <a:latin typeface="+mn-lt"/>
                  <a:ea typeface="+mn-ea"/>
                  <a:cs typeface="+mn-cs"/>
                </a:defRPr>
              </a:pPr>
              <a:endParaRPr lang="cs-CZ"/>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cs-CZ"/>
          </a:p>
        </c:txPr>
        <c:crossAx val="473093056"/>
        <c:crosses val="autoZero"/>
        <c:crossBetween val="between"/>
      </c:valAx>
      <c:valAx>
        <c:axId val="1812753743"/>
        <c:scaling>
          <c:orientation val="minMax"/>
          <c:max val="8"/>
        </c:scaling>
        <c:delete val="0"/>
        <c:axPos val="r"/>
        <c:title>
          <c:tx>
            <c:rich>
              <a:bodyPr rot="-5400000" spcFirstLastPara="1" vertOverflow="ellipsis" vert="horz" wrap="square" anchor="ctr" anchorCtr="1"/>
              <a:lstStyle/>
              <a:p>
                <a:pPr>
                  <a:defRPr sz="800" b="0" i="1" u="none" strike="noStrike" kern="1200" baseline="0">
                    <a:solidFill>
                      <a:sysClr val="windowText" lastClr="000000"/>
                    </a:solidFill>
                    <a:latin typeface="+mn-lt"/>
                    <a:ea typeface="+mn-ea"/>
                    <a:cs typeface="+mn-cs"/>
                  </a:defRPr>
                </a:pPr>
                <a:r>
                  <a:rPr lang="cs-CZ" sz="800" i="1"/>
                  <a:t>v %</a:t>
                </a:r>
              </a:p>
            </c:rich>
          </c:tx>
          <c:layout>
            <c:manualLayout>
              <c:xMode val="edge"/>
              <c:yMode val="edge"/>
              <c:x val="0.94519477124182993"/>
              <c:y val="0.37072828017709908"/>
            </c:manualLayout>
          </c:layout>
          <c:overlay val="0"/>
          <c:spPr>
            <a:noFill/>
            <a:ln>
              <a:noFill/>
            </a:ln>
            <a:effectLst/>
          </c:spPr>
          <c:txPr>
            <a:bodyPr rot="-5400000" spcFirstLastPara="1" vertOverflow="ellipsis" vert="horz" wrap="square" anchor="ctr" anchorCtr="1"/>
            <a:lstStyle/>
            <a:p>
              <a:pPr>
                <a:defRPr sz="800" b="0" i="1" u="none" strike="noStrike" kern="1200" baseline="0">
                  <a:solidFill>
                    <a:sysClr val="windowText" lastClr="000000"/>
                  </a:solidFill>
                  <a:latin typeface="+mn-lt"/>
                  <a:ea typeface="+mn-ea"/>
                  <a:cs typeface="+mn-cs"/>
                </a:defRPr>
              </a:pPr>
              <a:endParaRPr lang="cs-CZ"/>
            </a:p>
          </c:txPr>
        </c:title>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cs-CZ"/>
          </a:p>
        </c:txPr>
        <c:crossAx val="1812752079"/>
        <c:crosses val="max"/>
        <c:crossBetween val="between"/>
      </c:valAx>
      <c:catAx>
        <c:axId val="1812752079"/>
        <c:scaling>
          <c:orientation val="minMax"/>
        </c:scaling>
        <c:delete val="1"/>
        <c:axPos val="b"/>
        <c:numFmt formatCode="General" sourceLinked="1"/>
        <c:majorTickMark val="out"/>
        <c:minorTickMark val="none"/>
        <c:tickLblPos val="nextTo"/>
        <c:crossAx val="1812753743"/>
        <c:crosses val="autoZero"/>
        <c:auto val="1"/>
        <c:lblAlgn val="ctr"/>
        <c:lblOffset val="100"/>
        <c:noMultiLvlLbl val="0"/>
      </c:catAx>
      <c:spPr>
        <a:noFill/>
        <a:ln>
          <a:noFill/>
        </a:ln>
        <a:effectLst/>
      </c:spPr>
    </c:plotArea>
    <c:legend>
      <c:legendPos val="b"/>
      <c:layout>
        <c:manualLayout>
          <c:xMode val="edge"/>
          <c:yMode val="edge"/>
          <c:x val="3.8395424836601267E-3"/>
          <c:y val="0.85071343786870446"/>
          <c:w val="0.99616045751633986"/>
          <c:h val="0.1492865621312954"/>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cs-CZ"/>
        </a:p>
      </c:txPr>
    </c:legend>
    <c:plotVisOnly val="1"/>
    <c:dispBlanksAs val="zero"/>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solidFill>
            <a:sysClr val="windowText" lastClr="000000"/>
          </a:solidFill>
        </a:defRPr>
      </a:pPr>
      <a:endParaRPr lang="cs-CZ"/>
    </a:p>
  </c:txPr>
  <c:externalData r:id="rId3">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stacked"/>
        <c:varyColors val="0"/>
        <c:ser>
          <c:idx val="0"/>
          <c:order val="0"/>
          <c:tx>
            <c:strRef>
              <c:f>GRAF_ČR!$B$14</c:f>
              <c:strCache>
                <c:ptCount val="1"/>
                <c:pt idx="0">
                  <c:v>Dividendy</c:v>
                </c:pt>
              </c:strCache>
            </c:strRef>
          </c:tx>
          <c:spPr>
            <a:solidFill>
              <a:schemeClr val="accent1"/>
            </a:solidFill>
            <a:ln>
              <a:noFill/>
            </a:ln>
            <a:effectLst/>
          </c:spPr>
          <c:invertIfNegative val="0"/>
          <c:cat>
            <c:strRef>
              <c:f>GRAF_ČR!$C$13:$L$13</c:f>
              <c:strCache>
                <c:ptCount val="10"/>
                <c:pt idx="0">
                  <c:v>2014</c:v>
                </c:pt>
                <c:pt idx="1">
                  <c:v>2015</c:v>
                </c:pt>
                <c:pt idx="2">
                  <c:v>2016</c:v>
                </c:pt>
                <c:pt idx="3">
                  <c:v>2017</c:v>
                </c:pt>
                <c:pt idx="4">
                  <c:v>2018</c:v>
                </c:pt>
                <c:pt idx="5">
                  <c:v>2019</c:v>
                </c:pt>
                <c:pt idx="6">
                  <c:v>2020</c:v>
                </c:pt>
                <c:pt idx="7">
                  <c:v>2021</c:v>
                </c:pt>
                <c:pt idx="8">
                  <c:v>2022</c:v>
                </c:pt>
                <c:pt idx="9">
                  <c:v>2023*</c:v>
                </c:pt>
              </c:strCache>
            </c:strRef>
          </c:cat>
          <c:val>
            <c:numRef>
              <c:f>GRAF_ČR!$C$14:$L$14</c:f>
              <c:numCache>
                <c:formatCode>#\ ##0.0</c:formatCode>
                <c:ptCount val="10"/>
                <c:pt idx="0">
                  <c:v>73.538351398319278</c:v>
                </c:pt>
                <c:pt idx="1">
                  <c:v>75.362041879691816</c:v>
                </c:pt>
                <c:pt idx="2">
                  <c:v>73.524233689848984</c:v>
                </c:pt>
                <c:pt idx="3">
                  <c:v>57.771362275606187</c:v>
                </c:pt>
                <c:pt idx="4">
                  <c:v>70.137940810154049</c:v>
                </c:pt>
                <c:pt idx="5">
                  <c:v>70.873612397332181</c:v>
                </c:pt>
                <c:pt idx="6">
                  <c:v>67.710745093021146</c:v>
                </c:pt>
                <c:pt idx="7">
                  <c:v>51.170526676468789</c:v>
                </c:pt>
                <c:pt idx="8">
                  <c:v>74.742694612313471</c:v>
                </c:pt>
                <c:pt idx="9">
                  <c:v>58.004238296040064</c:v>
                </c:pt>
              </c:numCache>
            </c:numRef>
          </c:val>
          <c:extLst>
            <c:ext xmlns:c16="http://schemas.microsoft.com/office/drawing/2014/chart" uri="{C3380CC4-5D6E-409C-BE32-E72D297353CC}">
              <c16:uniqueId val="{00000000-496B-4196-8AFD-3F233D28A836}"/>
            </c:ext>
          </c:extLst>
        </c:ser>
        <c:ser>
          <c:idx val="1"/>
          <c:order val="1"/>
          <c:tx>
            <c:strRef>
              <c:f>GRAF_ČR!$B$15</c:f>
              <c:strCache>
                <c:ptCount val="1"/>
                <c:pt idx="0">
                  <c:v>Reinvestovaný zisk</c:v>
                </c:pt>
              </c:strCache>
            </c:strRef>
          </c:tx>
          <c:spPr>
            <a:solidFill>
              <a:schemeClr val="accent2"/>
            </a:solidFill>
            <a:ln>
              <a:noFill/>
            </a:ln>
            <a:effectLst/>
          </c:spPr>
          <c:invertIfNegative val="0"/>
          <c:cat>
            <c:strRef>
              <c:f>GRAF_ČR!$C$13:$L$13</c:f>
              <c:strCache>
                <c:ptCount val="10"/>
                <c:pt idx="0">
                  <c:v>2014</c:v>
                </c:pt>
                <c:pt idx="1">
                  <c:v>2015</c:v>
                </c:pt>
                <c:pt idx="2">
                  <c:v>2016</c:v>
                </c:pt>
                <c:pt idx="3">
                  <c:v>2017</c:v>
                </c:pt>
                <c:pt idx="4">
                  <c:v>2018</c:v>
                </c:pt>
                <c:pt idx="5">
                  <c:v>2019</c:v>
                </c:pt>
                <c:pt idx="6">
                  <c:v>2020</c:v>
                </c:pt>
                <c:pt idx="7">
                  <c:v>2021</c:v>
                </c:pt>
                <c:pt idx="8">
                  <c:v>2022</c:v>
                </c:pt>
                <c:pt idx="9">
                  <c:v>2023*</c:v>
                </c:pt>
              </c:strCache>
            </c:strRef>
          </c:cat>
          <c:val>
            <c:numRef>
              <c:f>GRAF_ČR!$C$15:$L$15</c:f>
              <c:numCache>
                <c:formatCode>#\ ##0.0</c:formatCode>
                <c:ptCount val="10"/>
                <c:pt idx="0">
                  <c:v>22.642397377921217</c:v>
                </c:pt>
                <c:pt idx="1">
                  <c:v>21.330393091481074</c:v>
                </c:pt>
                <c:pt idx="2">
                  <c:v>22.770481319705009</c:v>
                </c:pt>
                <c:pt idx="3">
                  <c:v>39.483466140003216</c:v>
                </c:pt>
                <c:pt idx="4">
                  <c:v>26.446656803071338</c:v>
                </c:pt>
                <c:pt idx="5">
                  <c:v>25.318193286593939</c:v>
                </c:pt>
                <c:pt idx="6">
                  <c:v>28.501894073874446</c:v>
                </c:pt>
                <c:pt idx="7">
                  <c:v>45.344498180419201</c:v>
                </c:pt>
                <c:pt idx="8">
                  <c:v>21.723317858176856</c:v>
                </c:pt>
                <c:pt idx="9">
                  <c:v>38.91812250331833</c:v>
                </c:pt>
              </c:numCache>
            </c:numRef>
          </c:val>
          <c:extLst>
            <c:ext xmlns:c16="http://schemas.microsoft.com/office/drawing/2014/chart" uri="{C3380CC4-5D6E-409C-BE32-E72D297353CC}">
              <c16:uniqueId val="{00000001-496B-4196-8AFD-3F233D28A836}"/>
            </c:ext>
          </c:extLst>
        </c:ser>
        <c:ser>
          <c:idx val="2"/>
          <c:order val="2"/>
          <c:tx>
            <c:strRef>
              <c:f>GRAF_ČR!$B$16</c:f>
              <c:strCache>
                <c:ptCount val="1"/>
                <c:pt idx="0">
                  <c:v>Důchod z úvěrů</c:v>
                </c:pt>
              </c:strCache>
            </c:strRef>
          </c:tx>
          <c:spPr>
            <a:solidFill>
              <a:schemeClr val="accent3"/>
            </a:solidFill>
            <a:ln>
              <a:noFill/>
            </a:ln>
            <a:effectLst/>
          </c:spPr>
          <c:invertIfNegative val="0"/>
          <c:cat>
            <c:strRef>
              <c:f>GRAF_ČR!$C$13:$L$13</c:f>
              <c:strCache>
                <c:ptCount val="10"/>
                <c:pt idx="0">
                  <c:v>2014</c:v>
                </c:pt>
                <c:pt idx="1">
                  <c:v>2015</c:v>
                </c:pt>
                <c:pt idx="2">
                  <c:v>2016</c:v>
                </c:pt>
                <c:pt idx="3">
                  <c:v>2017</c:v>
                </c:pt>
                <c:pt idx="4">
                  <c:v>2018</c:v>
                </c:pt>
                <c:pt idx="5">
                  <c:v>2019</c:v>
                </c:pt>
                <c:pt idx="6">
                  <c:v>2020</c:v>
                </c:pt>
                <c:pt idx="7">
                  <c:v>2021</c:v>
                </c:pt>
                <c:pt idx="8">
                  <c:v>2022</c:v>
                </c:pt>
                <c:pt idx="9">
                  <c:v>2023*</c:v>
                </c:pt>
              </c:strCache>
            </c:strRef>
          </c:cat>
          <c:val>
            <c:numRef>
              <c:f>GRAF_ČR!$C$16:$L$16</c:f>
              <c:numCache>
                <c:formatCode>#\ ##0.0</c:formatCode>
                <c:ptCount val="10"/>
                <c:pt idx="0">
                  <c:v>3.819251223759494</c:v>
                </c:pt>
                <c:pt idx="1">
                  <c:v>3.3075650288271143</c:v>
                </c:pt>
                <c:pt idx="2">
                  <c:v>3.7052849904461267</c:v>
                </c:pt>
                <c:pt idx="3">
                  <c:v>2.7451715843906026</c:v>
                </c:pt>
                <c:pt idx="4">
                  <c:v>3.4154023867746055</c:v>
                </c:pt>
                <c:pt idx="5">
                  <c:v>3.8081943160738736</c:v>
                </c:pt>
                <c:pt idx="6">
                  <c:v>3.7873608331044037</c:v>
                </c:pt>
                <c:pt idx="7">
                  <c:v>3.4849751431120088</c:v>
                </c:pt>
                <c:pt idx="8">
                  <c:v>3.5339875295096816</c:v>
                </c:pt>
                <c:pt idx="9">
                  <c:v>3.0776392006415993</c:v>
                </c:pt>
              </c:numCache>
            </c:numRef>
          </c:val>
          <c:extLst>
            <c:ext xmlns:c16="http://schemas.microsoft.com/office/drawing/2014/chart" uri="{C3380CC4-5D6E-409C-BE32-E72D297353CC}">
              <c16:uniqueId val="{00000002-496B-4196-8AFD-3F233D28A836}"/>
            </c:ext>
          </c:extLst>
        </c:ser>
        <c:dLbls>
          <c:showLegendKey val="0"/>
          <c:showVal val="0"/>
          <c:showCatName val="0"/>
          <c:showSerName val="0"/>
          <c:showPercent val="0"/>
          <c:showBubbleSize val="0"/>
        </c:dLbls>
        <c:gapWidth val="150"/>
        <c:overlap val="100"/>
        <c:axId val="1806307184"/>
        <c:axId val="1806289296"/>
      </c:barChart>
      <c:catAx>
        <c:axId val="1806307184"/>
        <c:scaling>
          <c:orientation val="minMax"/>
        </c:scaling>
        <c:delete val="0"/>
        <c:axPos val="b"/>
        <c:numFmt formatCode="General" sourceLinked="1"/>
        <c:majorTickMark val="none"/>
        <c:minorTickMark val="none"/>
        <c:tickLblPos val="nextTo"/>
        <c:spPr>
          <a:noFill/>
          <a:ln w="6350" cap="flat" cmpd="sng" algn="ctr">
            <a:solidFill>
              <a:schemeClr val="tx1"/>
            </a:solidFill>
            <a:round/>
          </a:ln>
          <a:effectLst/>
        </c:spPr>
        <c:txPr>
          <a:bodyPr rot="-5400000" spcFirstLastPara="1" vertOverflow="ellipsis" wrap="square" anchor="ctr" anchorCtr="1"/>
          <a:lstStyle/>
          <a:p>
            <a:pPr>
              <a:defRPr sz="900" b="0" i="0" u="none" strike="noStrike" kern="1200" baseline="0">
                <a:solidFill>
                  <a:sysClr val="windowText" lastClr="000000"/>
                </a:solidFill>
                <a:latin typeface="+mn-lt"/>
                <a:ea typeface="+mn-ea"/>
                <a:cs typeface="+mn-cs"/>
              </a:defRPr>
            </a:pPr>
            <a:endParaRPr lang="cs-CZ"/>
          </a:p>
        </c:txPr>
        <c:crossAx val="1806289296"/>
        <c:crosses val="autoZero"/>
        <c:auto val="1"/>
        <c:lblAlgn val="ctr"/>
        <c:lblOffset val="100"/>
        <c:noMultiLvlLbl val="0"/>
      </c:catAx>
      <c:valAx>
        <c:axId val="1806289296"/>
        <c:scaling>
          <c:orientation val="minMax"/>
          <c:max val="100"/>
        </c:scaling>
        <c:delete val="0"/>
        <c:axPos val="l"/>
        <c:majorGridlines>
          <c:spPr>
            <a:ln w="6350" cap="flat" cmpd="sng" algn="ctr">
              <a:solidFill>
                <a:schemeClr val="tx1"/>
              </a:solidFill>
              <a:prstDash val="dash"/>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cs-CZ"/>
          </a:p>
        </c:txPr>
        <c:crossAx val="180630718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cs-CZ"/>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solidFill>
            <a:sysClr val="windowText" lastClr="000000"/>
          </a:solidFill>
        </a:defRPr>
      </a:pPr>
      <a:endParaRPr lang="cs-CZ"/>
    </a:p>
  </c:txPr>
  <c:externalData r:id="rId3">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9"/>
          <c:order val="2"/>
          <c:tx>
            <c:strRef>
              <c:f>'FDI income debits versus Income'!$CJ$39</c:f>
              <c:strCache>
                <c:ptCount val="1"/>
                <c:pt idx="0">
                  <c:v>2019-2022</c:v>
                </c:pt>
              </c:strCache>
            </c:strRef>
          </c:tx>
          <c:spPr>
            <a:solidFill>
              <a:schemeClr val="tx2"/>
            </a:solidFill>
            <a:ln>
              <a:noFill/>
            </a:ln>
            <a:effectLst/>
          </c:spPr>
          <c:invertIfNegative val="0"/>
          <c:dPt>
            <c:idx val="1"/>
            <c:invertIfNegative val="0"/>
            <c:bubble3D val="0"/>
            <c:spPr>
              <a:solidFill>
                <a:schemeClr val="accent1"/>
              </a:solidFill>
              <a:ln>
                <a:noFill/>
              </a:ln>
              <a:effectLst/>
            </c:spPr>
            <c:extLst>
              <c:ext xmlns:c16="http://schemas.microsoft.com/office/drawing/2014/chart" uri="{C3380CC4-5D6E-409C-BE32-E72D297353CC}">
                <c16:uniqueId val="{00000001-E927-4307-AB6A-A23DBB9B4D14}"/>
              </c:ext>
            </c:extLst>
          </c:dPt>
          <c:cat>
            <c:strRef>
              <c:f>('FDI income debits versus Income'!$CG$40:$CG$54,'FDI income debits versus Income'!$CG$56:$CG$66)</c:f>
              <c:strCache>
                <c:ptCount val="26"/>
                <c:pt idx="0">
                  <c:v>Irsko</c:v>
                </c:pt>
                <c:pt idx="1">
                  <c:v>Česká republika</c:v>
                </c:pt>
                <c:pt idx="2">
                  <c:v>Maďarsko</c:v>
                </c:pt>
                <c:pt idx="3">
                  <c:v>Estonsko</c:v>
                </c:pt>
                <c:pt idx="4">
                  <c:v>Litva</c:v>
                </c:pt>
                <c:pt idx="5">
                  <c:v>Slovensko</c:v>
                </c:pt>
                <c:pt idx="6">
                  <c:v>Lotyšsko</c:v>
                </c:pt>
                <c:pt idx="7">
                  <c:v>Slovinsko</c:v>
                </c:pt>
                <c:pt idx="8">
                  <c:v>Polsko</c:v>
                </c:pt>
                <c:pt idx="9">
                  <c:v>Portugalsko</c:v>
                </c:pt>
                <c:pt idx="10">
                  <c:v>Švýcarsko</c:v>
                </c:pt>
                <c:pt idx="11">
                  <c:v>Norsko</c:v>
                </c:pt>
                <c:pt idx="12">
                  <c:v>Řecko</c:v>
                </c:pt>
                <c:pt idx="13">
                  <c:v>Belgie</c:v>
                </c:pt>
                <c:pt idx="14">
                  <c:v>Korea</c:v>
                </c:pt>
                <c:pt idx="15">
                  <c:v>Itálie</c:v>
                </c:pt>
                <c:pt idx="16">
                  <c:v>Rakousko</c:v>
                </c:pt>
                <c:pt idx="17">
                  <c:v>Španělsko</c:v>
                </c:pt>
                <c:pt idx="18">
                  <c:v>Finsko</c:v>
                </c:pt>
                <c:pt idx="19">
                  <c:v>USA</c:v>
                </c:pt>
                <c:pt idx="20">
                  <c:v>Japonsko</c:v>
                </c:pt>
                <c:pt idx="21">
                  <c:v>Německo</c:v>
                </c:pt>
                <c:pt idx="22">
                  <c:v>Francie</c:v>
                </c:pt>
                <c:pt idx="23">
                  <c:v>Dánsko</c:v>
                </c:pt>
                <c:pt idx="24">
                  <c:v>Švédsko</c:v>
                </c:pt>
                <c:pt idx="25">
                  <c:v>Holandsko</c:v>
                </c:pt>
              </c:strCache>
              <c:extLst/>
            </c:strRef>
          </c:cat>
          <c:val>
            <c:numRef>
              <c:f>('FDI income debits versus Income'!$CJ$40:$CJ$54,'FDI income debits versus Income'!$CJ$56:$CJ$66)</c:f>
              <c:numCache>
                <c:formatCode>0.0</c:formatCode>
                <c:ptCount val="26"/>
                <c:pt idx="0">
                  <c:v>-9.7529355764724421</c:v>
                </c:pt>
                <c:pt idx="1">
                  <c:v>-4.066792389839593</c:v>
                </c:pt>
                <c:pt idx="2">
                  <c:v>-2.1548534583900523</c:v>
                </c:pt>
                <c:pt idx="3">
                  <c:v>-2.1489137682960791</c:v>
                </c:pt>
                <c:pt idx="4">
                  <c:v>-2.103355247161212</c:v>
                </c:pt>
                <c:pt idx="5">
                  <c:v>-2.0504874856548492</c:v>
                </c:pt>
                <c:pt idx="6">
                  <c:v>-1.7328828423836569</c:v>
                </c:pt>
                <c:pt idx="7">
                  <c:v>-1.5045718751155548</c:v>
                </c:pt>
                <c:pt idx="8">
                  <c:v>-1.3740124652014147</c:v>
                </c:pt>
                <c:pt idx="9">
                  <c:v>-0.86142101926079317</c:v>
                </c:pt>
                <c:pt idx="10">
                  <c:v>-0.39691231757955914</c:v>
                </c:pt>
                <c:pt idx="11">
                  <c:v>-0.36157155145770548</c:v>
                </c:pt>
                <c:pt idx="12">
                  <c:v>-0.21038137819801675</c:v>
                </c:pt>
                <c:pt idx="13">
                  <c:v>-6.6655909349532638E-2</c:v>
                </c:pt>
                <c:pt idx="14">
                  <c:v>-4.9266035004107159E-2</c:v>
                </c:pt>
                <c:pt idx="15">
                  <c:v>0.25725443775197049</c:v>
                </c:pt>
                <c:pt idx="16">
                  <c:v>0.51727176512029982</c:v>
                </c:pt>
                <c:pt idx="17">
                  <c:v>0.63412972253944022</c:v>
                </c:pt>
                <c:pt idx="18">
                  <c:v>0.95699885668763141</c:v>
                </c:pt>
                <c:pt idx="19">
                  <c:v>1.2044623810935553</c:v>
                </c:pt>
                <c:pt idx="20">
                  <c:v>1.3044045053316928</c:v>
                </c:pt>
                <c:pt idx="21">
                  <c:v>1.4094249542258328</c:v>
                </c:pt>
                <c:pt idx="22">
                  <c:v>1.4353148040702115</c:v>
                </c:pt>
                <c:pt idx="23">
                  <c:v>1.4518234829399899</c:v>
                </c:pt>
                <c:pt idx="24">
                  <c:v>1.5347212087663573</c:v>
                </c:pt>
                <c:pt idx="25">
                  <c:v>4.8223270629084309</c:v>
                </c:pt>
              </c:numCache>
              <c:extLst/>
            </c:numRef>
          </c:val>
          <c:extLst>
            <c:ext xmlns:c16="http://schemas.microsoft.com/office/drawing/2014/chart" uri="{C3380CC4-5D6E-409C-BE32-E72D297353CC}">
              <c16:uniqueId val="{00000002-E927-4307-AB6A-A23DBB9B4D14}"/>
            </c:ext>
          </c:extLst>
        </c:ser>
        <c:dLbls>
          <c:showLegendKey val="0"/>
          <c:showVal val="0"/>
          <c:showCatName val="0"/>
          <c:showSerName val="0"/>
          <c:showPercent val="0"/>
          <c:showBubbleSize val="0"/>
        </c:dLbls>
        <c:gapWidth val="150"/>
        <c:axId val="1816184160"/>
        <c:axId val="1816197472"/>
        <c:extLst/>
      </c:barChart>
      <c:lineChart>
        <c:grouping val="standard"/>
        <c:varyColors val="0"/>
        <c:ser>
          <c:idx val="0"/>
          <c:order val="0"/>
          <c:tx>
            <c:strRef>
              <c:f>'FDI income debits versus Income'!$CH$39</c:f>
              <c:strCache>
                <c:ptCount val="1"/>
                <c:pt idx="0">
                  <c:v>2013-2015</c:v>
                </c:pt>
              </c:strCache>
            </c:strRef>
          </c:tx>
          <c:spPr>
            <a:ln w="28575" cap="rnd">
              <a:noFill/>
              <a:round/>
            </a:ln>
            <a:effectLst/>
          </c:spPr>
          <c:marker>
            <c:symbol val="x"/>
            <c:size val="4"/>
            <c:spPr>
              <a:noFill/>
              <a:ln w="9525">
                <a:solidFill>
                  <a:schemeClr val="accent6"/>
                </a:solidFill>
              </a:ln>
              <a:effectLst/>
            </c:spPr>
          </c:marker>
          <c:cat>
            <c:strRef>
              <c:f>('FDI income debits versus Income'!$CG$40:$CG$54,'FDI income debits versus Income'!$CG$56:$CG$66)</c:f>
              <c:strCache>
                <c:ptCount val="26"/>
                <c:pt idx="0">
                  <c:v>Irsko</c:v>
                </c:pt>
                <c:pt idx="1">
                  <c:v>Česká republika</c:v>
                </c:pt>
                <c:pt idx="2">
                  <c:v>Maďarsko</c:v>
                </c:pt>
                <c:pt idx="3">
                  <c:v>Estonsko</c:v>
                </c:pt>
                <c:pt idx="4">
                  <c:v>Litva</c:v>
                </c:pt>
                <c:pt idx="5">
                  <c:v>Slovensko</c:v>
                </c:pt>
                <c:pt idx="6">
                  <c:v>Lotyšsko</c:v>
                </c:pt>
                <c:pt idx="7">
                  <c:v>Slovinsko</c:v>
                </c:pt>
                <c:pt idx="8">
                  <c:v>Polsko</c:v>
                </c:pt>
                <c:pt idx="9">
                  <c:v>Portugalsko</c:v>
                </c:pt>
                <c:pt idx="10">
                  <c:v>Švýcarsko</c:v>
                </c:pt>
                <c:pt idx="11">
                  <c:v>Norsko</c:v>
                </c:pt>
                <c:pt idx="12">
                  <c:v>Řecko</c:v>
                </c:pt>
                <c:pt idx="13">
                  <c:v>Belgie</c:v>
                </c:pt>
                <c:pt idx="14">
                  <c:v>Korea</c:v>
                </c:pt>
                <c:pt idx="15">
                  <c:v>Itálie</c:v>
                </c:pt>
                <c:pt idx="16">
                  <c:v>Rakousko</c:v>
                </c:pt>
                <c:pt idx="17">
                  <c:v>Španělsko</c:v>
                </c:pt>
                <c:pt idx="18">
                  <c:v>Finsko</c:v>
                </c:pt>
                <c:pt idx="19">
                  <c:v>USA</c:v>
                </c:pt>
                <c:pt idx="20">
                  <c:v>Japonsko</c:v>
                </c:pt>
                <c:pt idx="21">
                  <c:v>Německo</c:v>
                </c:pt>
                <c:pt idx="22">
                  <c:v>Francie</c:v>
                </c:pt>
                <c:pt idx="23">
                  <c:v>Dánsko</c:v>
                </c:pt>
                <c:pt idx="24">
                  <c:v>Švédsko</c:v>
                </c:pt>
                <c:pt idx="25">
                  <c:v>Holandsko</c:v>
                </c:pt>
              </c:strCache>
              <c:extLst/>
            </c:strRef>
          </c:cat>
          <c:val>
            <c:numRef>
              <c:f>('FDI income debits versus Income'!$CH$40:$CH$54,'FDI income debits versus Income'!$CH$56:$CH$66)</c:f>
              <c:numCache>
                <c:formatCode>0.0</c:formatCode>
                <c:ptCount val="26"/>
                <c:pt idx="0">
                  <c:v>-6.2378651040703659</c:v>
                </c:pt>
                <c:pt idx="1">
                  <c:v>-5.1503292224867439</c:v>
                </c:pt>
                <c:pt idx="2">
                  <c:v>-2.8586163043393094</c:v>
                </c:pt>
                <c:pt idx="3">
                  <c:v>-1.5831300925681007</c:v>
                </c:pt>
                <c:pt idx="4">
                  <c:v>-1.6446846210444164</c:v>
                </c:pt>
                <c:pt idx="5">
                  <c:v>-3.1891851712022952</c:v>
                </c:pt>
                <c:pt idx="6">
                  <c:v>-2.1168121700347942</c:v>
                </c:pt>
                <c:pt idx="7">
                  <c:v>-1.132489488564584</c:v>
                </c:pt>
                <c:pt idx="8">
                  <c:v>-1.5512228779516488</c:v>
                </c:pt>
                <c:pt idx="9">
                  <c:v>-0.8503717615528309</c:v>
                </c:pt>
                <c:pt idx="10">
                  <c:v>0.47343565693924677</c:v>
                </c:pt>
                <c:pt idx="11">
                  <c:v>0.4377236117291245</c:v>
                </c:pt>
                <c:pt idx="12">
                  <c:v>-7.7730502369680168E-2</c:v>
                </c:pt>
                <c:pt idx="13">
                  <c:v>-2.1931494814356389</c:v>
                </c:pt>
                <c:pt idx="14">
                  <c:v>-7.4012357698177711E-4</c:v>
                </c:pt>
                <c:pt idx="15">
                  <c:v>0.54785787882705417</c:v>
                </c:pt>
                <c:pt idx="16">
                  <c:v>0.3761176246645741</c:v>
                </c:pt>
                <c:pt idx="17">
                  <c:v>0.53006891769194198</c:v>
                </c:pt>
                <c:pt idx="18">
                  <c:v>0</c:v>
                </c:pt>
                <c:pt idx="19">
                  <c:v>0.46677706758567244</c:v>
                </c:pt>
                <c:pt idx="20">
                  <c:v>0.78889433820476995</c:v>
                </c:pt>
                <c:pt idx="21">
                  <c:v>1.0886965302174156</c:v>
                </c:pt>
                <c:pt idx="22">
                  <c:v>1.8333443954736452</c:v>
                </c:pt>
                <c:pt idx="23">
                  <c:v>1.2240709967857348</c:v>
                </c:pt>
                <c:pt idx="24">
                  <c:v>1.1827122493618416</c:v>
                </c:pt>
                <c:pt idx="25">
                  <c:v>9.1212503520624537</c:v>
                </c:pt>
              </c:numCache>
              <c:extLst/>
            </c:numRef>
          </c:val>
          <c:smooth val="0"/>
          <c:extLst>
            <c:ext xmlns:c16="http://schemas.microsoft.com/office/drawing/2014/chart" uri="{C3380CC4-5D6E-409C-BE32-E72D297353CC}">
              <c16:uniqueId val="{00000003-E927-4307-AB6A-A23DBB9B4D14}"/>
            </c:ext>
          </c:extLst>
        </c:ser>
        <c:ser>
          <c:idx val="6"/>
          <c:order val="1"/>
          <c:tx>
            <c:strRef>
              <c:f>'FDI income debits versus Income'!$CI$39</c:f>
              <c:strCache>
                <c:ptCount val="1"/>
                <c:pt idx="0">
                  <c:v>2016-2018</c:v>
                </c:pt>
              </c:strCache>
            </c:strRef>
          </c:tx>
          <c:spPr>
            <a:ln w="28575" cap="rnd">
              <a:noFill/>
              <a:round/>
            </a:ln>
            <a:effectLst/>
          </c:spPr>
          <c:marker>
            <c:symbol val="dash"/>
            <c:size val="5"/>
            <c:spPr>
              <a:noFill/>
              <a:ln w="6350">
                <a:solidFill>
                  <a:schemeClr val="accent1"/>
                </a:solidFill>
              </a:ln>
              <a:effectLst/>
            </c:spPr>
          </c:marker>
          <c:cat>
            <c:strRef>
              <c:f>('FDI income debits versus Income'!$CG$40:$CG$54,'FDI income debits versus Income'!$CG$56:$CG$66)</c:f>
              <c:strCache>
                <c:ptCount val="26"/>
                <c:pt idx="0">
                  <c:v>Irsko</c:v>
                </c:pt>
                <c:pt idx="1">
                  <c:v>Česká republika</c:v>
                </c:pt>
                <c:pt idx="2">
                  <c:v>Maďarsko</c:v>
                </c:pt>
                <c:pt idx="3">
                  <c:v>Estonsko</c:v>
                </c:pt>
                <c:pt idx="4">
                  <c:v>Litva</c:v>
                </c:pt>
                <c:pt idx="5">
                  <c:v>Slovensko</c:v>
                </c:pt>
                <c:pt idx="6">
                  <c:v>Lotyšsko</c:v>
                </c:pt>
                <c:pt idx="7">
                  <c:v>Slovinsko</c:v>
                </c:pt>
                <c:pt idx="8">
                  <c:v>Polsko</c:v>
                </c:pt>
                <c:pt idx="9">
                  <c:v>Portugalsko</c:v>
                </c:pt>
                <c:pt idx="10">
                  <c:v>Švýcarsko</c:v>
                </c:pt>
                <c:pt idx="11">
                  <c:v>Norsko</c:v>
                </c:pt>
                <c:pt idx="12">
                  <c:v>Řecko</c:v>
                </c:pt>
                <c:pt idx="13">
                  <c:v>Belgie</c:v>
                </c:pt>
                <c:pt idx="14">
                  <c:v>Korea</c:v>
                </c:pt>
                <c:pt idx="15">
                  <c:v>Itálie</c:v>
                </c:pt>
                <c:pt idx="16">
                  <c:v>Rakousko</c:v>
                </c:pt>
                <c:pt idx="17">
                  <c:v>Španělsko</c:v>
                </c:pt>
                <c:pt idx="18">
                  <c:v>Finsko</c:v>
                </c:pt>
                <c:pt idx="19">
                  <c:v>USA</c:v>
                </c:pt>
                <c:pt idx="20">
                  <c:v>Japonsko</c:v>
                </c:pt>
                <c:pt idx="21">
                  <c:v>Německo</c:v>
                </c:pt>
                <c:pt idx="22">
                  <c:v>Francie</c:v>
                </c:pt>
                <c:pt idx="23">
                  <c:v>Dánsko</c:v>
                </c:pt>
                <c:pt idx="24">
                  <c:v>Švédsko</c:v>
                </c:pt>
                <c:pt idx="25">
                  <c:v>Holandsko</c:v>
                </c:pt>
              </c:strCache>
              <c:extLst/>
            </c:strRef>
          </c:cat>
          <c:val>
            <c:numRef>
              <c:f>('FDI income debits versus Income'!$CI$40:$CI$54,'FDI income debits versus Income'!$CI$56:$CI$66)</c:f>
              <c:numCache>
                <c:formatCode>0.0</c:formatCode>
                <c:ptCount val="26"/>
                <c:pt idx="0">
                  <c:v>-4.7949417342985043</c:v>
                </c:pt>
                <c:pt idx="1">
                  <c:v>-5.1653245212483716</c:v>
                </c:pt>
                <c:pt idx="2">
                  <c:v>-1.7684540700289955</c:v>
                </c:pt>
                <c:pt idx="3">
                  <c:v>-1.7010387807078733</c:v>
                </c:pt>
                <c:pt idx="4">
                  <c:v>-1.9939465472450302</c:v>
                </c:pt>
                <c:pt idx="5">
                  <c:v>-3.6417735124094874</c:v>
                </c:pt>
                <c:pt idx="6">
                  <c:v>-3.4513655870871434</c:v>
                </c:pt>
                <c:pt idx="7">
                  <c:v>-1.2080567017613209</c:v>
                </c:pt>
                <c:pt idx="8">
                  <c:v>-1.6583523104276676</c:v>
                </c:pt>
                <c:pt idx="9">
                  <c:v>-1.3783541625930822</c:v>
                </c:pt>
                <c:pt idx="10">
                  <c:v>2.1204110548071884</c:v>
                </c:pt>
                <c:pt idx="11">
                  <c:v>0.44751318801560408</c:v>
                </c:pt>
                <c:pt idx="12">
                  <c:v>-7.1123229486250369E-2</c:v>
                </c:pt>
                <c:pt idx="13">
                  <c:v>-1.124627736058492</c:v>
                </c:pt>
                <c:pt idx="14">
                  <c:v>-0.27307466817343368</c:v>
                </c:pt>
                <c:pt idx="15">
                  <c:v>0.31835906250661578</c:v>
                </c:pt>
                <c:pt idx="16">
                  <c:v>0.31389854992343486</c:v>
                </c:pt>
                <c:pt idx="17">
                  <c:v>0.5359466468705123</c:v>
                </c:pt>
                <c:pt idx="18">
                  <c:v>0.57618615341238555</c:v>
                </c:pt>
                <c:pt idx="19">
                  <c:v>1.6595582128602395</c:v>
                </c:pt>
                <c:pt idx="20">
                  <c:v>0.73467545714763416</c:v>
                </c:pt>
                <c:pt idx="21">
                  <c:v>1.2154480162928516</c:v>
                </c:pt>
                <c:pt idx="22">
                  <c:v>1.1882305845189078</c:v>
                </c:pt>
                <c:pt idx="23">
                  <c:v>1.4516357171922023</c:v>
                </c:pt>
                <c:pt idx="24">
                  <c:v>1.0537969217464873</c:v>
                </c:pt>
                <c:pt idx="25">
                  <c:v>8.0135974622175006</c:v>
                </c:pt>
              </c:numCache>
              <c:extLst/>
            </c:numRef>
          </c:val>
          <c:smooth val="0"/>
          <c:extLst>
            <c:ext xmlns:c16="http://schemas.microsoft.com/office/drawing/2014/chart" uri="{C3380CC4-5D6E-409C-BE32-E72D297353CC}">
              <c16:uniqueId val="{00000004-E927-4307-AB6A-A23DBB9B4D14}"/>
            </c:ext>
          </c:extLst>
        </c:ser>
        <c:dLbls>
          <c:showLegendKey val="0"/>
          <c:showVal val="0"/>
          <c:showCatName val="0"/>
          <c:showSerName val="0"/>
          <c:showPercent val="0"/>
          <c:showBubbleSize val="0"/>
        </c:dLbls>
        <c:marker val="1"/>
        <c:smooth val="0"/>
        <c:axId val="1816184160"/>
        <c:axId val="1816197472"/>
      </c:lineChart>
      <c:catAx>
        <c:axId val="1816184160"/>
        <c:scaling>
          <c:orientation val="minMax"/>
        </c:scaling>
        <c:delete val="0"/>
        <c:axPos val="b"/>
        <c:numFmt formatCode="General" sourceLinked="1"/>
        <c:majorTickMark val="none"/>
        <c:minorTickMark val="none"/>
        <c:tickLblPos val="low"/>
        <c:spPr>
          <a:noFill/>
          <a:ln w="6350" cap="flat" cmpd="sng" algn="ctr">
            <a:solidFill>
              <a:schemeClr val="tx1"/>
            </a:solidFill>
            <a:round/>
          </a:ln>
          <a:effectLst/>
        </c:spPr>
        <c:txPr>
          <a:bodyPr rot="-5400000" spcFirstLastPara="1" vertOverflow="ellipsis" wrap="square" anchor="ctr" anchorCtr="1"/>
          <a:lstStyle/>
          <a:p>
            <a:pPr>
              <a:defRPr sz="900" b="0" i="0" u="none" strike="noStrike" kern="1200" baseline="0">
                <a:solidFill>
                  <a:sysClr val="windowText" lastClr="000000"/>
                </a:solidFill>
                <a:latin typeface="+mn-lt"/>
                <a:ea typeface="+mn-ea"/>
                <a:cs typeface="+mn-cs"/>
              </a:defRPr>
            </a:pPr>
            <a:endParaRPr lang="cs-CZ"/>
          </a:p>
        </c:txPr>
        <c:crossAx val="1816197472"/>
        <c:crosses val="autoZero"/>
        <c:auto val="1"/>
        <c:lblAlgn val="ctr"/>
        <c:lblOffset val="100"/>
        <c:tickLblSkip val="1"/>
        <c:noMultiLvlLbl val="0"/>
      </c:catAx>
      <c:valAx>
        <c:axId val="1816197472"/>
        <c:scaling>
          <c:orientation val="minMax"/>
          <c:max val="10"/>
          <c:min val="-10"/>
        </c:scaling>
        <c:delete val="0"/>
        <c:axPos val="l"/>
        <c:majorGridlines>
          <c:spPr>
            <a:ln w="6350" cap="flat" cmpd="sng" algn="ctr">
              <a:solidFill>
                <a:schemeClr val="tx1"/>
              </a:solidFill>
              <a:prstDash val="dash"/>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cs-CZ"/>
          </a:p>
        </c:txPr>
        <c:crossAx val="1816184160"/>
        <c:crosses val="autoZero"/>
        <c:crossBetween val="between"/>
        <c:majorUnit val="2"/>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cs-CZ"/>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solidFill>
            <a:sysClr val="windowText" lastClr="000000"/>
          </a:solidFill>
        </a:defRPr>
      </a:pPr>
      <a:endParaRPr lang="cs-CZ"/>
    </a:p>
  </c:txPr>
  <c:externalData r:id="rId3">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9097363682781984E-2"/>
          <c:y val="5.8509265357155907E-2"/>
          <c:w val="0.92894094040292763"/>
          <c:h val="0.65707445353114646"/>
        </c:manualLayout>
      </c:layout>
      <c:barChart>
        <c:barDir val="col"/>
        <c:grouping val="stacked"/>
        <c:varyColors val="0"/>
        <c:ser>
          <c:idx val="0"/>
          <c:order val="0"/>
          <c:tx>
            <c:v> </c:v>
          </c:tx>
          <c:spPr>
            <a:noFill/>
            <a:ln>
              <a:noFill/>
            </a:ln>
            <a:effectLst/>
          </c:spPr>
          <c:invertIfNegative val="0"/>
          <c:cat>
            <c:strRef>
              <c:f>List2!$A$2:$A$103</c:f>
              <c:strCache>
                <c:ptCount val="16"/>
                <c:pt idx="0">
                  <c:v>A</c:v>
                </c:pt>
                <c:pt idx="1">
                  <c:v>B</c:v>
                </c:pt>
                <c:pt idx="2">
                  <c:v>C</c:v>
                </c:pt>
                <c:pt idx="3">
                  <c:v>D</c:v>
                </c:pt>
                <c:pt idx="4">
                  <c:v>E</c:v>
                </c:pt>
                <c:pt idx="5">
                  <c:v>F</c:v>
                </c:pt>
                <c:pt idx="6">
                  <c:v>G</c:v>
                </c:pt>
                <c:pt idx="7">
                  <c:v>H</c:v>
                </c:pt>
                <c:pt idx="8">
                  <c:v>I</c:v>
                </c:pt>
                <c:pt idx="9">
                  <c:v>J</c:v>
                </c:pt>
                <c:pt idx="10">
                  <c:v>K</c:v>
                </c:pt>
                <c:pt idx="11">
                  <c:v>L</c:v>
                </c:pt>
                <c:pt idx="12">
                  <c:v>M</c:v>
                </c:pt>
                <c:pt idx="13">
                  <c:v>N</c:v>
                </c:pt>
                <c:pt idx="14">
                  <c:v>Q</c:v>
                </c:pt>
                <c:pt idx="15">
                  <c:v>R</c:v>
                </c:pt>
              </c:strCache>
            </c:strRef>
          </c:cat>
          <c:val>
            <c:numRef>
              <c:f>List2!$W$2:$W$103</c:f>
              <c:numCache>
                <c:formatCode>#,##0</c:formatCode>
                <c:ptCount val="16"/>
                <c:pt idx="0">
                  <c:v>128.32110839823545</c:v>
                </c:pt>
                <c:pt idx="1">
                  <c:v>235.49590360004785</c:v>
                </c:pt>
                <c:pt idx="2">
                  <c:v>187.80584012652511</c:v>
                </c:pt>
                <c:pt idx="3">
                  <c:v>256.38820122444304</c:v>
                </c:pt>
                <c:pt idx="4">
                  <c:v>193.98835947566062</c:v>
                </c:pt>
                <c:pt idx="5">
                  <c:v>181.72995574160583</c:v>
                </c:pt>
                <c:pt idx="6">
                  <c:v>194.55654626853158</c:v>
                </c:pt>
                <c:pt idx="7">
                  <c:v>211.34893585792167</c:v>
                </c:pt>
                <c:pt idx="8">
                  <c:v>117.71758218855456</c:v>
                </c:pt>
                <c:pt idx="9">
                  <c:v>252.46082838038475</c:v>
                </c:pt>
                <c:pt idx="10">
                  <c:v>164.78490856879378</c:v>
                </c:pt>
                <c:pt idx="11">
                  <c:v>187.95110966759114</c:v>
                </c:pt>
                <c:pt idx="12">
                  <c:v>218.21246624147656</c:v>
                </c:pt>
                <c:pt idx="13">
                  <c:v>130.71336071054299</c:v>
                </c:pt>
                <c:pt idx="14">
                  <c:v>281.12465488539169</c:v>
                </c:pt>
                <c:pt idx="15">
                  <c:v>130.44891455466578</c:v>
                </c:pt>
              </c:numCache>
            </c:numRef>
          </c:val>
          <c:extLst>
            <c:ext xmlns:c16="http://schemas.microsoft.com/office/drawing/2014/chart" uri="{C3380CC4-5D6E-409C-BE32-E72D297353CC}">
              <c16:uniqueId val="{00000000-C036-484A-9546-B334C88653C6}"/>
            </c:ext>
          </c:extLst>
        </c:ser>
        <c:ser>
          <c:idx val="1"/>
          <c:order val="1"/>
          <c:tx>
            <c:v>první decil</c:v>
          </c:tx>
          <c:spPr>
            <a:noFill/>
            <a:ln>
              <a:noFill/>
            </a:ln>
            <a:effectLst/>
          </c:spPr>
          <c:invertIfNegative val="0"/>
          <c:errBars>
            <c:errBarType val="minus"/>
            <c:errValType val="percentage"/>
            <c:noEndCap val="1"/>
            <c:val val="100"/>
            <c:spPr>
              <a:noFill/>
              <a:ln w="9525" cap="flat" cmpd="sng" algn="ctr">
                <a:solidFill>
                  <a:schemeClr val="tx1">
                    <a:lumMod val="65000"/>
                    <a:lumOff val="35000"/>
                  </a:schemeClr>
                </a:solidFill>
                <a:round/>
              </a:ln>
              <a:effectLst/>
            </c:spPr>
          </c:errBars>
          <c:cat>
            <c:strRef>
              <c:f>List2!$A$2:$A$103</c:f>
              <c:strCache>
                <c:ptCount val="16"/>
                <c:pt idx="0">
                  <c:v>A</c:v>
                </c:pt>
                <c:pt idx="1">
                  <c:v>B</c:v>
                </c:pt>
                <c:pt idx="2">
                  <c:v>C</c:v>
                </c:pt>
                <c:pt idx="3">
                  <c:v>D</c:v>
                </c:pt>
                <c:pt idx="4">
                  <c:v>E</c:v>
                </c:pt>
                <c:pt idx="5">
                  <c:v>F</c:v>
                </c:pt>
                <c:pt idx="6">
                  <c:v>G</c:v>
                </c:pt>
                <c:pt idx="7">
                  <c:v>H</c:v>
                </c:pt>
                <c:pt idx="8">
                  <c:v>I</c:v>
                </c:pt>
                <c:pt idx="9">
                  <c:v>J</c:v>
                </c:pt>
                <c:pt idx="10">
                  <c:v>K</c:v>
                </c:pt>
                <c:pt idx="11">
                  <c:v>L</c:v>
                </c:pt>
                <c:pt idx="12">
                  <c:v>M</c:v>
                </c:pt>
                <c:pt idx="13">
                  <c:v>N</c:v>
                </c:pt>
                <c:pt idx="14">
                  <c:v>Q</c:v>
                </c:pt>
                <c:pt idx="15">
                  <c:v>R</c:v>
                </c:pt>
              </c:strCache>
            </c:strRef>
          </c:cat>
          <c:val>
            <c:numRef>
              <c:f>List2!$X$2:$X$103</c:f>
              <c:numCache>
                <c:formatCode>#,##0</c:formatCode>
                <c:ptCount val="16"/>
                <c:pt idx="0">
                  <c:v>109.92749404690662</c:v>
                </c:pt>
                <c:pt idx="1">
                  <c:v>144.80070656944363</c:v>
                </c:pt>
                <c:pt idx="2">
                  <c:v>101.40672352833687</c:v>
                </c:pt>
                <c:pt idx="3">
                  <c:v>188.62019910085064</c:v>
                </c:pt>
                <c:pt idx="4">
                  <c:v>136.51513975206763</c:v>
                </c:pt>
                <c:pt idx="5">
                  <c:v>91.964755279724756</c:v>
                </c:pt>
                <c:pt idx="6">
                  <c:v>109.298786400366</c:v>
                </c:pt>
                <c:pt idx="7">
                  <c:v>116.71143306326331</c:v>
                </c:pt>
                <c:pt idx="8">
                  <c:v>66.334722490028383</c:v>
                </c:pt>
                <c:pt idx="9">
                  <c:v>167.60096257456999</c:v>
                </c:pt>
                <c:pt idx="10">
                  <c:v>153.49147778767272</c:v>
                </c:pt>
                <c:pt idx="11">
                  <c:v>170.67519623938693</c:v>
                </c:pt>
                <c:pt idx="12">
                  <c:v>141.84489544645132</c:v>
                </c:pt>
                <c:pt idx="13">
                  <c:v>88.967258302774184</c:v>
                </c:pt>
                <c:pt idx="14">
                  <c:v>163.69889063586191</c:v>
                </c:pt>
                <c:pt idx="15">
                  <c:v>122.76679365135772</c:v>
                </c:pt>
              </c:numCache>
            </c:numRef>
          </c:val>
          <c:extLst>
            <c:ext xmlns:c16="http://schemas.microsoft.com/office/drawing/2014/chart" uri="{C3380CC4-5D6E-409C-BE32-E72D297353CC}">
              <c16:uniqueId val="{00000001-C036-484A-9546-B334C88653C6}"/>
            </c:ext>
          </c:extLst>
        </c:ser>
        <c:ser>
          <c:idx val="2"/>
          <c:order val="2"/>
          <c:tx>
            <c:v>druhý kvartil</c:v>
          </c:tx>
          <c:spPr>
            <a:solidFill>
              <a:srgbClr val="C00000"/>
            </a:solidFill>
            <a:ln>
              <a:noFill/>
            </a:ln>
            <a:effectLst/>
          </c:spPr>
          <c:invertIfNegative val="0"/>
          <c:cat>
            <c:strRef>
              <c:f>List2!$A$2:$A$103</c:f>
              <c:strCache>
                <c:ptCount val="16"/>
                <c:pt idx="0">
                  <c:v>A</c:v>
                </c:pt>
                <c:pt idx="1">
                  <c:v>B</c:v>
                </c:pt>
                <c:pt idx="2">
                  <c:v>C</c:v>
                </c:pt>
                <c:pt idx="3">
                  <c:v>D</c:v>
                </c:pt>
                <c:pt idx="4">
                  <c:v>E</c:v>
                </c:pt>
                <c:pt idx="5">
                  <c:v>F</c:v>
                </c:pt>
                <c:pt idx="6">
                  <c:v>G</c:v>
                </c:pt>
                <c:pt idx="7">
                  <c:v>H</c:v>
                </c:pt>
                <c:pt idx="8">
                  <c:v>I</c:v>
                </c:pt>
                <c:pt idx="9">
                  <c:v>J</c:v>
                </c:pt>
                <c:pt idx="10">
                  <c:v>K</c:v>
                </c:pt>
                <c:pt idx="11">
                  <c:v>L</c:v>
                </c:pt>
                <c:pt idx="12">
                  <c:v>M</c:v>
                </c:pt>
                <c:pt idx="13">
                  <c:v>N</c:v>
                </c:pt>
                <c:pt idx="14">
                  <c:v>Q</c:v>
                </c:pt>
                <c:pt idx="15">
                  <c:v>R</c:v>
                </c:pt>
              </c:strCache>
            </c:strRef>
          </c:cat>
          <c:val>
            <c:numRef>
              <c:f>List2!$Y$2:$Y$103</c:f>
              <c:numCache>
                <c:formatCode>#,##0</c:formatCode>
                <c:ptCount val="16"/>
                <c:pt idx="0">
                  <c:v>159.60557410949025</c:v>
                </c:pt>
                <c:pt idx="1">
                  <c:v>267.96671730287358</c:v>
                </c:pt>
                <c:pt idx="2">
                  <c:v>145.49499117860665</c:v>
                </c:pt>
                <c:pt idx="3">
                  <c:v>479.73914833561662</c:v>
                </c:pt>
                <c:pt idx="4">
                  <c:v>177.77575787676938</c:v>
                </c:pt>
                <c:pt idx="5">
                  <c:v>131.71446226739101</c:v>
                </c:pt>
                <c:pt idx="6">
                  <c:v>188.14771378959443</c:v>
                </c:pt>
                <c:pt idx="7">
                  <c:v>150.77484812582389</c:v>
                </c:pt>
                <c:pt idx="8">
                  <c:v>80.623844234634674</c:v>
                </c:pt>
                <c:pt idx="9">
                  <c:v>223.50779005706067</c:v>
                </c:pt>
                <c:pt idx="10">
                  <c:v>252.38346785146172</c:v>
                </c:pt>
                <c:pt idx="11">
                  <c:v>288.62030485852716</c:v>
                </c:pt>
                <c:pt idx="12">
                  <c:v>185.30677856632207</c:v>
                </c:pt>
                <c:pt idx="13">
                  <c:v>144.72286015064495</c:v>
                </c:pt>
                <c:pt idx="14">
                  <c:v>182.72509985627181</c:v>
                </c:pt>
                <c:pt idx="15">
                  <c:v>172.454849867403</c:v>
                </c:pt>
              </c:numCache>
            </c:numRef>
          </c:val>
          <c:extLst>
            <c:ext xmlns:c16="http://schemas.microsoft.com/office/drawing/2014/chart" uri="{C3380CC4-5D6E-409C-BE32-E72D297353CC}">
              <c16:uniqueId val="{00000002-C036-484A-9546-B334C88653C6}"/>
            </c:ext>
          </c:extLst>
        </c:ser>
        <c:ser>
          <c:idx val="3"/>
          <c:order val="3"/>
          <c:tx>
            <c:v>třetí kvartil</c:v>
          </c:tx>
          <c:spPr>
            <a:solidFill>
              <a:srgbClr val="0070C0"/>
            </a:solidFill>
            <a:ln>
              <a:noFill/>
            </a:ln>
            <a:effectLst/>
          </c:spPr>
          <c:invertIfNegative val="0"/>
          <c:cat>
            <c:strRef>
              <c:f>List2!$A$2:$A$103</c:f>
              <c:strCache>
                <c:ptCount val="16"/>
                <c:pt idx="0">
                  <c:v>A</c:v>
                </c:pt>
                <c:pt idx="1">
                  <c:v>B</c:v>
                </c:pt>
                <c:pt idx="2">
                  <c:v>C</c:v>
                </c:pt>
                <c:pt idx="3">
                  <c:v>D</c:v>
                </c:pt>
                <c:pt idx="4">
                  <c:v>E</c:v>
                </c:pt>
                <c:pt idx="5">
                  <c:v>F</c:v>
                </c:pt>
                <c:pt idx="6">
                  <c:v>G</c:v>
                </c:pt>
                <c:pt idx="7">
                  <c:v>H</c:v>
                </c:pt>
                <c:pt idx="8">
                  <c:v>I</c:v>
                </c:pt>
                <c:pt idx="9">
                  <c:v>J</c:v>
                </c:pt>
                <c:pt idx="10">
                  <c:v>K</c:v>
                </c:pt>
                <c:pt idx="11">
                  <c:v>L</c:v>
                </c:pt>
                <c:pt idx="12">
                  <c:v>M</c:v>
                </c:pt>
                <c:pt idx="13">
                  <c:v>N</c:v>
                </c:pt>
                <c:pt idx="14">
                  <c:v>Q</c:v>
                </c:pt>
                <c:pt idx="15">
                  <c:v>R</c:v>
                </c:pt>
              </c:strCache>
            </c:strRef>
          </c:cat>
          <c:val>
            <c:numRef>
              <c:f>List2!$Z$2:$Z$103</c:f>
              <c:numCache>
                <c:formatCode>#,##0</c:formatCode>
                <c:ptCount val="16"/>
                <c:pt idx="0">
                  <c:v>244.60416468541905</c:v>
                </c:pt>
                <c:pt idx="1">
                  <c:v>515.21448860139049</c:v>
                </c:pt>
                <c:pt idx="2">
                  <c:v>215.80606060185698</c:v>
                </c:pt>
                <c:pt idx="3">
                  <c:v>2137.043119687135</c:v>
                </c:pt>
                <c:pt idx="4">
                  <c:v>300.93949669891464</c:v>
                </c:pt>
                <c:pt idx="5">
                  <c:v>214.36037786625752</c:v>
                </c:pt>
                <c:pt idx="6">
                  <c:v>417.58501126310614</c:v>
                </c:pt>
                <c:pt idx="7">
                  <c:v>203.36571797313309</c:v>
                </c:pt>
                <c:pt idx="8">
                  <c:v>134.70058625220997</c:v>
                </c:pt>
                <c:pt idx="9">
                  <c:v>383.12032801235921</c:v>
                </c:pt>
                <c:pt idx="10">
                  <c:v>596.25157305228277</c:v>
                </c:pt>
                <c:pt idx="11">
                  <c:v>1107.9238333442966</c:v>
                </c:pt>
                <c:pt idx="12">
                  <c:v>313.54552298500448</c:v>
                </c:pt>
                <c:pt idx="13">
                  <c:v>303.8473030545868</c:v>
                </c:pt>
                <c:pt idx="14">
                  <c:v>285.73404640922331</c:v>
                </c:pt>
                <c:pt idx="15">
                  <c:v>366.05340648955394</c:v>
                </c:pt>
              </c:numCache>
            </c:numRef>
          </c:val>
          <c:extLst>
            <c:ext xmlns:c16="http://schemas.microsoft.com/office/drawing/2014/chart" uri="{C3380CC4-5D6E-409C-BE32-E72D297353CC}">
              <c16:uniqueId val="{00000003-C036-484A-9546-B334C88653C6}"/>
            </c:ext>
          </c:extLst>
        </c:ser>
        <c:ser>
          <c:idx val="4"/>
          <c:order val="4"/>
          <c:tx>
            <c:v>poslední decil</c:v>
          </c:tx>
          <c:spPr>
            <a:noFill/>
            <a:ln>
              <a:noFill/>
            </a:ln>
            <a:effectLst/>
          </c:spPr>
          <c:invertIfNegative val="0"/>
          <c:errBars>
            <c:errBarType val="minus"/>
            <c:errValType val="percentage"/>
            <c:noEndCap val="1"/>
            <c:val val="100"/>
            <c:spPr>
              <a:noFill/>
              <a:ln w="9525" cap="flat" cmpd="sng" algn="ctr">
                <a:solidFill>
                  <a:schemeClr val="tx1">
                    <a:lumMod val="65000"/>
                    <a:lumOff val="35000"/>
                  </a:schemeClr>
                </a:solidFill>
                <a:round/>
              </a:ln>
              <a:effectLst/>
            </c:spPr>
          </c:errBars>
          <c:cat>
            <c:strRef>
              <c:f>List2!$A$2:$A$103</c:f>
              <c:strCache>
                <c:ptCount val="16"/>
                <c:pt idx="0">
                  <c:v>A</c:v>
                </c:pt>
                <c:pt idx="1">
                  <c:v>B</c:v>
                </c:pt>
                <c:pt idx="2">
                  <c:v>C</c:v>
                </c:pt>
                <c:pt idx="3">
                  <c:v>D</c:v>
                </c:pt>
                <c:pt idx="4">
                  <c:v>E</c:v>
                </c:pt>
                <c:pt idx="5">
                  <c:v>F</c:v>
                </c:pt>
                <c:pt idx="6">
                  <c:v>G</c:v>
                </c:pt>
                <c:pt idx="7">
                  <c:v>H</c:v>
                </c:pt>
                <c:pt idx="8">
                  <c:v>I</c:v>
                </c:pt>
                <c:pt idx="9">
                  <c:v>J</c:v>
                </c:pt>
                <c:pt idx="10">
                  <c:v>K</c:v>
                </c:pt>
                <c:pt idx="11">
                  <c:v>L</c:v>
                </c:pt>
                <c:pt idx="12">
                  <c:v>M</c:v>
                </c:pt>
                <c:pt idx="13">
                  <c:v>N</c:v>
                </c:pt>
                <c:pt idx="14">
                  <c:v>Q</c:v>
                </c:pt>
                <c:pt idx="15">
                  <c:v>R</c:v>
                </c:pt>
              </c:strCache>
            </c:strRef>
          </c:cat>
          <c:val>
            <c:numRef>
              <c:f>List2!$AA$2:$AA$103</c:f>
              <c:numCache>
                <c:formatCode>#,##0</c:formatCode>
                <c:ptCount val="16"/>
                <c:pt idx="0">
                  <c:v>463.16630490361695</c:v>
                </c:pt>
                <c:pt idx="1">
                  <c:v>966.44486074428278</c:v>
                </c:pt>
                <c:pt idx="2">
                  <c:v>431.06254875614468</c:v>
                </c:pt>
                <c:pt idx="3">
                  <c:v>7731.5636861936891</c:v>
                </c:pt>
                <c:pt idx="4">
                  <c:v>762.4892211773797</c:v>
                </c:pt>
                <c:pt idx="5">
                  <c:v>492.39548779477923</c:v>
                </c:pt>
                <c:pt idx="6">
                  <c:v>1073.345183759136</c:v>
                </c:pt>
                <c:pt idx="7">
                  <c:v>399.21137010915004</c:v>
                </c:pt>
                <c:pt idx="8">
                  <c:v>256.6023193632692</c:v>
                </c:pt>
                <c:pt idx="9">
                  <c:v>914.00469990828174</c:v>
                </c:pt>
                <c:pt idx="10">
                  <c:v>3462.6780492264716</c:v>
                </c:pt>
                <c:pt idx="11">
                  <c:v>5772.8941656007928</c:v>
                </c:pt>
                <c:pt idx="12">
                  <c:v>762.24748490342938</c:v>
                </c:pt>
                <c:pt idx="13">
                  <c:v>755.65518519336911</c:v>
                </c:pt>
                <c:pt idx="14">
                  <c:v>551.69079976389025</c:v>
                </c:pt>
                <c:pt idx="15">
                  <c:v>1248.6660440765741</c:v>
                </c:pt>
              </c:numCache>
            </c:numRef>
          </c:val>
          <c:extLst>
            <c:ext xmlns:c16="http://schemas.microsoft.com/office/drawing/2014/chart" uri="{C3380CC4-5D6E-409C-BE32-E72D297353CC}">
              <c16:uniqueId val="{00000004-C036-484A-9546-B334C88653C6}"/>
            </c:ext>
          </c:extLst>
        </c:ser>
        <c:dLbls>
          <c:showLegendKey val="0"/>
          <c:showVal val="0"/>
          <c:showCatName val="0"/>
          <c:showSerName val="0"/>
          <c:showPercent val="0"/>
          <c:showBubbleSize val="0"/>
        </c:dLbls>
        <c:gapWidth val="150"/>
        <c:overlap val="100"/>
        <c:axId val="347872368"/>
        <c:axId val="347874032"/>
      </c:barChart>
      <c:lineChart>
        <c:grouping val="stacked"/>
        <c:varyColors val="0"/>
        <c:ser>
          <c:idx val="5"/>
          <c:order val="5"/>
          <c:tx>
            <c:strRef>
              <c:f>List2!$L$1</c:f>
              <c:strCache>
                <c:ptCount val="1"/>
                <c:pt idx="0">
                  <c:v>energetická náročnost</c:v>
                </c:pt>
              </c:strCache>
            </c:strRef>
          </c:tx>
          <c:spPr>
            <a:ln w="25400" cap="rnd">
              <a:noFill/>
              <a:round/>
            </a:ln>
            <a:effectLst/>
          </c:spPr>
          <c:marker>
            <c:symbol val="circle"/>
            <c:size val="4"/>
            <c:spPr>
              <a:solidFill>
                <a:schemeClr val="accent6"/>
              </a:solidFill>
              <a:ln w="9525">
                <a:noFill/>
              </a:ln>
              <a:effectLst/>
            </c:spPr>
          </c:marker>
          <c:val>
            <c:numRef>
              <c:f>List2!$AB$2:$AB$103</c:f>
              <c:numCache>
                <c:formatCode>0%</c:formatCode>
                <c:ptCount val="16"/>
                <c:pt idx="0">
                  <c:v>1.8135067502481703E-2</c:v>
                </c:pt>
                <c:pt idx="1">
                  <c:v>6.9299444806944471E-2</c:v>
                </c:pt>
                <c:pt idx="2" formatCode="0.0%">
                  <c:v>3.3653580493423367E-2</c:v>
                </c:pt>
                <c:pt idx="3">
                  <c:v>0.68863621830925004</c:v>
                </c:pt>
                <c:pt idx="4">
                  <c:v>3.6929922196694574E-2</c:v>
                </c:pt>
                <c:pt idx="5">
                  <c:v>4.9586727391947322E-3</c:v>
                </c:pt>
                <c:pt idx="6">
                  <c:v>2.2621139530265517E-2</c:v>
                </c:pt>
                <c:pt idx="7">
                  <c:v>1.7540640978388707E-2</c:v>
                </c:pt>
                <c:pt idx="8">
                  <c:v>6.8875519579387215E-2</c:v>
                </c:pt>
                <c:pt idx="9">
                  <c:v>9.8263834914227698E-3</c:v>
                </c:pt>
                <c:pt idx="10">
                  <c:v>1.9755782200065715E-3</c:v>
                </c:pt>
                <c:pt idx="11">
                  <c:v>5.8735924237600087E-2</c:v>
                </c:pt>
                <c:pt idx="12">
                  <c:v>7.1481511987004981E-3</c:v>
                </c:pt>
                <c:pt idx="13">
                  <c:v>6.8572035402678965E-3</c:v>
                </c:pt>
                <c:pt idx="14">
                  <c:v>2.1948455549047709E-2</c:v>
                </c:pt>
                <c:pt idx="15">
                  <c:v>2.2359360253789679E-2</c:v>
                </c:pt>
              </c:numCache>
            </c:numRef>
          </c:val>
          <c:smooth val="0"/>
          <c:extLst>
            <c:ext xmlns:c16="http://schemas.microsoft.com/office/drawing/2014/chart" uri="{C3380CC4-5D6E-409C-BE32-E72D297353CC}">
              <c16:uniqueId val="{00000005-C036-484A-9546-B334C88653C6}"/>
            </c:ext>
          </c:extLst>
        </c:ser>
        <c:dLbls>
          <c:showLegendKey val="0"/>
          <c:showVal val="0"/>
          <c:showCatName val="0"/>
          <c:showSerName val="0"/>
          <c:showPercent val="0"/>
          <c:showBubbleSize val="0"/>
        </c:dLbls>
        <c:marker val="1"/>
        <c:smooth val="0"/>
        <c:axId val="1544632448"/>
        <c:axId val="1544644928"/>
      </c:lineChart>
      <c:catAx>
        <c:axId val="347872368"/>
        <c:scaling>
          <c:orientation val="minMax"/>
        </c:scaling>
        <c:delete val="0"/>
        <c:axPos val="b"/>
        <c:numFmt formatCode="General" sourceLinked="1"/>
        <c:majorTickMark val="none"/>
        <c:minorTickMark val="none"/>
        <c:tickLblPos val="nextTo"/>
        <c:spPr>
          <a:noFill/>
          <a:ln w="635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cs-CZ"/>
          </a:p>
        </c:txPr>
        <c:crossAx val="347874032"/>
        <c:crosses val="autoZero"/>
        <c:auto val="1"/>
        <c:lblAlgn val="ctr"/>
        <c:lblOffset val="100"/>
        <c:noMultiLvlLbl val="0"/>
      </c:catAx>
      <c:valAx>
        <c:axId val="347874032"/>
        <c:scaling>
          <c:orientation val="minMax"/>
          <c:max val="3250"/>
          <c:min val="0"/>
        </c:scaling>
        <c:delete val="0"/>
        <c:axPos val="l"/>
        <c:majorGridlines>
          <c:spPr>
            <a:ln w="6350" cap="flat" cmpd="sng" algn="ctr">
              <a:solidFill>
                <a:schemeClr val="tx1"/>
              </a:solidFill>
              <a:prstDash val="dash"/>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mn-lt"/>
                <a:ea typeface="+mn-ea"/>
                <a:cs typeface="+mn-cs"/>
              </a:defRPr>
            </a:pPr>
            <a:endParaRPr lang="cs-CZ"/>
          </a:p>
        </c:txPr>
        <c:crossAx val="347872368"/>
        <c:crosses val="autoZero"/>
        <c:crossBetween val="between"/>
        <c:majorUnit val="250"/>
      </c:valAx>
      <c:valAx>
        <c:axId val="1544644928"/>
        <c:scaling>
          <c:orientation val="minMax"/>
          <c:max val="0.26"/>
        </c:scaling>
        <c:delete val="0"/>
        <c:axPos val="r"/>
        <c:numFmt formatCode="0%" sourceLinked="1"/>
        <c:majorTickMark val="out"/>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mn-lt"/>
                <a:ea typeface="+mn-ea"/>
                <a:cs typeface="+mn-cs"/>
              </a:defRPr>
            </a:pPr>
            <a:endParaRPr lang="cs-CZ"/>
          </a:p>
        </c:txPr>
        <c:crossAx val="1544632448"/>
        <c:crosses val="max"/>
        <c:crossBetween val="between"/>
        <c:majorUnit val="2.0000000000000004E-2"/>
      </c:valAx>
      <c:catAx>
        <c:axId val="1544632448"/>
        <c:scaling>
          <c:orientation val="minMax"/>
        </c:scaling>
        <c:delete val="1"/>
        <c:axPos val="b"/>
        <c:majorTickMark val="out"/>
        <c:minorTickMark val="none"/>
        <c:tickLblPos val="nextTo"/>
        <c:crossAx val="1544644928"/>
        <c:crosses val="autoZero"/>
        <c:auto val="1"/>
        <c:lblAlgn val="ctr"/>
        <c:lblOffset val="100"/>
        <c:noMultiLvlLbl val="0"/>
      </c:catAx>
      <c:spPr>
        <a:noFill/>
        <a:ln>
          <a:noFill/>
        </a:ln>
        <a:effectLst/>
      </c:spPr>
    </c:plotArea>
    <c:legend>
      <c:legendPos val="b"/>
      <c:layout>
        <c:manualLayout>
          <c:xMode val="edge"/>
          <c:yMode val="edge"/>
          <c:x val="8.0552666765710892E-3"/>
          <c:y val="0.82302465570182104"/>
          <c:w val="0.98808233876425822"/>
          <c:h val="0.17697534429817893"/>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mn-lt"/>
              <a:ea typeface="+mn-ea"/>
              <a:cs typeface="+mn-cs"/>
            </a:defRPr>
          </a:pPr>
          <a:endParaRPr lang="cs-CZ"/>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cs-CZ"/>
    </a:p>
  </c:txPr>
  <c:externalData r:id="rId3">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1624190200924716E-2"/>
          <c:y val="4.7775170165010705E-2"/>
          <c:w val="0.88321857709467277"/>
          <c:h val="0.48473642935495609"/>
        </c:manualLayout>
      </c:layout>
      <c:barChart>
        <c:barDir val="col"/>
        <c:grouping val="stacked"/>
        <c:varyColors val="0"/>
        <c:ser>
          <c:idx val="0"/>
          <c:order val="0"/>
          <c:tx>
            <c:strRef>
              <c:f>Graf!$B$21</c:f>
              <c:strCache>
                <c:ptCount val="1"/>
                <c:pt idx="0">
                  <c:v>Přidaná hodnota ze zahraničí (%)</c:v>
                </c:pt>
              </c:strCache>
            </c:strRef>
          </c:tx>
          <c:spPr>
            <a:solidFill>
              <a:schemeClr val="accent1"/>
            </a:solidFill>
            <a:ln>
              <a:noFill/>
            </a:ln>
            <a:effectLst/>
          </c:spPr>
          <c:invertIfNegative val="0"/>
          <c:cat>
            <c:strRef>
              <c:f>Graf!$A$22:$A$34</c:f>
              <c:strCache>
                <c:ptCount val="13"/>
                <c:pt idx="0">
                  <c:v>Lucembursko</c:v>
                </c:pt>
                <c:pt idx="1">
                  <c:v>Slovensko</c:v>
                </c:pt>
                <c:pt idx="2">
                  <c:v>Maďarsko</c:v>
                </c:pt>
                <c:pt idx="3">
                  <c:v>Česko</c:v>
                </c:pt>
                <c:pt idx="4">
                  <c:v>Dánsko</c:v>
                </c:pt>
                <c:pt idx="5">
                  <c:v>Belgie</c:v>
                </c:pt>
                <c:pt idx="6">
                  <c:v>Finsko</c:v>
                </c:pt>
                <c:pt idx="7">
                  <c:v>Rakousko</c:v>
                </c:pt>
                <c:pt idx="8">
                  <c:v>Polsko</c:v>
                </c:pt>
                <c:pt idx="9">
                  <c:v>Švédsko</c:v>
                </c:pt>
                <c:pt idx="10">
                  <c:v>Francie</c:v>
                </c:pt>
                <c:pt idx="11">
                  <c:v>Německo</c:v>
                </c:pt>
                <c:pt idx="12">
                  <c:v>Itálie</c:v>
                </c:pt>
              </c:strCache>
            </c:strRef>
          </c:cat>
          <c:val>
            <c:numRef>
              <c:f>Graf!$B$22:$B$34</c:f>
              <c:numCache>
                <c:formatCode>#\ ##0.0</c:formatCode>
                <c:ptCount val="13"/>
                <c:pt idx="0">
                  <c:v>66.2</c:v>
                </c:pt>
                <c:pt idx="1">
                  <c:v>47.7</c:v>
                </c:pt>
                <c:pt idx="2">
                  <c:v>45.9</c:v>
                </c:pt>
                <c:pt idx="3">
                  <c:v>37.700000000000003</c:v>
                </c:pt>
                <c:pt idx="4">
                  <c:v>33.799999999999997</c:v>
                </c:pt>
                <c:pt idx="5">
                  <c:v>33.4</c:v>
                </c:pt>
                <c:pt idx="6">
                  <c:v>29.7</c:v>
                </c:pt>
                <c:pt idx="7">
                  <c:v>29.6</c:v>
                </c:pt>
                <c:pt idx="8">
                  <c:v>28.9</c:v>
                </c:pt>
                <c:pt idx="9">
                  <c:v>23.3</c:v>
                </c:pt>
                <c:pt idx="10">
                  <c:v>21.8</c:v>
                </c:pt>
                <c:pt idx="11">
                  <c:v>21.4</c:v>
                </c:pt>
                <c:pt idx="12">
                  <c:v>20.7</c:v>
                </c:pt>
              </c:numCache>
            </c:numRef>
          </c:val>
          <c:extLst>
            <c:ext xmlns:c16="http://schemas.microsoft.com/office/drawing/2014/chart" uri="{C3380CC4-5D6E-409C-BE32-E72D297353CC}">
              <c16:uniqueId val="{00000000-F85D-4FAF-A584-E37D9BCC701D}"/>
            </c:ext>
          </c:extLst>
        </c:ser>
        <c:ser>
          <c:idx val="2"/>
          <c:order val="2"/>
          <c:tx>
            <c:strRef>
              <c:f>Graf!$D$21</c:f>
              <c:strCache>
                <c:ptCount val="1"/>
                <c:pt idx="0">
                  <c:v>Domácí přidaná hodnota vytvořená přímo exportéry (%)</c:v>
                </c:pt>
              </c:strCache>
            </c:strRef>
          </c:tx>
          <c:spPr>
            <a:solidFill>
              <a:schemeClr val="accent3"/>
            </a:solidFill>
            <a:ln>
              <a:noFill/>
            </a:ln>
            <a:effectLst/>
          </c:spPr>
          <c:invertIfNegative val="0"/>
          <c:cat>
            <c:strRef>
              <c:f>Graf!$A$22:$A$34</c:f>
              <c:strCache>
                <c:ptCount val="13"/>
                <c:pt idx="0">
                  <c:v>Lucembursko</c:v>
                </c:pt>
                <c:pt idx="1">
                  <c:v>Slovensko</c:v>
                </c:pt>
                <c:pt idx="2">
                  <c:v>Maďarsko</c:v>
                </c:pt>
                <c:pt idx="3">
                  <c:v>Česko</c:v>
                </c:pt>
                <c:pt idx="4">
                  <c:v>Dánsko</c:v>
                </c:pt>
                <c:pt idx="5">
                  <c:v>Belgie</c:v>
                </c:pt>
                <c:pt idx="6">
                  <c:v>Finsko</c:v>
                </c:pt>
                <c:pt idx="7">
                  <c:v>Rakousko</c:v>
                </c:pt>
                <c:pt idx="8">
                  <c:v>Polsko</c:v>
                </c:pt>
                <c:pt idx="9">
                  <c:v>Švédsko</c:v>
                </c:pt>
                <c:pt idx="10">
                  <c:v>Francie</c:v>
                </c:pt>
                <c:pt idx="11">
                  <c:v>Německo</c:v>
                </c:pt>
                <c:pt idx="12">
                  <c:v>Itálie</c:v>
                </c:pt>
              </c:strCache>
            </c:strRef>
          </c:cat>
          <c:val>
            <c:numRef>
              <c:f>Graf!$D$22:$D$34</c:f>
              <c:numCache>
                <c:formatCode>#\ ##0.0</c:formatCode>
                <c:ptCount val="13"/>
                <c:pt idx="0">
                  <c:v>26.897844016784834</c:v>
                </c:pt>
                <c:pt idx="1">
                  <c:v>34.019544325666779</c:v>
                </c:pt>
                <c:pt idx="2">
                  <c:v>37.362115550339105</c:v>
                </c:pt>
                <c:pt idx="3">
                  <c:v>39.408637805960552</c:v>
                </c:pt>
                <c:pt idx="4">
                  <c:v>45.599051540445707</c:v>
                </c:pt>
                <c:pt idx="5">
                  <c:v>44.163946069404538</c:v>
                </c:pt>
                <c:pt idx="6">
                  <c:v>40.800480763463902</c:v>
                </c:pt>
                <c:pt idx="7">
                  <c:v>47.308019832300246</c:v>
                </c:pt>
                <c:pt idx="8">
                  <c:v>43.394540718695822</c:v>
                </c:pt>
                <c:pt idx="9">
                  <c:v>47.381539388371216</c:v>
                </c:pt>
                <c:pt idx="10">
                  <c:v>46.573503276862681</c:v>
                </c:pt>
                <c:pt idx="11">
                  <c:v>47.732315708988466</c:v>
                </c:pt>
                <c:pt idx="12">
                  <c:v>42.249423882300476</c:v>
                </c:pt>
              </c:numCache>
            </c:numRef>
          </c:val>
          <c:extLst>
            <c:ext xmlns:c16="http://schemas.microsoft.com/office/drawing/2014/chart" uri="{C3380CC4-5D6E-409C-BE32-E72D297353CC}">
              <c16:uniqueId val="{00000001-F85D-4FAF-A584-E37D9BCC701D}"/>
            </c:ext>
          </c:extLst>
        </c:ser>
        <c:ser>
          <c:idx val="3"/>
          <c:order val="3"/>
          <c:tx>
            <c:strRef>
              <c:f>Graf!$E$21</c:f>
              <c:strCache>
                <c:ptCount val="1"/>
                <c:pt idx="0">
                  <c:v>Domácí přidaná hodnota vytvořená subdodavateli (%)</c:v>
                </c:pt>
              </c:strCache>
            </c:strRef>
          </c:tx>
          <c:spPr>
            <a:solidFill>
              <a:schemeClr val="accent4"/>
            </a:solidFill>
            <a:ln>
              <a:noFill/>
            </a:ln>
            <a:effectLst/>
          </c:spPr>
          <c:invertIfNegative val="0"/>
          <c:cat>
            <c:strRef>
              <c:f>Graf!$A$22:$A$34</c:f>
              <c:strCache>
                <c:ptCount val="13"/>
                <c:pt idx="0">
                  <c:v>Lucembursko</c:v>
                </c:pt>
                <c:pt idx="1">
                  <c:v>Slovensko</c:v>
                </c:pt>
                <c:pt idx="2">
                  <c:v>Maďarsko</c:v>
                </c:pt>
                <c:pt idx="3">
                  <c:v>Česko</c:v>
                </c:pt>
                <c:pt idx="4">
                  <c:v>Dánsko</c:v>
                </c:pt>
                <c:pt idx="5">
                  <c:v>Belgie</c:v>
                </c:pt>
                <c:pt idx="6">
                  <c:v>Finsko</c:v>
                </c:pt>
                <c:pt idx="7">
                  <c:v>Rakousko</c:v>
                </c:pt>
                <c:pt idx="8">
                  <c:v>Polsko</c:v>
                </c:pt>
                <c:pt idx="9">
                  <c:v>Švédsko</c:v>
                </c:pt>
                <c:pt idx="10">
                  <c:v>Francie</c:v>
                </c:pt>
                <c:pt idx="11">
                  <c:v>Německo</c:v>
                </c:pt>
                <c:pt idx="12">
                  <c:v>Itálie</c:v>
                </c:pt>
              </c:strCache>
            </c:strRef>
          </c:cat>
          <c:val>
            <c:numRef>
              <c:f>Graf!$E$22:$E$34</c:f>
              <c:numCache>
                <c:formatCode>#\ ##0.0</c:formatCode>
                <c:ptCount val="13"/>
                <c:pt idx="0">
                  <c:v>6.8087107509767044</c:v>
                </c:pt>
                <c:pt idx="1">
                  <c:v>18.108465608465611</c:v>
                </c:pt>
                <c:pt idx="2">
                  <c:v>16.62407216967204</c:v>
                </c:pt>
                <c:pt idx="3">
                  <c:v>22.654055837269965</c:v>
                </c:pt>
                <c:pt idx="4">
                  <c:v>20.454619735008091</c:v>
                </c:pt>
                <c:pt idx="5">
                  <c:v>22.194871752189481</c:v>
                </c:pt>
                <c:pt idx="6">
                  <c:v>29.377430506408981</c:v>
                </c:pt>
                <c:pt idx="7">
                  <c:v>22.940741165346459</c:v>
                </c:pt>
                <c:pt idx="8">
                  <c:v>27.502694200400502</c:v>
                </c:pt>
                <c:pt idx="9">
                  <c:v>29.165754073892185</c:v>
                </c:pt>
                <c:pt idx="10">
                  <c:v>31.307067612961504</c:v>
                </c:pt>
                <c:pt idx="11">
                  <c:v>30.139484294466879</c:v>
                </c:pt>
                <c:pt idx="12">
                  <c:v>36.856817990464044</c:v>
                </c:pt>
              </c:numCache>
            </c:numRef>
          </c:val>
          <c:extLst>
            <c:ext xmlns:c16="http://schemas.microsoft.com/office/drawing/2014/chart" uri="{C3380CC4-5D6E-409C-BE32-E72D297353CC}">
              <c16:uniqueId val="{00000002-F85D-4FAF-A584-E37D9BCC701D}"/>
            </c:ext>
          </c:extLst>
        </c:ser>
        <c:ser>
          <c:idx val="4"/>
          <c:order val="4"/>
          <c:tx>
            <c:strRef>
              <c:f>Graf!$F$21</c:f>
              <c:strCache>
                <c:ptCount val="1"/>
                <c:pt idx="0">
                  <c:v>Reimportovaná domácí přidaná hodnota (%) </c:v>
                </c:pt>
              </c:strCache>
            </c:strRef>
          </c:tx>
          <c:spPr>
            <a:solidFill>
              <a:schemeClr val="accent5"/>
            </a:solidFill>
            <a:ln>
              <a:noFill/>
            </a:ln>
            <a:effectLst/>
          </c:spPr>
          <c:invertIfNegative val="0"/>
          <c:cat>
            <c:strRef>
              <c:f>Graf!$A$22:$A$34</c:f>
              <c:strCache>
                <c:ptCount val="13"/>
                <c:pt idx="0">
                  <c:v>Lucembursko</c:v>
                </c:pt>
                <c:pt idx="1">
                  <c:v>Slovensko</c:v>
                </c:pt>
                <c:pt idx="2">
                  <c:v>Maďarsko</c:v>
                </c:pt>
                <c:pt idx="3">
                  <c:v>Česko</c:v>
                </c:pt>
                <c:pt idx="4">
                  <c:v>Dánsko</c:v>
                </c:pt>
                <c:pt idx="5">
                  <c:v>Belgie</c:v>
                </c:pt>
                <c:pt idx="6">
                  <c:v>Finsko</c:v>
                </c:pt>
                <c:pt idx="7">
                  <c:v>Rakousko</c:v>
                </c:pt>
                <c:pt idx="8">
                  <c:v>Polsko</c:v>
                </c:pt>
                <c:pt idx="9">
                  <c:v>Švédsko</c:v>
                </c:pt>
                <c:pt idx="10">
                  <c:v>Francie</c:v>
                </c:pt>
                <c:pt idx="11">
                  <c:v>Německo</c:v>
                </c:pt>
                <c:pt idx="12">
                  <c:v>Itálie</c:v>
                </c:pt>
              </c:strCache>
            </c:strRef>
          </c:cat>
          <c:val>
            <c:numRef>
              <c:f>Graf!$F$22:$F$34</c:f>
              <c:numCache>
                <c:formatCode>#\ ##0.0</c:formatCode>
                <c:ptCount val="13"/>
                <c:pt idx="0">
                  <c:v>0.12132831717551729</c:v>
                </c:pt>
                <c:pt idx="1">
                  <c:v>0.18032609869344562</c:v>
                </c:pt>
                <c:pt idx="2">
                  <c:v>0.12977359968084209</c:v>
                </c:pt>
                <c:pt idx="3">
                  <c:v>0.1945359874571902</c:v>
                </c:pt>
                <c:pt idx="4">
                  <c:v>0.15207395421119246</c:v>
                </c:pt>
                <c:pt idx="5">
                  <c:v>0.24792287861038342</c:v>
                </c:pt>
                <c:pt idx="6">
                  <c:v>8.816395857373506E-2</c:v>
                </c:pt>
                <c:pt idx="7">
                  <c:v>0.19597849039240622</c:v>
                </c:pt>
                <c:pt idx="8">
                  <c:v>0.20992348223769186</c:v>
                </c:pt>
                <c:pt idx="9">
                  <c:v>0.15581275209020595</c:v>
                </c:pt>
                <c:pt idx="10">
                  <c:v>0.30679523212333304</c:v>
                </c:pt>
                <c:pt idx="11">
                  <c:v>0.71650995559576924</c:v>
                </c:pt>
                <c:pt idx="12">
                  <c:v>0.21723301349315985</c:v>
                </c:pt>
              </c:numCache>
            </c:numRef>
          </c:val>
          <c:extLst>
            <c:ext xmlns:c16="http://schemas.microsoft.com/office/drawing/2014/chart" uri="{C3380CC4-5D6E-409C-BE32-E72D297353CC}">
              <c16:uniqueId val="{00000003-F85D-4FAF-A584-E37D9BCC701D}"/>
            </c:ext>
          </c:extLst>
        </c:ser>
        <c:dLbls>
          <c:showLegendKey val="0"/>
          <c:showVal val="0"/>
          <c:showCatName val="0"/>
          <c:showSerName val="0"/>
          <c:showPercent val="0"/>
          <c:showBubbleSize val="0"/>
        </c:dLbls>
        <c:gapWidth val="150"/>
        <c:overlap val="100"/>
        <c:axId val="1110778175"/>
        <c:axId val="1110778591"/>
        <c:extLst>
          <c:ext xmlns:c15="http://schemas.microsoft.com/office/drawing/2012/chart" uri="{02D57815-91ED-43cb-92C2-25804820EDAC}">
            <c15:filteredBarSeries>
              <c15:ser>
                <c:idx val="1"/>
                <c:order val="1"/>
                <c:tx>
                  <c:strRef>
                    <c:extLst>
                      <c:ext uri="{02D57815-91ED-43cb-92C2-25804820EDAC}">
                        <c15:formulaRef>
                          <c15:sqref>Graf!$C$21</c15:sqref>
                        </c15:formulaRef>
                      </c:ext>
                    </c:extLst>
                    <c:strCache>
                      <c:ptCount val="1"/>
                      <c:pt idx="0">
                        <c:v>Domestic value added share of gross exports (%)</c:v>
                      </c:pt>
                    </c:strCache>
                  </c:strRef>
                </c:tx>
                <c:spPr>
                  <a:solidFill>
                    <a:schemeClr val="accent2"/>
                  </a:solidFill>
                  <a:ln>
                    <a:noFill/>
                  </a:ln>
                  <a:effectLst/>
                </c:spPr>
                <c:invertIfNegative val="0"/>
                <c:cat>
                  <c:strRef>
                    <c:extLst>
                      <c:ext uri="{02D57815-91ED-43cb-92C2-25804820EDAC}">
                        <c15:formulaRef>
                          <c15:sqref>Graf!$A$22:$A$34</c15:sqref>
                        </c15:formulaRef>
                      </c:ext>
                    </c:extLst>
                    <c:strCache>
                      <c:ptCount val="13"/>
                      <c:pt idx="0">
                        <c:v>Lucembursko</c:v>
                      </c:pt>
                      <c:pt idx="1">
                        <c:v>Slovensko</c:v>
                      </c:pt>
                      <c:pt idx="2">
                        <c:v>Maďarsko</c:v>
                      </c:pt>
                      <c:pt idx="3">
                        <c:v>Česko</c:v>
                      </c:pt>
                      <c:pt idx="4">
                        <c:v>Dánsko</c:v>
                      </c:pt>
                      <c:pt idx="5">
                        <c:v>Belgie</c:v>
                      </c:pt>
                      <c:pt idx="6">
                        <c:v>Finsko</c:v>
                      </c:pt>
                      <c:pt idx="7">
                        <c:v>Rakousko</c:v>
                      </c:pt>
                      <c:pt idx="8">
                        <c:v>Polsko</c:v>
                      </c:pt>
                      <c:pt idx="9">
                        <c:v>Švédsko</c:v>
                      </c:pt>
                      <c:pt idx="10">
                        <c:v>Francie</c:v>
                      </c:pt>
                      <c:pt idx="11">
                        <c:v>Německo</c:v>
                      </c:pt>
                      <c:pt idx="12">
                        <c:v>Itálie</c:v>
                      </c:pt>
                    </c:strCache>
                  </c:strRef>
                </c:cat>
                <c:val>
                  <c:numRef>
                    <c:extLst>
                      <c:ext uri="{02D57815-91ED-43cb-92C2-25804820EDAC}">
                        <c15:formulaRef>
                          <c15:sqref>Graf!$C$22:$C$34</c15:sqref>
                        </c15:formulaRef>
                      </c:ext>
                    </c:extLst>
                    <c:numCache>
                      <c:formatCode>#\ ##0.0</c:formatCode>
                      <c:ptCount val="13"/>
                      <c:pt idx="0">
                        <c:v>33.799999999999997</c:v>
                      </c:pt>
                      <c:pt idx="1">
                        <c:v>52.3</c:v>
                      </c:pt>
                      <c:pt idx="2">
                        <c:v>54.1</c:v>
                      </c:pt>
                      <c:pt idx="3">
                        <c:v>62.3</c:v>
                      </c:pt>
                      <c:pt idx="4">
                        <c:v>66.2</c:v>
                      </c:pt>
                      <c:pt idx="5">
                        <c:v>66.599999999999994</c:v>
                      </c:pt>
                      <c:pt idx="6">
                        <c:v>70.3</c:v>
                      </c:pt>
                      <c:pt idx="7">
                        <c:v>70.400000000000006</c:v>
                      </c:pt>
                      <c:pt idx="8">
                        <c:v>71.099999999999994</c:v>
                      </c:pt>
                      <c:pt idx="9">
                        <c:v>76.7</c:v>
                      </c:pt>
                      <c:pt idx="10">
                        <c:v>78.2</c:v>
                      </c:pt>
                      <c:pt idx="11">
                        <c:v>78.599999999999994</c:v>
                      </c:pt>
                      <c:pt idx="12">
                        <c:v>79.3</c:v>
                      </c:pt>
                    </c:numCache>
                  </c:numRef>
                </c:val>
                <c:extLst>
                  <c:ext xmlns:c16="http://schemas.microsoft.com/office/drawing/2014/chart" uri="{C3380CC4-5D6E-409C-BE32-E72D297353CC}">
                    <c16:uniqueId val="{00000004-F85D-4FAF-A584-E37D9BCC701D}"/>
                  </c:ext>
                </c:extLst>
              </c15:ser>
            </c15:filteredBarSeries>
          </c:ext>
        </c:extLst>
      </c:barChart>
      <c:catAx>
        <c:axId val="1110778175"/>
        <c:scaling>
          <c:orientation val="minMax"/>
        </c:scaling>
        <c:delete val="0"/>
        <c:axPos val="b"/>
        <c:numFmt formatCode="General" sourceLinked="1"/>
        <c:majorTickMark val="none"/>
        <c:minorTickMark val="none"/>
        <c:tickLblPos val="nextTo"/>
        <c:spPr>
          <a:noFill/>
          <a:ln w="6350" cap="flat" cmpd="sng" algn="ctr">
            <a:solidFill>
              <a:schemeClr val="tx1"/>
            </a:solidFill>
            <a:round/>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cs-CZ"/>
          </a:p>
        </c:txPr>
        <c:crossAx val="1110778591"/>
        <c:crosses val="autoZero"/>
        <c:auto val="1"/>
        <c:lblAlgn val="ctr"/>
        <c:lblOffset val="100"/>
        <c:noMultiLvlLbl val="0"/>
      </c:catAx>
      <c:valAx>
        <c:axId val="1110778591"/>
        <c:scaling>
          <c:orientation val="minMax"/>
          <c:max val="100"/>
        </c:scaling>
        <c:delete val="0"/>
        <c:axPos val="l"/>
        <c:majorGridlines>
          <c:spPr>
            <a:ln w="6350" cap="flat" cmpd="sng" algn="ctr">
              <a:solidFill>
                <a:schemeClr val="tx1"/>
              </a:solidFill>
              <a:prstDash val="dash"/>
              <a:round/>
            </a:ln>
            <a:effectLst/>
          </c:spPr>
        </c:majorGridlines>
        <c:numFmt formatCode="#\ ##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cs-CZ"/>
          </a:p>
        </c:txPr>
        <c:crossAx val="1110778175"/>
        <c:crosses val="autoZero"/>
        <c:crossBetween val="between"/>
      </c:valAx>
      <c:spPr>
        <a:noFill/>
        <a:ln>
          <a:noFill/>
        </a:ln>
        <a:effectLst/>
      </c:spPr>
    </c:plotArea>
    <c:legend>
      <c:legendPos val="b"/>
      <c:layout>
        <c:manualLayout>
          <c:xMode val="edge"/>
          <c:yMode val="edge"/>
          <c:x val="0"/>
          <c:y val="0.74182414290984333"/>
          <c:w val="1"/>
          <c:h val="0.2540431592808578"/>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cs-CZ"/>
        </a:p>
      </c:txPr>
    </c:legend>
    <c:plotVisOnly val="1"/>
    <c:dispBlanksAs val="gap"/>
    <c:showDLblsOverMax val="0"/>
  </c:chart>
  <c:spPr>
    <a:solidFill>
      <a:schemeClr val="bg1"/>
    </a:solidFill>
    <a:ln w="9525" cap="flat" cmpd="sng" algn="ctr">
      <a:noFill/>
      <a:round/>
    </a:ln>
    <a:effectLst/>
  </c:spPr>
  <c:txPr>
    <a:bodyPr/>
    <a:lstStyle/>
    <a:p>
      <a:pPr>
        <a:defRPr sz="800">
          <a:solidFill>
            <a:schemeClr val="tx1"/>
          </a:solidFill>
        </a:defRPr>
      </a:pPr>
      <a:endParaRPr lang="cs-CZ"/>
    </a:p>
  </c:txPr>
  <c:externalData r:id="rId3">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0576258629619675"/>
          <c:y val="3.1895807431965739E-2"/>
          <c:w val="0.81526516616730149"/>
          <c:h val="0.54605263157894735"/>
        </c:manualLayout>
      </c:layout>
      <c:barChart>
        <c:barDir val="col"/>
        <c:grouping val="clustered"/>
        <c:varyColors val="0"/>
        <c:ser>
          <c:idx val="0"/>
          <c:order val="0"/>
          <c:tx>
            <c:strRef>
              <c:f>List3!$A$3</c:f>
              <c:strCache>
                <c:ptCount val="1"/>
                <c:pt idx="0">
                  <c:v>Rentabilita kapitálu soukromé zahraniční</c:v>
                </c:pt>
              </c:strCache>
            </c:strRef>
          </c:tx>
          <c:spPr>
            <a:solidFill>
              <a:schemeClr val="accent1"/>
            </a:solidFill>
            <a:ln>
              <a:noFill/>
            </a:ln>
            <a:effectLst/>
          </c:spPr>
          <c:invertIfNegative val="0"/>
          <c:cat>
            <c:numRef>
              <c:f>List3!$C$1:$P$1</c:f>
              <c:numCache>
                <c:formatCode>General</c:formatCode>
                <c:ptCount val="14"/>
                <c:pt idx="0">
                  <c:v>2009</c:v>
                </c:pt>
                <c:pt idx="1">
                  <c:v>2010</c:v>
                </c:pt>
                <c:pt idx="2">
                  <c:v>2011</c:v>
                </c:pt>
                <c:pt idx="3">
                  <c:v>2012</c:v>
                </c:pt>
                <c:pt idx="4">
                  <c:v>2013</c:v>
                </c:pt>
                <c:pt idx="5">
                  <c:v>2014</c:v>
                </c:pt>
                <c:pt idx="6">
                  <c:v>2015</c:v>
                </c:pt>
                <c:pt idx="7">
                  <c:v>2016</c:v>
                </c:pt>
                <c:pt idx="8">
                  <c:v>2017</c:v>
                </c:pt>
                <c:pt idx="9">
                  <c:v>2018</c:v>
                </c:pt>
                <c:pt idx="10">
                  <c:v>2019</c:v>
                </c:pt>
                <c:pt idx="11">
                  <c:v>2020</c:v>
                </c:pt>
                <c:pt idx="12">
                  <c:v>2021</c:v>
                </c:pt>
                <c:pt idx="13">
                  <c:v>2022</c:v>
                </c:pt>
              </c:numCache>
            </c:numRef>
          </c:cat>
          <c:val>
            <c:numRef>
              <c:f>List3!$C$3:$P$3</c:f>
              <c:numCache>
                <c:formatCode>0.0%</c:formatCode>
                <c:ptCount val="14"/>
                <c:pt idx="0">
                  <c:v>9.3699816640626085E-2</c:v>
                </c:pt>
                <c:pt idx="1">
                  <c:v>0.11574412430987631</c:v>
                </c:pt>
                <c:pt idx="2">
                  <c:v>0.10991410987728732</c:v>
                </c:pt>
                <c:pt idx="3">
                  <c:v>0.13404160466567558</c:v>
                </c:pt>
                <c:pt idx="4">
                  <c:v>0.10929549149026048</c:v>
                </c:pt>
                <c:pt idx="5">
                  <c:v>0.11546744686084051</c:v>
                </c:pt>
                <c:pt idx="6">
                  <c:v>0.13146835221951741</c:v>
                </c:pt>
                <c:pt idx="7">
                  <c:v>0.1322258489116718</c:v>
                </c:pt>
                <c:pt idx="8">
                  <c:v>0.14653247190082686</c:v>
                </c:pt>
                <c:pt idx="9">
                  <c:v>0.12443582285452268</c:v>
                </c:pt>
                <c:pt idx="10">
                  <c:v>0.13122587367770575</c:v>
                </c:pt>
                <c:pt idx="11">
                  <c:v>8.8076464389250944E-2</c:v>
                </c:pt>
                <c:pt idx="12">
                  <c:v>0.13749723581143042</c:v>
                </c:pt>
                <c:pt idx="13">
                  <c:v>0.14195962706410983</c:v>
                </c:pt>
              </c:numCache>
            </c:numRef>
          </c:val>
          <c:extLst>
            <c:ext xmlns:c16="http://schemas.microsoft.com/office/drawing/2014/chart" uri="{C3380CC4-5D6E-409C-BE32-E72D297353CC}">
              <c16:uniqueId val="{00000000-0EE5-477C-8655-7C67427F9834}"/>
            </c:ext>
          </c:extLst>
        </c:ser>
        <c:ser>
          <c:idx val="1"/>
          <c:order val="1"/>
          <c:tx>
            <c:strRef>
              <c:f>List3!$A$13</c:f>
              <c:strCache>
                <c:ptCount val="1"/>
                <c:pt idx="0">
                  <c:v>Rentabilita kapitálu soukromé domácí</c:v>
                </c:pt>
              </c:strCache>
            </c:strRef>
          </c:tx>
          <c:spPr>
            <a:solidFill>
              <a:schemeClr val="accent2"/>
            </a:solidFill>
            <a:ln>
              <a:noFill/>
            </a:ln>
            <a:effectLst/>
          </c:spPr>
          <c:invertIfNegative val="0"/>
          <c:cat>
            <c:numRef>
              <c:f>List3!$C$1:$P$1</c:f>
              <c:numCache>
                <c:formatCode>General</c:formatCode>
                <c:ptCount val="14"/>
                <c:pt idx="0">
                  <c:v>2009</c:v>
                </c:pt>
                <c:pt idx="1">
                  <c:v>2010</c:v>
                </c:pt>
                <c:pt idx="2">
                  <c:v>2011</c:v>
                </c:pt>
                <c:pt idx="3">
                  <c:v>2012</c:v>
                </c:pt>
                <c:pt idx="4">
                  <c:v>2013</c:v>
                </c:pt>
                <c:pt idx="5">
                  <c:v>2014</c:v>
                </c:pt>
                <c:pt idx="6">
                  <c:v>2015</c:v>
                </c:pt>
                <c:pt idx="7">
                  <c:v>2016</c:v>
                </c:pt>
                <c:pt idx="8">
                  <c:v>2017</c:v>
                </c:pt>
                <c:pt idx="9">
                  <c:v>2018</c:v>
                </c:pt>
                <c:pt idx="10">
                  <c:v>2019</c:v>
                </c:pt>
                <c:pt idx="11">
                  <c:v>2020</c:v>
                </c:pt>
                <c:pt idx="12">
                  <c:v>2021</c:v>
                </c:pt>
                <c:pt idx="13">
                  <c:v>2022</c:v>
                </c:pt>
              </c:numCache>
            </c:numRef>
          </c:cat>
          <c:val>
            <c:numRef>
              <c:f>List3!$C$13:$P$13</c:f>
              <c:numCache>
                <c:formatCode>0.0%</c:formatCode>
                <c:ptCount val="14"/>
                <c:pt idx="0">
                  <c:v>7.2743833431054936E-2</c:v>
                </c:pt>
                <c:pt idx="1">
                  <c:v>8.3043721336135953E-2</c:v>
                </c:pt>
                <c:pt idx="2">
                  <c:v>7.239886549879182E-2</c:v>
                </c:pt>
                <c:pt idx="3">
                  <c:v>7.9417547197102409E-2</c:v>
                </c:pt>
                <c:pt idx="4">
                  <c:v>7.2105516224731339E-2</c:v>
                </c:pt>
                <c:pt idx="5">
                  <c:v>8.0337987265295147E-2</c:v>
                </c:pt>
                <c:pt idx="6">
                  <c:v>9.272179307010657E-2</c:v>
                </c:pt>
                <c:pt idx="7">
                  <c:v>8.7196297028798581E-2</c:v>
                </c:pt>
                <c:pt idx="8">
                  <c:v>8.8650636538881528E-2</c:v>
                </c:pt>
                <c:pt idx="9">
                  <c:v>8.8587449725165829E-2</c:v>
                </c:pt>
                <c:pt idx="10">
                  <c:v>8.9279525903701015E-2</c:v>
                </c:pt>
                <c:pt idx="11">
                  <c:v>7.8415558649426925E-2</c:v>
                </c:pt>
                <c:pt idx="12">
                  <c:v>0.10439032292200805</c:v>
                </c:pt>
                <c:pt idx="13">
                  <c:v>0.13239089374987392</c:v>
                </c:pt>
              </c:numCache>
            </c:numRef>
          </c:val>
          <c:extLst>
            <c:ext xmlns:c16="http://schemas.microsoft.com/office/drawing/2014/chart" uri="{C3380CC4-5D6E-409C-BE32-E72D297353CC}">
              <c16:uniqueId val="{00000001-0EE5-477C-8655-7C67427F9834}"/>
            </c:ext>
          </c:extLst>
        </c:ser>
        <c:dLbls>
          <c:showLegendKey val="0"/>
          <c:showVal val="0"/>
          <c:showCatName val="0"/>
          <c:showSerName val="0"/>
          <c:showPercent val="0"/>
          <c:showBubbleSize val="0"/>
        </c:dLbls>
        <c:gapWidth val="150"/>
        <c:axId val="376685695"/>
        <c:axId val="601931071"/>
      </c:barChart>
      <c:lineChart>
        <c:grouping val="standard"/>
        <c:varyColors val="0"/>
        <c:ser>
          <c:idx val="2"/>
          <c:order val="2"/>
          <c:tx>
            <c:strRef>
              <c:f>List3!$A$6</c:f>
              <c:strCache>
                <c:ptCount val="1"/>
                <c:pt idx="0">
                  <c:v>Míra investic soukromé zahraniční</c:v>
                </c:pt>
              </c:strCache>
            </c:strRef>
          </c:tx>
          <c:spPr>
            <a:ln w="19050" cap="rnd">
              <a:solidFill>
                <a:schemeClr val="accent4"/>
              </a:solidFill>
              <a:prstDash val="solid"/>
              <a:round/>
            </a:ln>
            <a:effectLst/>
          </c:spPr>
          <c:marker>
            <c:symbol val="none"/>
          </c:marker>
          <c:cat>
            <c:numRef>
              <c:f>List3!$C$1:$P$1</c:f>
              <c:numCache>
                <c:formatCode>General</c:formatCode>
                <c:ptCount val="14"/>
                <c:pt idx="0">
                  <c:v>2009</c:v>
                </c:pt>
                <c:pt idx="1">
                  <c:v>2010</c:v>
                </c:pt>
                <c:pt idx="2">
                  <c:v>2011</c:v>
                </c:pt>
                <c:pt idx="3">
                  <c:v>2012</c:v>
                </c:pt>
                <c:pt idx="4">
                  <c:v>2013</c:v>
                </c:pt>
                <c:pt idx="5">
                  <c:v>2014</c:v>
                </c:pt>
                <c:pt idx="6">
                  <c:v>2015</c:v>
                </c:pt>
                <c:pt idx="7">
                  <c:v>2016</c:v>
                </c:pt>
                <c:pt idx="8">
                  <c:v>2017</c:v>
                </c:pt>
                <c:pt idx="9">
                  <c:v>2018</c:v>
                </c:pt>
                <c:pt idx="10">
                  <c:v>2019</c:v>
                </c:pt>
                <c:pt idx="11">
                  <c:v>2020</c:v>
                </c:pt>
                <c:pt idx="12">
                  <c:v>2021</c:v>
                </c:pt>
                <c:pt idx="13">
                  <c:v>2022</c:v>
                </c:pt>
              </c:numCache>
            </c:numRef>
          </c:cat>
          <c:val>
            <c:numRef>
              <c:f>List3!$C$6:$P$6</c:f>
              <c:numCache>
                <c:formatCode>0.0%</c:formatCode>
                <c:ptCount val="14"/>
                <c:pt idx="0">
                  <c:v>0.25570501325196604</c:v>
                </c:pt>
                <c:pt idx="1">
                  <c:v>0.21651251416944473</c:v>
                </c:pt>
                <c:pt idx="2">
                  <c:v>0.24087947905058046</c:v>
                </c:pt>
                <c:pt idx="3">
                  <c:v>0.25513409775850104</c:v>
                </c:pt>
                <c:pt idx="4">
                  <c:v>0.25100474210983909</c:v>
                </c:pt>
                <c:pt idx="5">
                  <c:v>0.23649012125958352</c:v>
                </c:pt>
                <c:pt idx="6">
                  <c:v>0.22605384312909391</c:v>
                </c:pt>
                <c:pt idx="7">
                  <c:v>0.22725272917538777</c:v>
                </c:pt>
                <c:pt idx="8">
                  <c:v>0.24337282002864052</c:v>
                </c:pt>
                <c:pt idx="9">
                  <c:v>0.29214156097118199</c:v>
                </c:pt>
                <c:pt idx="10">
                  <c:v>0.25519226249987287</c:v>
                </c:pt>
                <c:pt idx="11">
                  <c:v>0.24163058788097505</c:v>
                </c:pt>
                <c:pt idx="12">
                  <c:v>0.21957629026447165</c:v>
                </c:pt>
                <c:pt idx="13">
                  <c:v>0.25396185924997905</c:v>
                </c:pt>
              </c:numCache>
            </c:numRef>
          </c:val>
          <c:smooth val="0"/>
          <c:extLst>
            <c:ext xmlns:c16="http://schemas.microsoft.com/office/drawing/2014/chart" uri="{C3380CC4-5D6E-409C-BE32-E72D297353CC}">
              <c16:uniqueId val="{00000002-0EE5-477C-8655-7C67427F9834}"/>
            </c:ext>
          </c:extLst>
        </c:ser>
        <c:ser>
          <c:idx val="3"/>
          <c:order val="3"/>
          <c:tx>
            <c:strRef>
              <c:f>List3!$A$16</c:f>
              <c:strCache>
                <c:ptCount val="1"/>
                <c:pt idx="0">
                  <c:v>Míra investic soukromé domácí</c:v>
                </c:pt>
              </c:strCache>
            </c:strRef>
          </c:tx>
          <c:spPr>
            <a:ln w="19050" cap="rnd">
              <a:solidFill>
                <a:schemeClr val="tx2"/>
              </a:solidFill>
              <a:prstDash val="solid"/>
              <a:round/>
            </a:ln>
            <a:effectLst/>
          </c:spPr>
          <c:marker>
            <c:symbol val="none"/>
          </c:marker>
          <c:cat>
            <c:numRef>
              <c:f>List3!$C$1:$P$1</c:f>
              <c:numCache>
                <c:formatCode>General</c:formatCode>
                <c:ptCount val="14"/>
                <c:pt idx="0">
                  <c:v>2009</c:v>
                </c:pt>
                <c:pt idx="1">
                  <c:v>2010</c:v>
                </c:pt>
                <c:pt idx="2">
                  <c:v>2011</c:v>
                </c:pt>
                <c:pt idx="3">
                  <c:v>2012</c:v>
                </c:pt>
                <c:pt idx="4">
                  <c:v>2013</c:v>
                </c:pt>
                <c:pt idx="5">
                  <c:v>2014</c:v>
                </c:pt>
                <c:pt idx="6">
                  <c:v>2015</c:v>
                </c:pt>
                <c:pt idx="7">
                  <c:v>2016</c:v>
                </c:pt>
                <c:pt idx="8">
                  <c:v>2017</c:v>
                </c:pt>
                <c:pt idx="9">
                  <c:v>2018</c:v>
                </c:pt>
                <c:pt idx="10">
                  <c:v>2019</c:v>
                </c:pt>
                <c:pt idx="11">
                  <c:v>2020</c:v>
                </c:pt>
                <c:pt idx="12">
                  <c:v>2021</c:v>
                </c:pt>
                <c:pt idx="13">
                  <c:v>2022</c:v>
                </c:pt>
              </c:numCache>
            </c:numRef>
          </c:cat>
          <c:val>
            <c:numRef>
              <c:f>List3!$C$16:$P$16</c:f>
              <c:numCache>
                <c:formatCode>0.0%</c:formatCode>
                <c:ptCount val="14"/>
                <c:pt idx="0">
                  <c:v>0.39818207897074082</c:v>
                </c:pt>
                <c:pt idx="1">
                  <c:v>0.36107560508247333</c:v>
                </c:pt>
                <c:pt idx="2">
                  <c:v>0.34626598026053551</c:v>
                </c:pt>
                <c:pt idx="3">
                  <c:v>0.3294359140246757</c:v>
                </c:pt>
                <c:pt idx="4">
                  <c:v>0.32715333835372074</c:v>
                </c:pt>
                <c:pt idx="5">
                  <c:v>0.29996122053759622</c:v>
                </c:pt>
                <c:pt idx="6">
                  <c:v>0.30820310914473736</c:v>
                </c:pt>
                <c:pt idx="7">
                  <c:v>0.29200553119253619</c:v>
                </c:pt>
                <c:pt idx="8">
                  <c:v>0.31619103356122624</c:v>
                </c:pt>
                <c:pt idx="9">
                  <c:v>0.3549377841781714</c:v>
                </c:pt>
                <c:pt idx="10">
                  <c:v>0.34100012800261353</c:v>
                </c:pt>
                <c:pt idx="11">
                  <c:v>0.37589015666241354</c:v>
                </c:pt>
                <c:pt idx="12">
                  <c:v>0.43697377128481063</c:v>
                </c:pt>
                <c:pt idx="13">
                  <c:v>0.40562477263927338</c:v>
                </c:pt>
              </c:numCache>
            </c:numRef>
          </c:val>
          <c:smooth val="0"/>
          <c:extLst>
            <c:ext xmlns:c16="http://schemas.microsoft.com/office/drawing/2014/chart" uri="{C3380CC4-5D6E-409C-BE32-E72D297353CC}">
              <c16:uniqueId val="{00000003-0EE5-477C-8655-7C67427F9834}"/>
            </c:ext>
          </c:extLst>
        </c:ser>
        <c:dLbls>
          <c:showLegendKey val="0"/>
          <c:showVal val="0"/>
          <c:showCatName val="0"/>
          <c:showSerName val="0"/>
          <c:showPercent val="0"/>
          <c:showBubbleSize val="0"/>
        </c:dLbls>
        <c:marker val="1"/>
        <c:smooth val="0"/>
        <c:axId val="376685695"/>
        <c:axId val="601931071"/>
      </c:lineChart>
      <c:lineChart>
        <c:grouping val="standard"/>
        <c:varyColors val="0"/>
        <c:ser>
          <c:idx val="4"/>
          <c:order val="4"/>
          <c:tx>
            <c:strRef>
              <c:f>List3!$A$7</c:f>
              <c:strCache>
                <c:ptCount val="1"/>
                <c:pt idx="0">
                  <c:v>Mzdy soukromé zahraniční (pravá osa)</c:v>
                </c:pt>
              </c:strCache>
            </c:strRef>
          </c:tx>
          <c:spPr>
            <a:ln w="12700" cap="rnd">
              <a:solidFill>
                <a:schemeClr val="accent4"/>
              </a:solidFill>
              <a:prstDash val="dash"/>
              <a:round/>
            </a:ln>
            <a:effectLst/>
          </c:spPr>
          <c:marker>
            <c:symbol val="none"/>
          </c:marker>
          <c:cat>
            <c:numRef>
              <c:f>List3!$C$1:$P$1</c:f>
              <c:numCache>
                <c:formatCode>General</c:formatCode>
                <c:ptCount val="14"/>
                <c:pt idx="0">
                  <c:v>2009</c:v>
                </c:pt>
                <c:pt idx="1">
                  <c:v>2010</c:v>
                </c:pt>
                <c:pt idx="2">
                  <c:v>2011</c:v>
                </c:pt>
                <c:pt idx="3">
                  <c:v>2012</c:v>
                </c:pt>
                <c:pt idx="4">
                  <c:v>2013</c:v>
                </c:pt>
                <c:pt idx="5">
                  <c:v>2014</c:v>
                </c:pt>
                <c:pt idx="6">
                  <c:v>2015</c:v>
                </c:pt>
                <c:pt idx="7">
                  <c:v>2016</c:v>
                </c:pt>
                <c:pt idx="8">
                  <c:v>2017</c:v>
                </c:pt>
                <c:pt idx="9">
                  <c:v>2018</c:v>
                </c:pt>
                <c:pt idx="10">
                  <c:v>2019</c:v>
                </c:pt>
                <c:pt idx="11">
                  <c:v>2020</c:v>
                </c:pt>
                <c:pt idx="12">
                  <c:v>2021</c:v>
                </c:pt>
                <c:pt idx="13">
                  <c:v>2022</c:v>
                </c:pt>
              </c:numCache>
            </c:numRef>
          </c:cat>
          <c:val>
            <c:numRef>
              <c:f>List3!$C$7:$P$7</c:f>
              <c:numCache>
                <c:formatCode>0.0</c:formatCode>
                <c:ptCount val="14"/>
                <c:pt idx="0">
                  <c:v>25.980139103755093</c:v>
                </c:pt>
                <c:pt idx="1">
                  <c:v>26.398067120168466</c:v>
                </c:pt>
                <c:pt idx="2">
                  <c:v>27.075166813693087</c:v>
                </c:pt>
                <c:pt idx="3">
                  <c:v>28.751900191547517</c:v>
                </c:pt>
                <c:pt idx="4">
                  <c:v>29.086250280709702</c:v>
                </c:pt>
                <c:pt idx="5">
                  <c:v>29.725117215739701</c:v>
                </c:pt>
                <c:pt idx="6">
                  <c:v>30.311507966242516</c:v>
                </c:pt>
                <c:pt idx="7">
                  <c:v>31.483892830337975</c:v>
                </c:pt>
                <c:pt idx="8">
                  <c:v>33.435611109509452</c:v>
                </c:pt>
                <c:pt idx="9">
                  <c:v>35.977841034072327</c:v>
                </c:pt>
                <c:pt idx="10">
                  <c:v>38.482895934009541</c:v>
                </c:pt>
                <c:pt idx="11">
                  <c:v>39.89193458159891</c:v>
                </c:pt>
                <c:pt idx="12">
                  <c:v>41.763061849968636</c:v>
                </c:pt>
                <c:pt idx="13">
                  <c:v>45.135332676236118</c:v>
                </c:pt>
              </c:numCache>
            </c:numRef>
          </c:val>
          <c:smooth val="0"/>
          <c:extLst>
            <c:ext xmlns:c16="http://schemas.microsoft.com/office/drawing/2014/chart" uri="{C3380CC4-5D6E-409C-BE32-E72D297353CC}">
              <c16:uniqueId val="{00000004-0EE5-477C-8655-7C67427F9834}"/>
            </c:ext>
          </c:extLst>
        </c:ser>
        <c:ser>
          <c:idx val="5"/>
          <c:order val="5"/>
          <c:tx>
            <c:strRef>
              <c:f>List3!$A$17</c:f>
              <c:strCache>
                <c:ptCount val="1"/>
                <c:pt idx="0">
                  <c:v>Mzdy soukromé domácí (pravá osa)</c:v>
                </c:pt>
              </c:strCache>
            </c:strRef>
          </c:tx>
          <c:spPr>
            <a:ln w="12700" cap="rnd">
              <a:solidFill>
                <a:schemeClr val="tx2"/>
              </a:solidFill>
              <a:prstDash val="dash"/>
              <a:round/>
            </a:ln>
            <a:effectLst/>
          </c:spPr>
          <c:marker>
            <c:symbol val="none"/>
          </c:marker>
          <c:cat>
            <c:numRef>
              <c:f>List3!$C$1:$P$1</c:f>
              <c:numCache>
                <c:formatCode>General</c:formatCode>
                <c:ptCount val="14"/>
                <c:pt idx="0">
                  <c:v>2009</c:v>
                </c:pt>
                <c:pt idx="1">
                  <c:v>2010</c:v>
                </c:pt>
                <c:pt idx="2">
                  <c:v>2011</c:v>
                </c:pt>
                <c:pt idx="3">
                  <c:v>2012</c:v>
                </c:pt>
                <c:pt idx="4">
                  <c:v>2013</c:v>
                </c:pt>
                <c:pt idx="5">
                  <c:v>2014</c:v>
                </c:pt>
                <c:pt idx="6">
                  <c:v>2015</c:v>
                </c:pt>
                <c:pt idx="7">
                  <c:v>2016</c:v>
                </c:pt>
                <c:pt idx="8">
                  <c:v>2017</c:v>
                </c:pt>
                <c:pt idx="9">
                  <c:v>2018</c:v>
                </c:pt>
                <c:pt idx="10">
                  <c:v>2019</c:v>
                </c:pt>
                <c:pt idx="11">
                  <c:v>2020</c:v>
                </c:pt>
                <c:pt idx="12">
                  <c:v>2021</c:v>
                </c:pt>
                <c:pt idx="13">
                  <c:v>2022</c:v>
                </c:pt>
              </c:numCache>
            </c:numRef>
          </c:cat>
          <c:val>
            <c:numRef>
              <c:f>List3!$C$17:$P$17</c:f>
              <c:numCache>
                <c:formatCode>0.0</c:formatCode>
                <c:ptCount val="14"/>
                <c:pt idx="0">
                  <c:v>19.33879013520551</c:v>
                </c:pt>
                <c:pt idx="1">
                  <c:v>19.582994869193158</c:v>
                </c:pt>
                <c:pt idx="2">
                  <c:v>19.677949903762638</c:v>
                </c:pt>
                <c:pt idx="3">
                  <c:v>20.096321995396902</c:v>
                </c:pt>
                <c:pt idx="4">
                  <c:v>19.420520969557042</c:v>
                </c:pt>
                <c:pt idx="5">
                  <c:v>19.877941042205634</c:v>
                </c:pt>
                <c:pt idx="6">
                  <c:v>20.489829309687817</c:v>
                </c:pt>
                <c:pt idx="7">
                  <c:v>21.128503482481339</c:v>
                </c:pt>
                <c:pt idx="8">
                  <c:v>22.416014105858377</c:v>
                </c:pt>
                <c:pt idx="9">
                  <c:v>24.039142850658067</c:v>
                </c:pt>
                <c:pt idx="10">
                  <c:v>25.525183927760803</c:v>
                </c:pt>
                <c:pt idx="11">
                  <c:v>25.668726443824287</c:v>
                </c:pt>
                <c:pt idx="12">
                  <c:v>26.968726093845969</c:v>
                </c:pt>
                <c:pt idx="13">
                  <c:v>28.924789022951341</c:v>
                </c:pt>
              </c:numCache>
            </c:numRef>
          </c:val>
          <c:smooth val="0"/>
          <c:extLst>
            <c:ext xmlns:c16="http://schemas.microsoft.com/office/drawing/2014/chart" uri="{C3380CC4-5D6E-409C-BE32-E72D297353CC}">
              <c16:uniqueId val="{00000005-0EE5-477C-8655-7C67427F9834}"/>
            </c:ext>
          </c:extLst>
        </c:ser>
        <c:dLbls>
          <c:showLegendKey val="0"/>
          <c:showVal val="0"/>
          <c:showCatName val="0"/>
          <c:showSerName val="0"/>
          <c:showPercent val="0"/>
          <c:showBubbleSize val="0"/>
        </c:dLbls>
        <c:marker val="1"/>
        <c:smooth val="0"/>
        <c:axId val="1928943776"/>
        <c:axId val="1928959584"/>
      </c:lineChart>
      <c:catAx>
        <c:axId val="376685695"/>
        <c:scaling>
          <c:orientation val="minMax"/>
        </c:scaling>
        <c:delete val="0"/>
        <c:axPos val="b"/>
        <c:numFmt formatCode="General" sourceLinked="1"/>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cs-CZ"/>
          </a:p>
        </c:txPr>
        <c:crossAx val="601931071"/>
        <c:crosses val="autoZero"/>
        <c:auto val="1"/>
        <c:lblAlgn val="ctr"/>
        <c:lblOffset val="100"/>
        <c:noMultiLvlLbl val="0"/>
      </c:catAx>
      <c:valAx>
        <c:axId val="601931071"/>
        <c:scaling>
          <c:orientation val="minMax"/>
          <c:min val="0"/>
        </c:scaling>
        <c:delete val="0"/>
        <c:axPos val="l"/>
        <c:majorGridlines>
          <c:spPr>
            <a:ln w="6350" cap="flat" cmpd="sng" algn="ctr">
              <a:solidFill>
                <a:schemeClr val="tx1"/>
              </a:solidFill>
              <a:prstDash val="dash"/>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cs-CZ"/>
          </a:p>
        </c:txPr>
        <c:crossAx val="376685695"/>
        <c:crosses val="autoZero"/>
        <c:crossBetween val="between"/>
        <c:majorUnit val="0.1"/>
      </c:valAx>
      <c:valAx>
        <c:axId val="1928959584"/>
        <c:scaling>
          <c:orientation val="minMax"/>
          <c:min val="0"/>
        </c:scaling>
        <c:delete val="0"/>
        <c:axPos val="r"/>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cs-CZ"/>
          </a:p>
        </c:txPr>
        <c:crossAx val="1928943776"/>
        <c:crosses val="max"/>
        <c:crossBetween val="between"/>
        <c:majorUnit val="10"/>
      </c:valAx>
      <c:catAx>
        <c:axId val="1928943776"/>
        <c:scaling>
          <c:orientation val="minMax"/>
        </c:scaling>
        <c:delete val="1"/>
        <c:axPos val="b"/>
        <c:numFmt formatCode="General" sourceLinked="1"/>
        <c:majorTickMark val="out"/>
        <c:minorTickMark val="none"/>
        <c:tickLblPos val="nextTo"/>
        <c:crossAx val="1928959584"/>
        <c:crosses val="autoZero"/>
        <c:auto val="1"/>
        <c:lblAlgn val="ctr"/>
        <c:lblOffset val="100"/>
        <c:noMultiLvlLbl val="0"/>
      </c:catAx>
      <c:spPr>
        <a:noFill/>
        <a:ln>
          <a:noFill/>
        </a:ln>
        <a:effectLst/>
      </c:spPr>
    </c:plotArea>
    <c:legend>
      <c:legendPos val="r"/>
      <c:layout>
        <c:manualLayout>
          <c:xMode val="edge"/>
          <c:yMode val="edge"/>
          <c:x val="7.8511356690625343E-4"/>
          <c:y val="0.70541770272137039"/>
          <c:w val="0.9841088045812455"/>
          <c:h val="0.29458229727862967"/>
        </c:manualLayout>
      </c:layout>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mn-lt"/>
              <a:ea typeface="+mn-ea"/>
              <a:cs typeface="+mn-cs"/>
            </a:defRPr>
          </a:pPr>
          <a:endParaRPr lang="cs-CZ"/>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solidFill>
            <a:sysClr val="windowText" lastClr="000000"/>
          </a:solidFill>
        </a:defRPr>
      </a:pPr>
      <a:endParaRPr lang="cs-CZ"/>
    </a:p>
  </c:txPr>
  <c:externalData r:id="rId3">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4500307940901839E-2"/>
          <c:y val="6.3091482649842268E-2"/>
          <c:w val="0.86924233293378272"/>
          <c:h val="0.38953909797696279"/>
        </c:manualLayout>
      </c:layout>
      <c:barChart>
        <c:barDir val="col"/>
        <c:grouping val="clustered"/>
        <c:varyColors val="0"/>
        <c:ser>
          <c:idx val="1"/>
          <c:order val="1"/>
          <c:tx>
            <c:strRef>
              <c:f>HPH_all!$M$4</c:f>
              <c:strCache>
                <c:ptCount val="1"/>
                <c:pt idx="0">
                  <c:v>2022</c:v>
                </c:pt>
              </c:strCache>
            </c:strRef>
          </c:tx>
          <c:spPr>
            <a:solidFill>
              <a:schemeClr val="accent2"/>
            </a:solidFill>
            <a:ln>
              <a:noFill/>
            </a:ln>
            <a:effectLst/>
          </c:spPr>
          <c:invertIfNegative val="0"/>
          <c:cat>
            <c:strRef>
              <c:f>HPH_all!$B$28:$B$48</c:f>
              <c:strCache>
                <c:ptCount val="21"/>
                <c:pt idx="0">
                  <c:v>C Zpracovatelský průmysl</c:v>
                </c:pt>
                <c:pt idx="1">
                  <c:v>G Velkoobchod a maloobchod; opravy a údržba motorových vozidel</c:v>
                </c:pt>
                <c:pt idx="2">
                  <c:v>L Činnosti v oblasti nemovitostí</c:v>
                </c:pt>
                <c:pt idx="3">
                  <c:v>J Informační a komunikační činnosti</c:v>
                </c:pt>
                <c:pt idx="4">
                  <c:v>O Veřejná správa a obrana; povinné sociální zabezpečení</c:v>
                </c:pt>
                <c:pt idx="5">
                  <c:v>F Stavebnictví</c:v>
                </c:pt>
                <c:pt idx="6">
                  <c:v>H Doprava a skladování</c:v>
                </c:pt>
                <c:pt idx="7">
                  <c:v>Q Zdravotní a sociální péče</c:v>
                </c:pt>
                <c:pt idx="8">
                  <c:v>M Profesní, vědecké a technické činnosti</c:v>
                </c:pt>
                <c:pt idx="9">
                  <c:v>P Vzdělávání</c:v>
                </c:pt>
                <c:pt idx="10">
                  <c:v>K Peněžnictví a pojišťovnictví</c:v>
                </c:pt>
                <c:pt idx="11">
                  <c:v>D Výroba a rozvod elektřiny, plynu, tepla a klimatizovaného vzduchu</c:v>
                </c:pt>
                <c:pt idx="12">
                  <c:v>A Zemědělství, lesnictví a rybářství</c:v>
                </c:pt>
                <c:pt idx="13">
                  <c:v>N Administrativní a podpůrné činnosti</c:v>
                </c:pt>
                <c:pt idx="14">
                  <c:v>I Ubytování, stravování a pohostinství</c:v>
                </c:pt>
                <c:pt idx="15">
                  <c:v>E Zásobování vodou; činnosti související s odpadními vodami, odpady a sanacemi</c:v>
                </c:pt>
                <c:pt idx="16">
                  <c:v>S Ostatní činnosti</c:v>
                </c:pt>
                <c:pt idx="17">
                  <c:v>R Kulturní, zábavní a rekreační činnosti</c:v>
                </c:pt>
                <c:pt idx="18">
                  <c:v>B Těžba a dobývání</c:v>
                </c:pt>
                <c:pt idx="19">
                  <c:v>T Činnosti domácností jako zaměstnavatelů a producentů pro vlastní potřebu</c:v>
                </c:pt>
                <c:pt idx="20">
                  <c:v>U Činnosti exteritoriálních organizací a orgánů</c:v>
                </c:pt>
              </c:strCache>
            </c:strRef>
          </c:cat>
          <c:val>
            <c:numRef>
              <c:f>HPH_all!$M$28:$M$48</c:f>
              <c:numCache>
                <c:formatCode>0.0</c:formatCode>
                <c:ptCount val="21"/>
                <c:pt idx="0">
                  <c:v>23.145907720772389</c:v>
                </c:pt>
                <c:pt idx="1">
                  <c:v>12.771631096899705</c:v>
                </c:pt>
                <c:pt idx="2">
                  <c:v>9.3479878856076688</c:v>
                </c:pt>
                <c:pt idx="3">
                  <c:v>7.2665882804415869</c:v>
                </c:pt>
                <c:pt idx="4">
                  <c:v>5.7642632574886763</c:v>
                </c:pt>
                <c:pt idx="5">
                  <c:v>5.627707456369162</c:v>
                </c:pt>
                <c:pt idx="6">
                  <c:v>5.5659364681649519</c:v>
                </c:pt>
                <c:pt idx="7">
                  <c:v>5.2474145787005764</c:v>
                </c:pt>
                <c:pt idx="8">
                  <c:v>5.1980887711813804</c:v>
                </c:pt>
                <c:pt idx="9">
                  <c:v>5.037584933077909</c:v>
                </c:pt>
                <c:pt idx="10">
                  <c:v>3.6667304089541615</c:v>
                </c:pt>
                <c:pt idx="11">
                  <c:v>2.2843730285314701</c:v>
                </c:pt>
                <c:pt idx="12">
                  <c:v>2.0968504757032216</c:v>
                </c:pt>
                <c:pt idx="13">
                  <c:v>1.9004733230403348</c:v>
                </c:pt>
                <c:pt idx="14">
                  <c:v>1.5392218967592652</c:v>
                </c:pt>
                <c:pt idx="15">
                  <c:v>1.0199036782007713</c:v>
                </c:pt>
                <c:pt idx="16">
                  <c:v>0.92476140915188698</c:v>
                </c:pt>
                <c:pt idx="17">
                  <c:v>0.92326668771191123</c:v>
                </c:pt>
                <c:pt idx="18">
                  <c:v>0.5728194979263177</c:v>
                </c:pt>
                <c:pt idx="19">
                  <c:v>9.8489145316655924E-2</c:v>
                </c:pt>
                <c:pt idx="20">
                  <c:v>0</c:v>
                </c:pt>
              </c:numCache>
            </c:numRef>
          </c:val>
          <c:extLst>
            <c:ext xmlns:c16="http://schemas.microsoft.com/office/drawing/2014/chart" uri="{C3380CC4-5D6E-409C-BE32-E72D297353CC}">
              <c16:uniqueId val="{00000000-0E9E-4A64-B06B-45D4499B547F}"/>
            </c:ext>
          </c:extLst>
        </c:ser>
        <c:dLbls>
          <c:showLegendKey val="0"/>
          <c:showVal val="0"/>
          <c:showCatName val="0"/>
          <c:showSerName val="0"/>
          <c:showPercent val="0"/>
          <c:showBubbleSize val="0"/>
        </c:dLbls>
        <c:gapWidth val="219"/>
        <c:axId val="576030032"/>
        <c:axId val="576037520"/>
      </c:barChart>
      <c:lineChart>
        <c:grouping val="standard"/>
        <c:varyColors val="0"/>
        <c:ser>
          <c:idx val="0"/>
          <c:order val="0"/>
          <c:tx>
            <c:strRef>
              <c:f>HPH_all!$C$4</c:f>
              <c:strCache>
                <c:ptCount val="1"/>
                <c:pt idx="0">
                  <c:v>2012</c:v>
                </c:pt>
              </c:strCache>
            </c:strRef>
          </c:tx>
          <c:spPr>
            <a:ln w="28575" cap="rnd">
              <a:noFill/>
              <a:round/>
            </a:ln>
            <a:effectLst/>
          </c:spPr>
          <c:marker>
            <c:symbol val="diamond"/>
            <c:size val="5"/>
            <c:spPr>
              <a:solidFill>
                <a:schemeClr val="accent1"/>
              </a:solidFill>
              <a:ln w="9525">
                <a:noFill/>
              </a:ln>
              <a:effectLst/>
            </c:spPr>
          </c:marker>
          <c:cat>
            <c:strRef>
              <c:f>HPH_all!$B$28:$B$48</c:f>
              <c:strCache>
                <c:ptCount val="21"/>
                <c:pt idx="0">
                  <c:v>C Zpracovatelský průmysl</c:v>
                </c:pt>
                <c:pt idx="1">
                  <c:v>G Velkoobchod a maloobchod; opravy a údržba motorových vozidel</c:v>
                </c:pt>
                <c:pt idx="2">
                  <c:v>L Činnosti v oblasti nemovitostí</c:v>
                </c:pt>
                <c:pt idx="3">
                  <c:v>J Informační a komunikační činnosti</c:v>
                </c:pt>
                <c:pt idx="4">
                  <c:v>O Veřejná správa a obrana; povinné sociální zabezpečení</c:v>
                </c:pt>
                <c:pt idx="5">
                  <c:v>F Stavebnictví</c:v>
                </c:pt>
                <c:pt idx="6">
                  <c:v>H Doprava a skladování</c:v>
                </c:pt>
                <c:pt idx="7">
                  <c:v>Q Zdravotní a sociální péče</c:v>
                </c:pt>
                <c:pt idx="8">
                  <c:v>M Profesní, vědecké a technické činnosti</c:v>
                </c:pt>
                <c:pt idx="9">
                  <c:v>P Vzdělávání</c:v>
                </c:pt>
                <c:pt idx="10">
                  <c:v>K Peněžnictví a pojišťovnictví</c:v>
                </c:pt>
                <c:pt idx="11">
                  <c:v>D Výroba a rozvod elektřiny, plynu, tepla a klimatizovaného vzduchu</c:v>
                </c:pt>
                <c:pt idx="12">
                  <c:v>A Zemědělství, lesnictví a rybářství</c:v>
                </c:pt>
                <c:pt idx="13">
                  <c:v>N Administrativní a podpůrné činnosti</c:v>
                </c:pt>
                <c:pt idx="14">
                  <c:v>I Ubytování, stravování a pohostinství</c:v>
                </c:pt>
                <c:pt idx="15">
                  <c:v>E Zásobování vodou; činnosti související s odpadními vodami, odpady a sanacemi</c:v>
                </c:pt>
                <c:pt idx="16">
                  <c:v>S Ostatní činnosti</c:v>
                </c:pt>
                <c:pt idx="17">
                  <c:v>R Kulturní, zábavní a rekreační činnosti</c:v>
                </c:pt>
                <c:pt idx="18">
                  <c:v>B Těžba a dobývání</c:v>
                </c:pt>
                <c:pt idx="19">
                  <c:v>T Činnosti domácností jako zaměstnavatelů a producentů pro vlastní potřebu</c:v>
                </c:pt>
                <c:pt idx="20">
                  <c:v>U Činnosti exteritoriálních organizací a orgánů</c:v>
                </c:pt>
              </c:strCache>
            </c:strRef>
          </c:cat>
          <c:val>
            <c:numRef>
              <c:f>HPH_all!$C$28:$C$48</c:f>
              <c:numCache>
                <c:formatCode>0.0</c:formatCode>
                <c:ptCount val="21"/>
                <c:pt idx="0">
                  <c:v>24.398642342975361</c:v>
                </c:pt>
                <c:pt idx="1">
                  <c:v>10.58533595539593</c:v>
                </c:pt>
                <c:pt idx="2">
                  <c:v>9.0110107050636401</c:v>
                </c:pt>
                <c:pt idx="3">
                  <c:v>5.1529131652051712</c:v>
                </c:pt>
                <c:pt idx="4">
                  <c:v>6.1173423771288853</c:v>
                </c:pt>
                <c:pt idx="5">
                  <c:v>5.9017346510358086</c:v>
                </c:pt>
                <c:pt idx="6">
                  <c:v>5.8046309570165917</c:v>
                </c:pt>
                <c:pt idx="7">
                  <c:v>4.3616445031314646</c:v>
                </c:pt>
                <c:pt idx="8">
                  <c:v>5.1026617996079962</c:v>
                </c:pt>
                <c:pt idx="9">
                  <c:v>4.306036254946279</c:v>
                </c:pt>
                <c:pt idx="10">
                  <c:v>4.474655691130307</c:v>
                </c:pt>
                <c:pt idx="11">
                  <c:v>3.9942493729456219</c:v>
                </c:pt>
                <c:pt idx="12">
                  <c:v>2.503023783470999</c:v>
                </c:pt>
                <c:pt idx="13">
                  <c:v>1.7817752872050452</c:v>
                </c:pt>
                <c:pt idx="14">
                  <c:v>1.9640452566844107</c:v>
                </c:pt>
                <c:pt idx="15">
                  <c:v>1.1419949139526941</c:v>
                </c:pt>
                <c:pt idx="16">
                  <c:v>1.1465088353212716</c:v>
                </c:pt>
                <c:pt idx="17">
                  <c:v>1.0051088888357129</c:v>
                </c:pt>
                <c:pt idx="18">
                  <c:v>1.168697750000544</c:v>
                </c:pt>
                <c:pt idx="19">
                  <c:v>7.7987508946265854E-2</c:v>
                </c:pt>
                <c:pt idx="20">
                  <c:v>0</c:v>
                </c:pt>
              </c:numCache>
            </c:numRef>
          </c:val>
          <c:smooth val="0"/>
          <c:extLst>
            <c:ext xmlns:c16="http://schemas.microsoft.com/office/drawing/2014/chart" uri="{C3380CC4-5D6E-409C-BE32-E72D297353CC}">
              <c16:uniqueId val="{00000001-0E9E-4A64-B06B-45D4499B547F}"/>
            </c:ext>
          </c:extLst>
        </c:ser>
        <c:dLbls>
          <c:showLegendKey val="0"/>
          <c:showVal val="0"/>
          <c:showCatName val="0"/>
          <c:showSerName val="0"/>
          <c:showPercent val="0"/>
          <c:showBubbleSize val="0"/>
        </c:dLbls>
        <c:marker val="1"/>
        <c:smooth val="0"/>
        <c:axId val="576030032"/>
        <c:axId val="576037520"/>
      </c:lineChart>
      <c:catAx>
        <c:axId val="576030032"/>
        <c:scaling>
          <c:orientation val="minMax"/>
        </c:scaling>
        <c:delete val="0"/>
        <c:axPos val="b"/>
        <c:numFmt formatCode="General" sourceLinked="1"/>
        <c:majorTickMark val="none"/>
        <c:minorTickMark val="none"/>
        <c:tickLblPos val="nextTo"/>
        <c:spPr>
          <a:noFill/>
          <a:ln w="6350" cap="flat" cmpd="sng" algn="ctr">
            <a:solidFill>
              <a:schemeClr val="tx1"/>
            </a:solidFill>
            <a:round/>
          </a:ln>
          <a:effectLst/>
        </c:spPr>
        <c:txPr>
          <a:bodyPr rot="-60000000" spcFirstLastPara="1" vertOverflow="ellipsis" vert="horz" wrap="square" anchor="ctr" anchorCtr="1"/>
          <a:lstStyle/>
          <a:p>
            <a:pPr>
              <a:defRPr sz="600" b="0" i="0" u="none" strike="noStrike" kern="1200" baseline="0">
                <a:solidFill>
                  <a:schemeClr val="tx1"/>
                </a:solidFill>
                <a:latin typeface="+mn-lt"/>
                <a:ea typeface="+mn-ea"/>
                <a:cs typeface="+mn-cs"/>
              </a:defRPr>
            </a:pPr>
            <a:endParaRPr lang="cs-CZ"/>
          </a:p>
        </c:txPr>
        <c:crossAx val="576037520"/>
        <c:crosses val="autoZero"/>
        <c:auto val="1"/>
        <c:lblAlgn val="ctr"/>
        <c:lblOffset val="100"/>
        <c:tickLblSkip val="1"/>
        <c:noMultiLvlLbl val="0"/>
      </c:catAx>
      <c:valAx>
        <c:axId val="576037520"/>
        <c:scaling>
          <c:orientation val="minMax"/>
        </c:scaling>
        <c:delete val="0"/>
        <c:axPos val="l"/>
        <c:majorGridlines>
          <c:spPr>
            <a:ln w="6350" cap="flat" cmpd="sng" algn="ctr">
              <a:solidFill>
                <a:schemeClr val="tx1"/>
              </a:solidFill>
              <a:prstDash val="dash"/>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00" b="0" i="0" u="none" strike="noStrike" kern="1200" baseline="0">
                <a:solidFill>
                  <a:schemeClr val="tx1"/>
                </a:solidFill>
                <a:latin typeface="+mn-lt"/>
                <a:ea typeface="+mn-ea"/>
                <a:cs typeface="+mn-cs"/>
              </a:defRPr>
            </a:pPr>
            <a:endParaRPr lang="cs-CZ"/>
          </a:p>
        </c:txPr>
        <c:crossAx val="576030032"/>
        <c:crosses val="autoZero"/>
        <c:crossBetween val="between"/>
      </c:valAx>
      <c:spPr>
        <a:noFill/>
        <a:ln>
          <a:noFill/>
        </a:ln>
        <a:effectLst/>
      </c:spPr>
    </c:plotArea>
    <c:legend>
      <c:legendPos val="b"/>
      <c:layout>
        <c:manualLayout>
          <c:xMode val="edge"/>
          <c:yMode val="edge"/>
          <c:x val="0.54512791136599936"/>
          <c:y val="0.18864669447147894"/>
          <c:w val="0.22092971662814645"/>
          <c:h val="8.2933460389432972E-2"/>
        </c:manualLayout>
      </c:layout>
      <c:overlay val="0"/>
      <c:spPr>
        <a:noFill/>
        <a:ln>
          <a:noFill/>
        </a:ln>
        <a:effectLst/>
      </c:spPr>
      <c:txPr>
        <a:bodyPr rot="0" spcFirstLastPara="1" vertOverflow="ellipsis" vert="horz" wrap="square" anchor="ctr" anchorCtr="1"/>
        <a:lstStyle/>
        <a:p>
          <a:pPr>
            <a:defRPr sz="700" b="0" i="0" u="none" strike="noStrike" kern="1200" baseline="0">
              <a:solidFill>
                <a:schemeClr val="tx1"/>
              </a:solidFill>
              <a:latin typeface="+mn-lt"/>
              <a:ea typeface="+mn-ea"/>
              <a:cs typeface="+mn-cs"/>
            </a:defRPr>
          </a:pPr>
          <a:endParaRPr lang="cs-CZ"/>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sz="700">
          <a:solidFill>
            <a:schemeClr val="tx1"/>
          </a:solidFill>
        </a:defRPr>
      </a:pPr>
      <a:endParaRPr lang="cs-CZ"/>
    </a:p>
  </c:txPr>
  <c:externalData r:id="rId4">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Rate_total!$R$49</c:f>
              <c:strCache>
                <c:ptCount val="1"/>
                <c:pt idx="0">
                  <c:v>EU celkem</c:v>
                </c:pt>
              </c:strCache>
            </c:strRef>
          </c:tx>
          <c:spPr>
            <a:solidFill>
              <a:schemeClr val="tx1"/>
            </a:solidFill>
            <a:ln>
              <a:noFill/>
            </a:ln>
            <a:effectLst/>
          </c:spPr>
          <c:invertIfNegative val="0"/>
          <c:cat>
            <c:strRef>
              <c:f>Rate_total!$Q$50:$Q$52</c:f>
              <c:strCache>
                <c:ptCount val="3"/>
                <c:pt idx="0">
                  <c:v>Podnikové</c:v>
                </c:pt>
                <c:pt idx="1">
                  <c:v>Státní</c:v>
                </c:pt>
                <c:pt idx="2">
                  <c:v>Domácnosti</c:v>
                </c:pt>
              </c:strCache>
            </c:strRef>
          </c:cat>
          <c:val>
            <c:numRef>
              <c:f>Rate_total!$R$50:$R$52</c:f>
              <c:numCache>
                <c:formatCode>General</c:formatCode>
                <c:ptCount val="3"/>
                <c:pt idx="0">
                  <c:v>13.634</c:v>
                </c:pt>
                <c:pt idx="1">
                  <c:v>3.214</c:v>
                </c:pt>
                <c:pt idx="2">
                  <c:v>5.556</c:v>
                </c:pt>
              </c:numCache>
            </c:numRef>
          </c:val>
          <c:extLst>
            <c:ext xmlns:c16="http://schemas.microsoft.com/office/drawing/2014/chart" uri="{C3380CC4-5D6E-409C-BE32-E72D297353CC}">
              <c16:uniqueId val="{00000000-3234-40EB-8126-5CC18F206BB9}"/>
            </c:ext>
          </c:extLst>
        </c:ser>
        <c:ser>
          <c:idx val="1"/>
          <c:order val="1"/>
          <c:tx>
            <c:strRef>
              <c:f>Rate_total!$S$49</c:f>
              <c:strCache>
                <c:ptCount val="1"/>
                <c:pt idx="0">
                  <c:v>ČR</c:v>
                </c:pt>
              </c:strCache>
            </c:strRef>
          </c:tx>
          <c:spPr>
            <a:solidFill>
              <a:schemeClr val="accent1"/>
            </a:solidFill>
            <a:ln>
              <a:noFill/>
            </a:ln>
            <a:effectLst/>
          </c:spPr>
          <c:invertIfNegative val="0"/>
          <c:cat>
            <c:strRef>
              <c:f>Rate_total!$Q$50:$Q$52</c:f>
              <c:strCache>
                <c:ptCount val="3"/>
                <c:pt idx="0">
                  <c:v>Podnikové</c:v>
                </c:pt>
                <c:pt idx="1">
                  <c:v>Státní</c:v>
                </c:pt>
                <c:pt idx="2">
                  <c:v>Domácnosti</c:v>
                </c:pt>
              </c:strCache>
            </c:strRef>
          </c:cat>
          <c:val>
            <c:numRef>
              <c:f>Rate_total!$S$50:$S$52</c:f>
              <c:numCache>
                <c:formatCode>General</c:formatCode>
                <c:ptCount val="3"/>
                <c:pt idx="0">
                  <c:v>17.004000000000001</c:v>
                </c:pt>
                <c:pt idx="1">
                  <c:v>4.5440000000000005</c:v>
                </c:pt>
                <c:pt idx="2">
                  <c:v>4.9939999999999998</c:v>
                </c:pt>
              </c:numCache>
            </c:numRef>
          </c:val>
          <c:extLst>
            <c:ext xmlns:c16="http://schemas.microsoft.com/office/drawing/2014/chart" uri="{C3380CC4-5D6E-409C-BE32-E72D297353CC}">
              <c16:uniqueId val="{00000001-3234-40EB-8126-5CC18F206BB9}"/>
            </c:ext>
          </c:extLst>
        </c:ser>
        <c:ser>
          <c:idx val="2"/>
          <c:order val="2"/>
          <c:tx>
            <c:strRef>
              <c:f>Rate_total!$T$49</c:f>
              <c:strCache>
                <c:ptCount val="1"/>
                <c:pt idx="0">
                  <c:v>Slovinsko</c:v>
                </c:pt>
              </c:strCache>
            </c:strRef>
          </c:tx>
          <c:spPr>
            <a:solidFill>
              <a:schemeClr val="tx2"/>
            </a:solidFill>
            <a:ln>
              <a:noFill/>
            </a:ln>
            <a:effectLst/>
          </c:spPr>
          <c:invertIfNegative val="0"/>
          <c:cat>
            <c:strRef>
              <c:f>Rate_total!$Q$50:$Q$52</c:f>
              <c:strCache>
                <c:ptCount val="3"/>
                <c:pt idx="0">
                  <c:v>Podnikové</c:v>
                </c:pt>
                <c:pt idx="1">
                  <c:v>Státní</c:v>
                </c:pt>
                <c:pt idx="2">
                  <c:v>Domácnosti</c:v>
                </c:pt>
              </c:strCache>
            </c:strRef>
          </c:cat>
          <c:val>
            <c:numRef>
              <c:f>Rate_total!$T$50:$T$52</c:f>
              <c:numCache>
                <c:formatCode>General</c:formatCode>
                <c:ptCount val="3"/>
                <c:pt idx="0">
                  <c:v>11.69</c:v>
                </c:pt>
                <c:pt idx="1">
                  <c:v>4.3340000000000005</c:v>
                </c:pt>
                <c:pt idx="2">
                  <c:v>3.9099999999999993</c:v>
                </c:pt>
              </c:numCache>
            </c:numRef>
          </c:val>
          <c:extLst>
            <c:ext xmlns:c16="http://schemas.microsoft.com/office/drawing/2014/chart" uri="{C3380CC4-5D6E-409C-BE32-E72D297353CC}">
              <c16:uniqueId val="{00000002-3234-40EB-8126-5CC18F206BB9}"/>
            </c:ext>
          </c:extLst>
        </c:ser>
        <c:ser>
          <c:idx val="3"/>
          <c:order val="3"/>
          <c:tx>
            <c:strRef>
              <c:f>Rate_total!$U$49</c:f>
              <c:strCache>
                <c:ptCount val="1"/>
                <c:pt idx="0">
                  <c:v>Maďarsko</c:v>
                </c:pt>
              </c:strCache>
            </c:strRef>
          </c:tx>
          <c:spPr>
            <a:solidFill>
              <a:schemeClr val="accent6"/>
            </a:solidFill>
            <a:ln>
              <a:noFill/>
            </a:ln>
            <a:effectLst/>
          </c:spPr>
          <c:invertIfNegative val="0"/>
          <c:cat>
            <c:strRef>
              <c:f>Rate_total!$Q$50:$Q$52</c:f>
              <c:strCache>
                <c:ptCount val="3"/>
                <c:pt idx="0">
                  <c:v>Podnikové</c:v>
                </c:pt>
                <c:pt idx="1">
                  <c:v>Státní</c:v>
                </c:pt>
                <c:pt idx="2">
                  <c:v>Domácnosti</c:v>
                </c:pt>
              </c:strCache>
            </c:strRef>
          </c:cat>
          <c:val>
            <c:numRef>
              <c:f>Rate_total!$U$50:$U$52</c:f>
              <c:numCache>
                <c:formatCode>General</c:formatCode>
                <c:ptCount val="3"/>
                <c:pt idx="0">
                  <c:v>15.763999999999999</c:v>
                </c:pt>
                <c:pt idx="1">
                  <c:v>6.0439999999999996</c:v>
                </c:pt>
                <c:pt idx="2">
                  <c:v>4.8659999999999997</c:v>
                </c:pt>
              </c:numCache>
            </c:numRef>
          </c:val>
          <c:extLst>
            <c:ext xmlns:c16="http://schemas.microsoft.com/office/drawing/2014/chart" uri="{C3380CC4-5D6E-409C-BE32-E72D297353CC}">
              <c16:uniqueId val="{00000003-3234-40EB-8126-5CC18F206BB9}"/>
            </c:ext>
          </c:extLst>
        </c:ser>
        <c:ser>
          <c:idx val="4"/>
          <c:order val="4"/>
          <c:tx>
            <c:strRef>
              <c:f>Rate_total!$V$49</c:f>
              <c:strCache>
                <c:ptCount val="1"/>
                <c:pt idx="0">
                  <c:v>Polsko</c:v>
                </c:pt>
              </c:strCache>
            </c:strRef>
          </c:tx>
          <c:spPr>
            <a:solidFill>
              <a:schemeClr val="accent1">
                <a:lumMod val="40000"/>
                <a:lumOff val="60000"/>
              </a:schemeClr>
            </a:solidFill>
            <a:ln>
              <a:noFill/>
            </a:ln>
            <a:effectLst/>
          </c:spPr>
          <c:invertIfNegative val="0"/>
          <c:cat>
            <c:strRef>
              <c:f>Rate_total!$Q$50:$Q$52</c:f>
              <c:strCache>
                <c:ptCount val="3"/>
                <c:pt idx="0">
                  <c:v>Podnikové</c:v>
                </c:pt>
                <c:pt idx="1">
                  <c:v>Státní</c:v>
                </c:pt>
                <c:pt idx="2">
                  <c:v>Domácnosti</c:v>
                </c:pt>
              </c:strCache>
            </c:strRef>
          </c:cat>
          <c:val>
            <c:numRef>
              <c:f>Rate_total!$V$50:$V$52</c:f>
              <c:numCache>
                <c:formatCode>General</c:formatCode>
                <c:ptCount val="3"/>
                <c:pt idx="0">
                  <c:v>10.036000000000001</c:v>
                </c:pt>
                <c:pt idx="1">
                  <c:v>4.3260000000000005</c:v>
                </c:pt>
                <c:pt idx="2">
                  <c:v>3.5519999999999996</c:v>
                </c:pt>
              </c:numCache>
            </c:numRef>
          </c:val>
          <c:extLst>
            <c:ext xmlns:c16="http://schemas.microsoft.com/office/drawing/2014/chart" uri="{C3380CC4-5D6E-409C-BE32-E72D297353CC}">
              <c16:uniqueId val="{00000004-3234-40EB-8126-5CC18F206BB9}"/>
            </c:ext>
          </c:extLst>
        </c:ser>
        <c:dLbls>
          <c:showLegendKey val="0"/>
          <c:showVal val="0"/>
          <c:showCatName val="0"/>
          <c:showSerName val="0"/>
          <c:showPercent val="0"/>
          <c:showBubbleSize val="0"/>
        </c:dLbls>
        <c:gapWidth val="219"/>
        <c:overlap val="-27"/>
        <c:axId val="109272479"/>
        <c:axId val="117812639"/>
      </c:barChart>
      <c:catAx>
        <c:axId val="109272479"/>
        <c:scaling>
          <c:orientation val="minMax"/>
        </c:scaling>
        <c:delete val="0"/>
        <c:axPos val="b"/>
        <c:numFmt formatCode="General" sourceLinked="1"/>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cs-CZ"/>
          </a:p>
        </c:txPr>
        <c:crossAx val="117812639"/>
        <c:crosses val="autoZero"/>
        <c:auto val="1"/>
        <c:lblAlgn val="ctr"/>
        <c:lblOffset val="100"/>
        <c:noMultiLvlLbl val="0"/>
      </c:catAx>
      <c:valAx>
        <c:axId val="117812639"/>
        <c:scaling>
          <c:orientation val="minMax"/>
          <c:max val="20"/>
        </c:scaling>
        <c:delete val="0"/>
        <c:axPos val="l"/>
        <c:majorGridlines>
          <c:spPr>
            <a:ln w="9525" cap="flat" cmpd="sng" algn="ctr">
              <a:solidFill>
                <a:schemeClr val="tx1"/>
              </a:solidFill>
              <a:prstDash val="dash"/>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cs-CZ"/>
          </a:p>
        </c:txPr>
        <c:crossAx val="109272479"/>
        <c:crosses val="autoZero"/>
        <c:crossBetween val="between"/>
        <c:majorUnit val="5"/>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mn-lt"/>
              <a:ea typeface="+mn-ea"/>
              <a:cs typeface="+mn-cs"/>
            </a:defRPr>
          </a:pPr>
          <a:endParaRPr lang="cs-CZ"/>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solidFill>
            <a:sysClr val="windowText" lastClr="000000"/>
          </a:solidFill>
        </a:defRPr>
      </a:pPr>
      <a:endParaRPr lang="cs-CZ"/>
    </a:p>
  </c:txPr>
  <c:externalData r:id="rId3">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0036354219252985"/>
          <c:y val="7.3976191149818016E-2"/>
          <c:w val="0.85536855769798137"/>
          <c:h val="0.61106049392282025"/>
        </c:manualLayout>
      </c:layout>
      <c:lineChart>
        <c:grouping val="standard"/>
        <c:varyColors val="0"/>
        <c:ser>
          <c:idx val="1"/>
          <c:order val="0"/>
          <c:tx>
            <c:strRef>
              <c:f>Rate_total!$A$11</c:f>
              <c:strCache>
                <c:ptCount val="1"/>
                <c:pt idx="0">
                  <c:v>EU celkem</c:v>
                </c:pt>
              </c:strCache>
            </c:strRef>
          </c:tx>
          <c:spPr>
            <a:ln w="19050" cap="rnd">
              <a:solidFill>
                <a:schemeClr val="tx1"/>
              </a:solidFill>
              <a:round/>
            </a:ln>
            <a:effectLst/>
          </c:spPr>
          <c:marker>
            <c:symbol val="none"/>
          </c:marker>
          <c:cat>
            <c:numRef>
              <c:f>Rate_total!$B$8:$O$8</c:f>
              <c:numCache>
                <c:formatCode>General</c:formatCode>
                <c:ptCount val="14"/>
                <c:pt idx="0">
                  <c:v>2009</c:v>
                </c:pt>
                <c:pt idx="1">
                  <c:v>2010</c:v>
                </c:pt>
                <c:pt idx="2">
                  <c:v>2011</c:v>
                </c:pt>
                <c:pt idx="3">
                  <c:v>2012</c:v>
                </c:pt>
                <c:pt idx="4">
                  <c:v>2013</c:v>
                </c:pt>
                <c:pt idx="5">
                  <c:v>2014</c:v>
                </c:pt>
                <c:pt idx="6">
                  <c:v>2015</c:v>
                </c:pt>
                <c:pt idx="7">
                  <c:v>2016</c:v>
                </c:pt>
                <c:pt idx="8">
                  <c:v>2017</c:v>
                </c:pt>
                <c:pt idx="9">
                  <c:v>2018</c:v>
                </c:pt>
                <c:pt idx="10">
                  <c:v>2019</c:v>
                </c:pt>
                <c:pt idx="11">
                  <c:v>2020</c:v>
                </c:pt>
                <c:pt idx="12">
                  <c:v>2021</c:v>
                </c:pt>
                <c:pt idx="13">
                  <c:v>2022</c:v>
                </c:pt>
              </c:numCache>
            </c:numRef>
          </c:cat>
          <c:val>
            <c:numRef>
              <c:f>Rate_total!$B$11:$O$11</c:f>
              <c:numCache>
                <c:formatCode>#\ ##0.##########</c:formatCode>
                <c:ptCount val="14"/>
                <c:pt idx="0">
                  <c:v>21.63</c:v>
                </c:pt>
                <c:pt idx="1">
                  <c:v>21.07</c:v>
                </c:pt>
                <c:pt idx="2">
                  <c:v>21.15</c:v>
                </c:pt>
                <c:pt idx="3">
                  <c:v>20.74</c:v>
                </c:pt>
                <c:pt idx="4">
                  <c:v>20.170000000000002</c:v>
                </c:pt>
                <c:pt idx="5">
                  <c:v>20.23</c:v>
                </c:pt>
                <c:pt idx="6">
                  <c:v>20.65</c:v>
                </c:pt>
                <c:pt idx="7">
                  <c:v>20.86</c:v>
                </c:pt>
                <c:pt idx="8">
                  <c:v>21.17</c:v>
                </c:pt>
                <c:pt idx="9">
                  <c:v>21.57</c:v>
                </c:pt>
                <c:pt idx="10">
                  <c:v>22.61</c:v>
                </c:pt>
                <c:pt idx="11">
                  <c:v>22.56</c:v>
                </c:pt>
                <c:pt idx="12">
                  <c:v>22.38</c:v>
                </c:pt>
                <c:pt idx="13" formatCode="#,##0.00">
                  <c:v>22.9</c:v>
                </c:pt>
              </c:numCache>
            </c:numRef>
          </c:val>
          <c:smooth val="0"/>
          <c:extLst>
            <c:ext xmlns:c16="http://schemas.microsoft.com/office/drawing/2014/chart" uri="{C3380CC4-5D6E-409C-BE32-E72D297353CC}">
              <c16:uniqueId val="{00000000-A5C0-40C7-A4CB-58D97906DB96}"/>
            </c:ext>
          </c:extLst>
        </c:ser>
        <c:ser>
          <c:idx val="0"/>
          <c:order val="1"/>
          <c:tx>
            <c:strRef>
              <c:f>Rate_total!$A$16</c:f>
              <c:strCache>
                <c:ptCount val="1"/>
                <c:pt idx="0">
                  <c:v>ČR</c:v>
                </c:pt>
              </c:strCache>
            </c:strRef>
          </c:tx>
          <c:spPr>
            <a:ln w="19050" cap="rnd">
              <a:solidFill>
                <a:schemeClr val="accent1"/>
              </a:solidFill>
              <a:round/>
            </a:ln>
            <a:effectLst/>
          </c:spPr>
          <c:marker>
            <c:symbol val="none"/>
          </c:marker>
          <c:cat>
            <c:numRef>
              <c:f>Rate_total!$B$8:$O$8</c:f>
              <c:numCache>
                <c:formatCode>General</c:formatCode>
                <c:ptCount val="14"/>
                <c:pt idx="0">
                  <c:v>2009</c:v>
                </c:pt>
                <c:pt idx="1">
                  <c:v>2010</c:v>
                </c:pt>
                <c:pt idx="2">
                  <c:v>2011</c:v>
                </c:pt>
                <c:pt idx="3">
                  <c:v>2012</c:v>
                </c:pt>
                <c:pt idx="4">
                  <c:v>2013</c:v>
                </c:pt>
                <c:pt idx="5">
                  <c:v>2014</c:v>
                </c:pt>
                <c:pt idx="6">
                  <c:v>2015</c:v>
                </c:pt>
                <c:pt idx="7">
                  <c:v>2016</c:v>
                </c:pt>
                <c:pt idx="8">
                  <c:v>2017</c:v>
                </c:pt>
                <c:pt idx="9">
                  <c:v>2018</c:v>
                </c:pt>
                <c:pt idx="10">
                  <c:v>2019</c:v>
                </c:pt>
                <c:pt idx="11">
                  <c:v>2020</c:v>
                </c:pt>
                <c:pt idx="12">
                  <c:v>2021</c:v>
                </c:pt>
                <c:pt idx="13">
                  <c:v>2022</c:v>
                </c:pt>
              </c:numCache>
            </c:numRef>
          </c:cat>
          <c:val>
            <c:numRef>
              <c:f>Rate_total!$B$16:$O$16</c:f>
              <c:numCache>
                <c:formatCode>#\ ##0.##########</c:formatCode>
                <c:ptCount val="14"/>
                <c:pt idx="0">
                  <c:v>27.61</c:v>
                </c:pt>
                <c:pt idx="1">
                  <c:v>27.15</c:v>
                </c:pt>
                <c:pt idx="2">
                  <c:v>26.75</c:v>
                </c:pt>
                <c:pt idx="3">
                  <c:v>26.16</c:v>
                </c:pt>
                <c:pt idx="4">
                  <c:v>25.36</c:v>
                </c:pt>
                <c:pt idx="5" formatCode="#,##0.00">
                  <c:v>25.4</c:v>
                </c:pt>
                <c:pt idx="6">
                  <c:v>26.54</c:v>
                </c:pt>
                <c:pt idx="7">
                  <c:v>24.94</c:v>
                </c:pt>
                <c:pt idx="8">
                  <c:v>24.92</c:v>
                </c:pt>
                <c:pt idx="9" formatCode="#,##0.00">
                  <c:v>26.3</c:v>
                </c:pt>
                <c:pt idx="10">
                  <c:v>27.07</c:v>
                </c:pt>
                <c:pt idx="11">
                  <c:v>26.55</c:v>
                </c:pt>
                <c:pt idx="12">
                  <c:v>26.01</c:v>
                </c:pt>
                <c:pt idx="13" formatCode="#,##0.00">
                  <c:v>26.8</c:v>
                </c:pt>
              </c:numCache>
            </c:numRef>
          </c:val>
          <c:smooth val="0"/>
          <c:extLst>
            <c:ext xmlns:c16="http://schemas.microsoft.com/office/drawing/2014/chart" uri="{C3380CC4-5D6E-409C-BE32-E72D297353CC}">
              <c16:uniqueId val="{00000001-A5C0-40C7-A4CB-58D97906DB96}"/>
            </c:ext>
          </c:extLst>
        </c:ser>
        <c:ser>
          <c:idx val="2"/>
          <c:order val="2"/>
          <c:tx>
            <c:strRef>
              <c:f>Rate_total!$A$37</c:f>
              <c:strCache>
                <c:ptCount val="1"/>
                <c:pt idx="0">
                  <c:v>Slovinsko</c:v>
                </c:pt>
              </c:strCache>
            </c:strRef>
          </c:tx>
          <c:spPr>
            <a:ln w="19050" cap="rnd">
              <a:solidFill>
                <a:schemeClr val="tx2"/>
              </a:solidFill>
              <a:round/>
            </a:ln>
            <a:effectLst/>
          </c:spPr>
          <c:marker>
            <c:symbol val="none"/>
          </c:marker>
          <c:cat>
            <c:numRef>
              <c:f>Rate_total!$B$8:$O$8</c:f>
              <c:numCache>
                <c:formatCode>General</c:formatCode>
                <c:ptCount val="14"/>
                <c:pt idx="0">
                  <c:v>2009</c:v>
                </c:pt>
                <c:pt idx="1">
                  <c:v>2010</c:v>
                </c:pt>
                <c:pt idx="2">
                  <c:v>2011</c:v>
                </c:pt>
                <c:pt idx="3">
                  <c:v>2012</c:v>
                </c:pt>
                <c:pt idx="4">
                  <c:v>2013</c:v>
                </c:pt>
                <c:pt idx="5">
                  <c:v>2014</c:v>
                </c:pt>
                <c:pt idx="6">
                  <c:v>2015</c:v>
                </c:pt>
                <c:pt idx="7">
                  <c:v>2016</c:v>
                </c:pt>
                <c:pt idx="8">
                  <c:v>2017</c:v>
                </c:pt>
                <c:pt idx="9">
                  <c:v>2018</c:v>
                </c:pt>
                <c:pt idx="10">
                  <c:v>2019</c:v>
                </c:pt>
                <c:pt idx="11">
                  <c:v>2020</c:v>
                </c:pt>
                <c:pt idx="12">
                  <c:v>2021</c:v>
                </c:pt>
                <c:pt idx="13">
                  <c:v>2022</c:v>
                </c:pt>
              </c:numCache>
            </c:numRef>
          </c:cat>
          <c:val>
            <c:numRef>
              <c:f>Rate_total!$B$37:$O$37</c:f>
              <c:numCache>
                <c:formatCode>#\ ##0.##########</c:formatCode>
                <c:ptCount val="14"/>
                <c:pt idx="0">
                  <c:v>24.13</c:v>
                </c:pt>
                <c:pt idx="1">
                  <c:v>21.08</c:v>
                </c:pt>
                <c:pt idx="2">
                  <c:v>19.940000000000001</c:v>
                </c:pt>
                <c:pt idx="3">
                  <c:v>19.03</c:v>
                </c:pt>
                <c:pt idx="4">
                  <c:v>19.63</c:v>
                </c:pt>
                <c:pt idx="5">
                  <c:v>19.11</c:v>
                </c:pt>
                <c:pt idx="6">
                  <c:v>18.649999999999999</c:v>
                </c:pt>
                <c:pt idx="7">
                  <c:v>17.38</c:v>
                </c:pt>
                <c:pt idx="8">
                  <c:v>18.32</c:v>
                </c:pt>
                <c:pt idx="9">
                  <c:v>19.329999999999998</c:v>
                </c:pt>
                <c:pt idx="10">
                  <c:v>19.579999999999998</c:v>
                </c:pt>
                <c:pt idx="11" formatCode="#,##0.00">
                  <c:v>18.899999999999999</c:v>
                </c:pt>
                <c:pt idx="12">
                  <c:v>20.239999999999998</c:v>
                </c:pt>
                <c:pt idx="13">
                  <c:v>21.62</c:v>
                </c:pt>
              </c:numCache>
            </c:numRef>
          </c:val>
          <c:smooth val="0"/>
          <c:extLst>
            <c:ext xmlns:c16="http://schemas.microsoft.com/office/drawing/2014/chart" uri="{C3380CC4-5D6E-409C-BE32-E72D297353CC}">
              <c16:uniqueId val="{00000002-A5C0-40C7-A4CB-58D97906DB96}"/>
            </c:ext>
          </c:extLst>
        </c:ser>
        <c:ser>
          <c:idx val="3"/>
          <c:order val="3"/>
          <c:tx>
            <c:strRef>
              <c:f>Rate_total!$A$30</c:f>
              <c:strCache>
                <c:ptCount val="1"/>
                <c:pt idx="0">
                  <c:v>Maďarsko</c:v>
                </c:pt>
              </c:strCache>
            </c:strRef>
          </c:tx>
          <c:spPr>
            <a:ln w="19050" cap="rnd">
              <a:solidFill>
                <a:schemeClr val="accent6"/>
              </a:solidFill>
              <a:round/>
            </a:ln>
            <a:effectLst/>
          </c:spPr>
          <c:marker>
            <c:symbol val="none"/>
          </c:marker>
          <c:cat>
            <c:numRef>
              <c:f>Rate_total!$B$8:$O$8</c:f>
              <c:numCache>
                <c:formatCode>General</c:formatCode>
                <c:ptCount val="14"/>
                <c:pt idx="0">
                  <c:v>2009</c:v>
                </c:pt>
                <c:pt idx="1">
                  <c:v>2010</c:v>
                </c:pt>
                <c:pt idx="2">
                  <c:v>2011</c:v>
                </c:pt>
                <c:pt idx="3">
                  <c:v>2012</c:v>
                </c:pt>
                <c:pt idx="4">
                  <c:v>2013</c:v>
                </c:pt>
                <c:pt idx="5">
                  <c:v>2014</c:v>
                </c:pt>
                <c:pt idx="6">
                  <c:v>2015</c:v>
                </c:pt>
                <c:pt idx="7">
                  <c:v>2016</c:v>
                </c:pt>
                <c:pt idx="8">
                  <c:v>2017</c:v>
                </c:pt>
                <c:pt idx="9">
                  <c:v>2018</c:v>
                </c:pt>
                <c:pt idx="10">
                  <c:v>2019</c:v>
                </c:pt>
                <c:pt idx="11">
                  <c:v>2020</c:v>
                </c:pt>
                <c:pt idx="12">
                  <c:v>2021</c:v>
                </c:pt>
                <c:pt idx="13">
                  <c:v>2022</c:v>
                </c:pt>
              </c:numCache>
            </c:numRef>
          </c:cat>
          <c:val>
            <c:numRef>
              <c:f>Rate_total!$B$30:$O$30</c:f>
              <c:numCache>
                <c:formatCode>#\ ##0.##########</c:formatCode>
                <c:ptCount val="14"/>
                <c:pt idx="0">
                  <c:v>22.64</c:v>
                </c:pt>
                <c:pt idx="1">
                  <c:v>20.07</c:v>
                </c:pt>
                <c:pt idx="2">
                  <c:v>19.54</c:v>
                </c:pt>
                <c:pt idx="3">
                  <c:v>19.149999999999999</c:v>
                </c:pt>
                <c:pt idx="4" formatCode="#,##0.00">
                  <c:v>20.8</c:v>
                </c:pt>
                <c:pt idx="5">
                  <c:v>22.01</c:v>
                </c:pt>
                <c:pt idx="6">
                  <c:v>22.17</c:v>
                </c:pt>
                <c:pt idx="7">
                  <c:v>19.489999999999998</c:v>
                </c:pt>
                <c:pt idx="8">
                  <c:v>22.15</c:v>
                </c:pt>
                <c:pt idx="9">
                  <c:v>24.73</c:v>
                </c:pt>
                <c:pt idx="10" formatCode="#,##0.00">
                  <c:v>27</c:v>
                </c:pt>
                <c:pt idx="11">
                  <c:v>26.52</c:v>
                </c:pt>
                <c:pt idx="12">
                  <c:v>27.24</c:v>
                </c:pt>
                <c:pt idx="13">
                  <c:v>27.89</c:v>
                </c:pt>
              </c:numCache>
            </c:numRef>
          </c:val>
          <c:smooth val="0"/>
          <c:extLst>
            <c:ext xmlns:c16="http://schemas.microsoft.com/office/drawing/2014/chart" uri="{C3380CC4-5D6E-409C-BE32-E72D297353CC}">
              <c16:uniqueId val="{00000003-A5C0-40C7-A4CB-58D97906DB96}"/>
            </c:ext>
          </c:extLst>
        </c:ser>
        <c:ser>
          <c:idx val="4"/>
          <c:order val="4"/>
          <c:tx>
            <c:strRef>
              <c:f>Rate_total!$A$34</c:f>
              <c:strCache>
                <c:ptCount val="1"/>
                <c:pt idx="0">
                  <c:v>Polsko</c:v>
                </c:pt>
              </c:strCache>
            </c:strRef>
          </c:tx>
          <c:spPr>
            <a:ln w="19050" cap="rnd">
              <a:solidFill>
                <a:schemeClr val="accent1">
                  <a:lumMod val="40000"/>
                  <a:lumOff val="60000"/>
                </a:schemeClr>
              </a:solidFill>
              <a:round/>
            </a:ln>
            <a:effectLst/>
          </c:spPr>
          <c:marker>
            <c:symbol val="none"/>
          </c:marker>
          <c:cat>
            <c:numRef>
              <c:f>Rate_total!$B$8:$O$8</c:f>
              <c:numCache>
                <c:formatCode>General</c:formatCode>
                <c:ptCount val="14"/>
                <c:pt idx="0">
                  <c:v>2009</c:v>
                </c:pt>
                <c:pt idx="1">
                  <c:v>2010</c:v>
                </c:pt>
                <c:pt idx="2">
                  <c:v>2011</c:v>
                </c:pt>
                <c:pt idx="3">
                  <c:v>2012</c:v>
                </c:pt>
                <c:pt idx="4">
                  <c:v>2013</c:v>
                </c:pt>
                <c:pt idx="5">
                  <c:v>2014</c:v>
                </c:pt>
                <c:pt idx="6">
                  <c:v>2015</c:v>
                </c:pt>
                <c:pt idx="7">
                  <c:v>2016</c:v>
                </c:pt>
                <c:pt idx="8">
                  <c:v>2017</c:v>
                </c:pt>
                <c:pt idx="9">
                  <c:v>2018</c:v>
                </c:pt>
                <c:pt idx="10">
                  <c:v>2019</c:v>
                </c:pt>
                <c:pt idx="11">
                  <c:v>2020</c:v>
                </c:pt>
                <c:pt idx="12">
                  <c:v>2021</c:v>
                </c:pt>
                <c:pt idx="13">
                  <c:v>2022</c:v>
                </c:pt>
              </c:numCache>
            </c:numRef>
          </c:cat>
          <c:val>
            <c:numRef>
              <c:f>Rate_total!$B$34:$O$34</c:f>
              <c:numCache>
                <c:formatCode>#\ ##0.##########</c:formatCode>
                <c:ptCount val="14"/>
                <c:pt idx="0">
                  <c:v>21.44</c:v>
                </c:pt>
                <c:pt idx="1">
                  <c:v>19.72</c:v>
                </c:pt>
                <c:pt idx="2">
                  <c:v>20.49</c:v>
                </c:pt>
                <c:pt idx="3">
                  <c:v>19.579999999999998</c:v>
                </c:pt>
                <c:pt idx="4">
                  <c:v>18.97</c:v>
                </c:pt>
                <c:pt idx="5">
                  <c:v>20.13</c:v>
                </c:pt>
                <c:pt idx="6">
                  <c:v>20.420000000000002</c:v>
                </c:pt>
                <c:pt idx="7">
                  <c:v>18.47</c:v>
                </c:pt>
                <c:pt idx="8">
                  <c:v>17.57</c:v>
                </c:pt>
                <c:pt idx="9">
                  <c:v>18.739999999999998</c:v>
                </c:pt>
                <c:pt idx="10">
                  <c:v>18.920000000000002</c:v>
                </c:pt>
                <c:pt idx="11">
                  <c:v>18.309999999999999</c:v>
                </c:pt>
                <c:pt idx="12">
                  <c:v>16.809999999999999</c:v>
                </c:pt>
                <c:pt idx="13">
                  <c:v>16.809999999999999</c:v>
                </c:pt>
              </c:numCache>
            </c:numRef>
          </c:val>
          <c:smooth val="0"/>
          <c:extLst>
            <c:ext xmlns:c16="http://schemas.microsoft.com/office/drawing/2014/chart" uri="{C3380CC4-5D6E-409C-BE32-E72D297353CC}">
              <c16:uniqueId val="{00000004-A5C0-40C7-A4CB-58D97906DB96}"/>
            </c:ext>
          </c:extLst>
        </c:ser>
        <c:dLbls>
          <c:showLegendKey val="0"/>
          <c:showVal val="0"/>
          <c:showCatName val="0"/>
          <c:showSerName val="0"/>
          <c:showPercent val="0"/>
          <c:showBubbleSize val="0"/>
        </c:dLbls>
        <c:smooth val="0"/>
        <c:axId val="2099138463"/>
        <c:axId val="36868319"/>
      </c:lineChart>
      <c:catAx>
        <c:axId val="2099138463"/>
        <c:scaling>
          <c:orientation val="minMax"/>
        </c:scaling>
        <c:delete val="0"/>
        <c:axPos val="b"/>
        <c:numFmt formatCode="General" sourceLinked="1"/>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cs-CZ"/>
          </a:p>
        </c:txPr>
        <c:crossAx val="36868319"/>
        <c:crosses val="autoZero"/>
        <c:auto val="1"/>
        <c:lblAlgn val="ctr"/>
        <c:lblOffset val="100"/>
        <c:noMultiLvlLbl val="0"/>
      </c:catAx>
      <c:valAx>
        <c:axId val="36868319"/>
        <c:scaling>
          <c:orientation val="minMax"/>
        </c:scaling>
        <c:delete val="0"/>
        <c:axPos val="l"/>
        <c:majorGridlines>
          <c:spPr>
            <a:ln w="6350" cap="flat" cmpd="sng" algn="ctr">
              <a:solidFill>
                <a:schemeClr val="tx1"/>
              </a:solidFill>
              <a:prstDash val="dash"/>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cs-CZ"/>
          </a:p>
        </c:txPr>
        <c:crossAx val="2099138463"/>
        <c:crosses val="autoZero"/>
        <c:crossBetween val="between"/>
      </c:valAx>
      <c:spPr>
        <a:noFill/>
        <a:ln>
          <a:noFill/>
        </a:ln>
        <a:effectLst/>
      </c:spPr>
    </c:plotArea>
    <c:legend>
      <c:legendPos val="r"/>
      <c:layout>
        <c:manualLayout>
          <c:xMode val="edge"/>
          <c:yMode val="edge"/>
          <c:x val="0"/>
          <c:y val="0.88093627159605969"/>
          <c:w val="0.98183791090914818"/>
          <c:h val="0.11906372840394017"/>
        </c:manualLayout>
      </c:layout>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mn-lt"/>
              <a:ea typeface="+mn-ea"/>
              <a:cs typeface="+mn-cs"/>
            </a:defRPr>
          </a:pPr>
          <a:endParaRPr lang="cs-CZ"/>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solidFill>
            <a:sysClr val="windowText" lastClr="000000"/>
          </a:solidFill>
        </a:defRPr>
      </a:pPr>
      <a:endParaRPr lang="cs-CZ"/>
    </a:p>
  </c:txPr>
  <c:externalData r:id="rId3">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21831288834848322"/>
          <c:y val="0.2028295243582357"/>
          <c:w val="0.54934383202099735"/>
          <c:h val="0.71727332863879811"/>
        </c:manualLayout>
      </c:layout>
      <c:radarChart>
        <c:radarStyle val="marker"/>
        <c:varyColors val="0"/>
        <c:ser>
          <c:idx val="2"/>
          <c:order val="0"/>
          <c:tx>
            <c:strRef>
              <c:f>'C'!$C$1</c:f>
              <c:strCache>
                <c:ptCount val="1"/>
                <c:pt idx="0">
                  <c:v>Visegrad 4</c:v>
                </c:pt>
              </c:strCache>
            </c:strRef>
          </c:tx>
          <c:spPr>
            <a:ln w="19050" cap="rnd">
              <a:solidFill>
                <a:schemeClr val="tx1"/>
              </a:solidFill>
              <a:prstDash val="dash"/>
              <a:round/>
            </a:ln>
            <a:effectLst/>
          </c:spPr>
          <c:marker>
            <c:symbol val="none"/>
          </c:marker>
          <c:val>
            <c:numRef>
              <c:f>'C'!$C$52:$C$60</c:f>
              <c:numCache>
                <c:formatCode>#,##0</c:formatCode>
                <c:ptCount val="9"/>
                <c:pt idx="0">
                  <c:v>30.452904820766381</c:v>
                </c:pt>
                <c:pt idx="1">
                  <c:v>65.914563106796109</c:v>
                </c:pt>
                <c:pt idx="2">
                  <c:v>50.050967218811536</c:v>
                </c:pt>
                <c:pt idx="3">
                  <c:v>38.130089252964908</c:v>
                </c:pt>
                <c:pt idx="4">
                  <c:v>34.957243639991454</c:v>
                </c:pt>
                <c:pt idx="5">
                  <c:v>35.871901495922664</c:v>
                </c:pt>
                <c:pt idx="6">
                  <c:v>38.361294632915147</c:v>
                </c:pt>
                <c:pt idx="7">
                  <c:v>35.113606464152639</c:v>
                </c:pt>
                <c:pt idx="8">
                  <c:v>34.26192201768373</c:v>
                </c:pt>
              </c:numCache>
            </c:numRef>
          </c:val>
          <c:extLst>
            <c:ext xmlns:c16="http://schemas.microsoft.com/office/drawing/2014/chart" uri="{C3380CC4-5D6E-409C-BE32-E72D297353CC}">
              <c16:uniqueId val="{00000000-A99A-4FB9-B857-61E3CAA6481A}"/>
            </c:ext>
          </c:extLst>
        </c:ser>
        <c:ser>
          <c:idx val="0"/>
          <c:order val="1"/>
          <c:tx>
            <c:strRef>
              <c:f>'C'!$F$1</c:f>
              <c:strCache>
                <c:ptCount val="1"/>
                <c:pt idx="0">
                  <c:v>ČR</c:v>
                </c:pt>
              </c:strCache>
            </c:strRef>
          </c:tx>
          <c:spPr>
            <a:ln w="19050" cap="rnd">
              <a:solidFill>
                <a:srgbClr val="C00000"/>
              </a:solidFill>
              <a:round/>
            </a:ln>
            <a:effectLst/>
          </c:spPr>
          <c:marker>
            <c:symbol val="none"/>
          </c:marker>
          <c:cat>
            <c:strRef>
              <c:f>'C'!$A$52:$A$60</c:f>
              <c:strCache>
                <c:ptCount val="9"/>
                <c:pt idx="0">
                  <c:v>Zpracování dřeva, papírenství</c:v>
                </c:pt>
                <c:pt idx="1">
                  <c:v>Chemie a petrochemie</c:v>
                </c:pt>
                <c:pt idx="2">
                  <c:v>Farmaceutický průmysl</c:v>
                </c:pt>
                <c:pt idx="3">
                  <c:v>Výroba gumy a plastů</c:v>
                </c:pt>
                <c:pt idx="4">
                  <c:v>Výroba stavebních materiálů</c:v>
                </c:pt>
                <c:pt idx="5">
                  <c:v>Metalurgie</c:v>
                </c:pt>
                <c:pt idx="6">
                  <c:v>Výroba elektroniky</c:v>
                </c:pt>
                <c:pt idx="7">
                  <c:v>Automotive, strojírenství</c:v>
                </c:pt>
                <c:pt idx="8">
                  <c:v>Výroba kovových výrobků</c:v>
                </c:pt>
              </c:strCache>
            </c:strRef>
          </c:cat>
          <c:val>
            <c:numRef>
              <c:f>'C'!$F$52:$F$60</c:f>
              <c:numCache>
                <c:formatCode>#,##0</c:formatCode>
                <c:ptCount val="9"/>
                <c:pt idx="0">
                  <c:v>33.459263242807204</c:v>
                </c:pt>
                <c:pt idx="1">
                  <c:v>35.744308231173378</c:v>
                </c:pt>
                <c:pt idx="2">
                  <c:v>67.270676691729321</c:v>
                </c:pt>
                <c:pt idx="3">
                  <c:v>39.859719438877754</c:v>
                </c:pt>
                <c:pt idx="4">
                  <c:v>42.779896013864814</c:v>
                </c:pt>
                <c:pt idx="5">
                  <c:v>22.832167832167833</c:v>
                </c:pt>
                <c:pt idx="6">
                  <c:v>44.673946011525629</c:v>
                </c:pt>
                <c:pt idx="7">
                  <c:v>40.950623109162059</c:v>
                </c:pt>
                <c:pt idx="8">
                  <c:v>30.358658115441539</c:v>
                </c:pt>
              </c:numCache>
            </c:numRef>
          </c:val>
          <c:extLst>
            <c:ext xmlns:c16="http://schemas.microsoft.com/office/drawing/2014/chart" uri="{C3380CC4-5D6E-409C-BE32-E72D297353CC}">
              <c16:uniqueId val="{00000001-A99A-4FB9-B857-61E3CAA6481A}"/>
            </c:ext>
          </c:extLst>
        </c:ser>
        <c:ser>
          <c:idx val="1"/>
          <c:order val="2"/>
          <c:tx>
            <c:strRef>
              <c:f>'C'!$K$1</c:f>
              <c:strCache>
                <c:ptCount val="1"/>
                <c:pt idx="0">
                  <c:v>Slovinsko</c:v>
                </c:pt>
              </c:strCache>
            </c:strRef>
          </c:tx>
          <c:spPr>
            <a:ln w="19050" cap="rnd">
              <a:solidFill>
                <a:srgbClr val="0070C0"/>
              </a:solidFill>
              <a:round/>
            </a:ln>
            <a:effectLst/>
          </c:spPr>
          <c:marker>
            <c:symbol val="none"/>
          </c:marker>
          <c:val>
            <c:numRef>
              <c:f>'C'!$K$52:$K$60</c:f>
              <c:numCache>
                <c:formatCode>#,##0</c:formatCode>
                <c:ptCount val="9"/>
                <c:pt idx="0">
                  <c:v>38.44839857651246</c:v>
                </c:pt>
                <c:pt idx="1">
                  <c:v>70</c:v>
                </c:pt>
                <c:pt idx="2">
                  <c:v>113.97413793103448</c:v>
                </c:pt>
                <c:pt idx="3">
                  <c:v>46.706515242080094</c:v>
                </c:pt>
                <c:pt idx="4">
                  <c:v>54.763948497854081</c:v>
                </c:pt>
                <c:pt idx="5">
                  <c:v>43.393213572854293</c:v>
                </c:pt>
                <c:pt idx="6">
                  <c:v>50.34530868503662</c:v>
                </c:pt>
                <c:pt idx="7">
                  <c:v>48.03765813474552</c:v>
                </c:pt>
                <c:pt idx="8">
                  <c:v>40.151024811218988</c:v>
                </c:pt>
              </c:numCache>
            </c:numRef>
          </c:val>
          <c:extLst>
            <c:ext xmlns:c16="http://schemas.microsoft.com/office/drawing/2014/chart" uri="{C3380CC4-5D6E-409C-BE32-E72D297353CC}">
              <c16:uniqueId val="{00000002-A99A-4FB9-B857-61E3CAA6481A}"/>
            </c:ext>
          </c:extLst>
        </c:ser>
        <c:dLbls>
          <c:showLegendKey val="0"/>
          <c:showVal val="0"/>
          <c:showCatName val="0"/>
          <c:showSerName val="0"/>
          <c:showPercent val="0"/>
          <c:showBubbleSize val="0"/>
        </c:dLbls>
        <c:axId val="1592727007"/>
        <c:axId val="1592713279"/>
      </c:radarChart>
      <c:catAx>
        <c:axId val="1592727007"/>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mn-lt"/>
                <a:ea typeface="+mn-ea"/>
                <a:cs typeface="+mn-cs"/>
              </a:defRPr>
            </a:pPr>
            <a:endParaRPr lang="cs-CZ"/>
          </a:p>
        </c:txPr>
        <c:crossAx val="1592713279"/>
        <c:crosses val="autoZero"/>
        <c:auto val="1"/>
        <c:lblAlgn val="ctr"/>
        <c:lblOffset val="100"/>
        <c:noMultiLvlLbl val="0"/>
      </c:catAx>
      <c:valAx>
        <c:axId val="1592713279"/>
        <c:scaling>
          <c:orientation val="minMax"/>
          <c:max val="120"/>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mn-lt"/>
                <a:ea typeface="+mn-ea"/>
                <a:cs typeface="+mn-cs"/>
              </a:defRPr>
            </a:pPr>
            <a:endParaRPr lang="cs-CZ"/>
          </a:p>
        </c:txPr>
        <c:crossAx val="1592727007"/>
        <c:crosses val="autoZero"/>
        <c:crossBetween val="between"/>
        <c:majorUnit val="30"/>
      </c:valAx>
      <c:spPr>
        <a:noFill/>
        <a:ln>
          <a:noFill/>
        </a:ln>
        <a:effectLst/>
      </c:spPr>
    </c:plotArea>
    <c:legend>
      <c:legendPos val="r"/>
      <c:layout>
        <c:manualLayout>
          <c:xMode val="edge"/>
          <c:yMode val="edge"/>
          <c:x val="0.65272125853508667"/>
          <c:y val="1.4319800933974162E-2"/>
          <c:w val="0.31739278231566009"/>
          <c:h val="0.20909659019895241"/>
        </c:manualLayout>
      </c:layout>
      <c:overlay val="0"/>
      <c:spPr>
        <a:noFill/>
        <a:ln>
          <a:solidFill>
            <a:schemeClr val="tx1"/>
          </a:solid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cs-CZ"/>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cs-CZ"/>
    </a:p>
  </c:txPr>
  <c:externalData r:id="rId3">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22704570338366323"/>
          <c:y val="0.19829041640065262"/>
          <c:w val="0.53837189481206615"/>
          <c:h val="0.728135862240193"/>
        </c:manualLayout>
      </c:layout>
      <c:radarChart>
        <c:radarStyle val="marker"/>
        <c:varyColors val="0"/>
        <c:ser>
          <c:idx val="2"/>
          <c:order val="0"/>
          <c:tx>
            <c:strRef>
              <c:f>'C'!$C$1</c:f>
              <c:strCache>
                <c:ptCount val="1"/>
                <c:pt idx="0">
                  <c:v>Visegrad 4</c:v>
                </c:pt>
              </c:strCache>
            </c:strRef>
          </c:tx>
          <c:spPr>
            <a:ln w="19050" cap="rnd">
              <a:solidFill>
                <a:schemeClr val="tx1"/>
              </a:solidFill>
              <a:prstDash val="dash"/>
              <a:round/>
            </a:ln>
            <a:effectLst/>
          </c:spPr>
          <c:marker>
            <c:symbol val="none"/>
          </c:marker>
          <c:cat>
            <c:strRef>
              <c:f>'C'!$A$65:$A$73</c:f>
              <c:strCache>
                <c:ptCount val="9"/>
                <c:pt idx="0">
                  <c:v>Zpracování dřeva, papírenství</c:v>
                </c:pt>
                <c:pt idx="1">
                  <c:v>Chemie a petrochemie</c:v>
                </c:pt>
                <c:pt idx="2">
                  <c:v>Farmaceutický průmysl</c:v>
                </c:pt>
                <c:pt idx="3">
                  <c:v>Výroba gumy a plastů</c:v>
                </c:pt>
                <c:pt idx="4">
                  <c:v>Výroba stavebních materiálů</c:v>
                </c:pt>
                <c:pt idx="5">
                  <c:v>Metalurgie</c:v>
                </c:pt>
                <c:pt idx="6">
                  <c:v>Výroba elektroniky</c:v>
                </c:pt>
                <c:pt idx="7">
                  <c:v>Automotive, strojírenství</c:v>
                </c:pt>
                <c:pt idx="8">
                  <c:v>Výroba kovových výrobků</c:v>
                </c:pt>
              </c:strCache>
            </c:strRef>
          </c:cat>
          <c:val>
            <c:numRef>
              <c:f>'C'!$C$87:$C$95</c:f>
              <c:numCache>
                <c:formatCode>0%</c:formatCode>
                <c:ptCount val="9"/>
                <c:pt idx="0">
                  <c:v>8.3263317487108177E-2</c:v>
                </c:pt>
                <c:pt idx="1">
                  <c:v>9.1781480262290729E-2</c:v>
                </c:pt>
                <c:pt idx="2">
                  <c:v>2.9206577952139573E-2</c:v>
                </c:pt>
                <c:pt idx="3">
                  <c:v>0.10540094239188549</c:v>
                </c:pt>
                <c:pt idx="4">
                  <c:v>6.6316891607358791E-2</c:v>
                </c:pt>
                <c:pt idx="5">
                  <c:v>4.4898464067507214E-2</c:v>
                </c:pt>
                <c:pt idx="6">
                  <c:v>0.13972031063377913</c:v>
                </c:pt>
                <c:pt idx="7">
                  <c:v>0.2796386709178621</c:v>
                </c:pt>
                <c:pt idx="8">
                  <c:v>0.15977334468006871</c:v>
                </c:pt>
              </c:numCache>
            </c:numRef>
          </c:val>
          <c:extLst>
            <c:ext xmlns:c16="http://schemas.microsoft.com/office/drawing/2014/chart" uri="{C3380CC4-5D6E-409C-BE32-E72D297353CC}">
              <c16:uniqueId val="{00000000-3078-4C4C-89A8-18FD03690DD9}"/>
            </c:ext>
          </c:extLst>
        </c:ser>
        <c:ser>
          <c:idx val="0"/>
          <c:order val="1"/>
          <c:tx>
            <c:strRef>
              <c:f>'C'!$F$1</c:f>
              <c:strCache>
                <c:ptCount val="1"/>
                <c:pt idx="0">
                  <c:v>ČR</c:v>
                </c:pt>
              </c:strCache>
            </c:strRef>
          </c:tx>
          <c:spPr>
            <a:ln w="19050" cap="rnd">
              <a:solidFill>
                <a:srgbClr val="C00000"/>
              </a:solidFill>
              <a:round/>
            </a:ln>
            <a:effectLst/>
          </c:spPr>
          <c:marker>
            <c:symbol val="none"/>
          </c:marker>
          <c:cat>
            <c:strRef>
              <c:f>'C'!$A$65:$A$73</c:f>
              <c:strCache>
                <c:ptCount val="9"/>
                <c:pt idx="0">
                  <c:v>Zpracování dřeva, papírenství</c:v>
                </c:pt>
                <c:pt idx="1">
                  <c:v>Chemie a petrochemie</c:v>
                </c:pt>
                <c:pt idx="2">
                  <c:v>Farmaceutický průmysl</c:v>
                </c:pt>
                <c:pt idx="3">
                  <c:v>Výroba gumy a plastů</c:v>
                </c:pt>
                <c:pt idx="4">
                  <c:v>Výroba stavebních materiálů</c:v>
                </c:pt>
                <c:pt idx="5">
                  <c:v>Metalurgie</c:v>
                </c:pt>
                <c:pt idx="6">
                  <c:v>Výroba elektroniky</c:v>
                </c:pt>
                <c:pt idx="7">
                  <c:v>Automotive, strojírenství</c:v>
                </c:pt>
                <c:pt idx="8">
                  <c:v>Výroba kovových výrobků</c:v>
                </c:pt>
              </c:strCache>
            </c:strRef>
          </c:cat>
          <c:val>
            <c:numRef>
              <c:f>'C'!$F$87:$F$95</c:f>
              <c:numCache>
                <c:formatCode>0%</c:formatCode>
                <c:ptCount val="9"/>
                <c:pt idx="0">
                  <c:v>6.1950184951932406E-2</c:v>
                </c:pt>
                <c:pt idx="1">
                  <c:v>3.0483463853472267E-2</c:v>
                </c:pt>
                <c:pt idx="2">
                  <c:v>2.2271398913687439E-2</c:v>
                </c:pt>
                <c:pt idx="3">
                  <c:v>9.4071581127435119E-2</c:v>
                </c:pt>
                <c:pt idx="4">
                  <c:v>6.1444865405774089E-2</c:v>
                </c:pt>
                <c:pt idx="5">
                  <c:v>2.6007776444641372E-2</c:v>
                </c:pt>
                <c:pt idx="6">
                  <c:v>0.18332146786615755</c:v>
                </c:pt>
                <c:pt idx="7">
                  <c:v>0.36726773970318077</c:v>
                </c:pt>
                <c:pt idx="8">
                  <c:v>0.15318152173371902</c:v>
                </c:pt>
              </c:numCache>
            </c:numRef>
          </c:val>
          <c:extLst>
            <c:ext xmlns:c16="http://schemas.microsoft.com/office/drawing/2014/chart" uri="{C3380CC4-5D6E-409C-BE32-E72D297353CC}">
              <c16:uniqueId val="{00000001-3078-4C4C-89A8-18FD03690DD9}"/>
            </c:ext>
          </c:extLst>
        </c:ser>
        <c:ser>
          <c:idx val="1"/>
          <c:order val="2"/>
          <c:tx>
            <c:strRef>
              <c:f>'C'!$K$1</c:f>
              <c:strCache>
                <c:ptCount val="1"/>
                <c:pt idx="0">
                  <c:v>Slovinsko</c:v>
                </c:pt>
              </c:strCache>
            </c:strRef>
          </c:tx>
          <c:spPr>
            <a:ln w="19050" cap="rnd">
              <a:solidFill>
                <a:srgbClr val="0070C0"/>
              </a:solidFill>
              <a:round/>
            </a:ln>
            <a:effectLst/>
          </c:spPr>
          <c:marker>
            <c:symbol val="none"/>
          </c:marker>
          <c:cat>
            <c:strRef>
              <c:f>'C'!$A$65:$A$73</c:f>
              <c:strCache>
                <c:ptCount val="9"/>
                <c:pt idx="0">
                  <c:v>Zpracování dřeva, papírenství</c:v>
                </c:pt>
                <c:pt idx="1">
                  <c:v>Chemie a petrochemie</c:v>
                </c:pt>
                <c:pt idx="2">
                  <c:v>Farmaceutický průmysl</c:v>
                </c:pt>
                <c:pt idx="3">
                  <c:v>Výroba gumy a plastů</c:v>
                </c:pt>
                <c:pt idx="4">
                  <c:v>Výroba stavebních materiálů</c:v>
                </c:pt>
                <c:pt idx="5">
                  <c:v>Metalurgie</c:v>
                </c:pt>
                <c:pt idx="6">
                  <c:v>Výroba elektroniky</c:v>
                </c:pt>
                <c:pt idx="7">
                  <c:v>Automotive, strojírenství</c:v>
                </c:pt>
                <c:pt idx="8">
                  <c:v>Výroba kovových výrobků</c:v>
                </c:pt>
              </c:strCache>
            </c:strRef>
          </c:cat>
          <c:val>
            <c:numRef>
              <c:f>'C'!$K$87:$K$95</c:f>
              <c:numCache>
                <c:formatCode>0%</c:formatCode>
                <c:ptCount val="9"/>
                <c:pt idx="0">
                  <c:v>6.3488705544978027E-2</c:v>
                </c:pt>
                <c:pt idx="1">
                  <c:v>5.6683825776273414E-2</c:v>
                </c:pt>
                <c:pt idx="2">
                  <c:v>0.15538396445948802</c:v>
                </c:pt>
                <c:pt idx="3">
                  <c:v>9.1836494840514302E-2</c:v>
                </c:pt>
                <c:pt idx="4">
                  <c:v>4.4989775051124746E-2</c:v>
                </c:pt>
                <c:pt idx="5">
                  <c:v>5.1101238746679829E-2</c:v>
                </c:pt>
                <c:pt idx="6">
                  <c:v>0.16964012881085019</c:v>
                </c:pt>
                <c:pt idx="7">
                  <c:v>0.19189996004042967</c:v>
                </c:pt>
                <c:pt idx="8">
                  <c:v>0.17497590672966173</c:v>
                </c:pt>
              </c:numCache>
            </c:numRef>
          </c:val>
          <c:extLst>
            <c:ext xmlns:c16="http://schemas.microsoft.com/office/drawing/2014/chart" uri="{C3380CC4-5D6E-409C-BE32-E72D297353CC}">
              <c16:uniqueId val="{00000002-3078-4C4C-89A8-18FD03690DD9}"/>
            </c:ext>
          </c:extLst>
        </c:ser>
        <c:dLbls>
          <c:showLegendKey val="0"/>
          <c:showVal val="0"/>
          <c:showCatName val="0"/>
          <c:showSerName val="0"/>
          <c:showPercent val="0"/>
          <c:showBubbleSize val="0"/>
        </c:dLbls>
        <c:axId val="1592727007"/>
        <c:axId val="1592713279"/>
      </c:radarChart>
      <c:catAx>
        <c:axId val="1592727007"/>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mn-lt"/>
                <a:ea typeface="+mn-ea"/>
                <a:cs typeface="+mn-cs"/>
              </a:defRPr>
            </a:pPr>
            <a:endParaRPr lang="cs-CZ"/>
          </a:p>
        </c:txPr>
        <c:crossAx val="1592713279"/>
        <c:crosses val="autoZero"/>
        <c:auto val="1"/>
        <c:lblAlgn val="ctr"/>
        <c:lblOffset val="100"/>
        <c:noMultiLvlLbl val="0"/>
      </c:catAx>
      <c:valAx>
        <c:axId val="1592713279"/>
        <c:scaling>
          <c:orientation val="minMax"/>
        </c:scaling>
        <c:delete val="0"/>
        <c:axPos val="l"/>
        <c:majorGridlines>
          <c:spPr>
            <a:ln w="6350" cap="flat" cmpd="sng" algn="ctr">
              <a:solidFill>
                <a:schemeClr val="tx1">
                  <a:lumMod val="15000"/>
                  <a:lumOff val="85000"/>
                </a:schemeClr>
              </a:solidFill>
              <a:round/>
            </a:ln>
            <a:effectLst/>
          </c:spPr>
        </c:majorGridlines>
        <c:numFmt formatCode="0%" sourceLinked="1"/>
        <c:majorTickMark val="none"/>
        <c:minorTickMark val="none"/>
        <c:tickLblPos val="high"/>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mn-lt"/>
                <a:ea typeface="+mn-ea"/>
                <a:cs typeface="+mn-cs"/>
              </a:defRPr>
            </a:pPr>
            <a:endParaRPr lang="cs-CZ"/>
          </a:p>
        </c:txPr>
        <c:crossAx val="1592727007"/>
        <c:crosses val="autoZero"/>
        <c:crossBetween val="between"/>
      </c:valAx>
      <c:spPr>
        <a:noFill/>
        <a:ln>
          <a:noFill/>
        </a:ln>
        <a:effectLst/>
      </c:spPr>
    </c:plotArea>
    <c:legend>
      <c:legendPos val="r"/>
      <c:layout>
        <c:manualLayout>
          <c:xMode val="edge"/>
          <c:yMode val="edge"/>
          <c:x val="0.64113238967527064"/>
          <c:y val="1.6898542243030432E-2"/>
          <c:w val="0.32202790325647263"/>
          <c:h val="0.18249430906444755"/>
        </c:manualLayout>
      </c:layout>
      <c:overlay val="0"/>
      <c:spPr>
        <a:noFill/>
        <a:ln>
          <a:solidFill>
            <a:schemeClr val="tx1"/>
          </a:solidFill>
        </a:ln>
        <a:effectLst/>
      </c:spPr>
      <c:txPr>
        <a:bodyPr rot="0" spcFirstLastPara="1" vertOverflow="ellipsis" vert="horz" wrap="square" anchor="ctr" anchorCtr="1"/>
        <a:lstStyle/>
        <a:p>
          <a:pPr>
            <a:defRPr sz="800" b="0" i="0" u="none" strike="noStrike" kern="1200" baseline="0">
              <a:solidFill>
                <a:sysClr val="windowText" lastClr="000000"/>
              </a:solidFill>
              <a:latin typeface="+mn-lt"/>
              <a:ea typeface="+mn-ea"/>
              <a:cs typeface="+mn-cs"/>
            </a:defRPr>
          </a:pPr>
          <a:endParaRPr lang="cs-CZ"/>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cs-CZ"/>
    </a:p>
  </c:txPr>
  <c:externalData r:id="rId3">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1059229948701607"/>
          <c:y val="5.5357083861020867E-2"/>
          <c:w val="0.86283101627473624"/>
          <c:h val="0.55902166640934592"/>
        </c:manualLayout>
      </c:layout>
      <c:barChart>
        <c:barDir val="col"/>
        <c:grouping val="clustered"/>
        <c:varyColors val="0"/>
        <c:ser>
          <c:idx val="3"/>
          <c:order val="0"/>
          <c:tx>
            <c:strRef>
              <c:f>'GNI na osobu'!$I$8</c:f>
              <c:strCache>
                <c:ptCount val="1"/>
                <c:pt idx="0">
                  <c:v>2022</c:v>
                </c:pt>
              </c:strCache>
            </c:strRef>
          </c:tx>
          <c:spPr>
            <a:solidFill>
              <a:schemeClr val="accent2"/>
            </a:solidFill>
            <a:ln>
              <a:noFill/>
            </a:ln>
            <a:effectLst/>
          </c:spPr>
          <c:invertIfNegative val="0"/>
          <c:dPt>
            <c:idx val="15"/>
            <c:invertIfNegative val="0"/>
            <c:bubble3D val="0"/>
            <c:spPr>
              <a:solidFill>
                <a:schemeClr val="accent6"/>
              </a:solidFill>
              <a:ln>
                <a:noFill/>
              </a:ln>
              <a:effectLst/>
            </c:spPr>
            <c:extLst>
              <c:ext xmlns:c16="http://schemas.microsoft.com/office/drawing/2014/chart" uri="{C3380CC4-5D6E-409C-BE32-E72D297353CC}">
                <c16:uniqueId val="{00000001-9AD2-4DFD-A4FF-679E6D8F345B}"/>
              </c:ext>
            </c:extLst>
          </c:dPt>
          <c:cat>
            <c:strRef>
              <c:f>'GNI na osobu'!$A$9:$A$36</c:f>
              <c:strCache>
                <c:ptCount val="28"/>
                <c:pt idx="0">
                  <c:v>Lucembursko</c:v>
                </c:pt>
                <c:pt idx="1">
                  <c:v>Irsko</c:v>
                </c:pt>
                <c:pt idx="2">
                  <c:v>Dánsko</c:v>
                </c:pt>
                <c:pt idx="3">
                  <c:v>Holandsko</c:v>
                </c:pt>
                <c:pt idx="4">
                  <c:v>Rakousko</c:v>
                </c:pt>
                <c:pt idx="5">
                  <c:v>Švédsko</c:v>
                </c:pt>
                <c:pt idx="6">
                  <c:v>Belgie</c:v>
                </c:pt>
                <c:pt idx="7">
                  <c:v>Německo</c:v>
                </c:pt>
                <c:pt idx="8">
                  <c:v>Finsko</c:v>
                </c:pt>
                <c:pt idx="9">
                  <c:v>Francie</c:v>
                </c:pt>
                <c:pt idx="10">
                  <c:v>EU27</c:v>
                </c:pt>
                <c:pt idx="11">
                  <c:v>Itálie</c:v>
                </c:pt>
                <c:pt idx="12">
                  <c:v>Malta</c:v>
                </c:pt>
                <c:pt idx="13">
                  <c:v>Slovinsko</c:v>
                </c:pt>
                <c:pt idx="14">
                  <c:v>Kypr</c:v>
                </c:pt>
                <c:pt idx="15">
                  <c:v>Česko</c:v>
                </c:pt>
                <c:pt idx="16">
                  <c:v>Litva</c:v>
                </c:pt>
                <c:pt idx="17">
                  <c:v>Španělsko</c:v>
                </c:pt>
                <c:pt idx="18">
                  <c:v>Estonsko</c:v>
                </c:pt>
                <c:pt idx="19">
                  <c:v>Portugalsko</c:v>
                </c:pt>
                <c:pt idx="20">
                  <c:v>Polsko</c:v>
                </c:pt>
                <c:pt idx="21">
                  <c:v>Maďarsko</c:v>
                </c:pt>
                <c:pt idx="22">
                  <c:v>Rumunsko</c:v>
                </c:pt>
                <c:pt idx="23">
                  <c:v>Chorvatsko</c:v>
                </c:pt>
                <c:pt idx="24">
                  <c:v>Lotyšsko</c:v>
                </c:pt>
                <c:pt idx="25">
                  <c:v>Slovensko</c:v>
                </c:pt>
                <c:pt idx="26">
                  <c:v>Řecko</c:v>
                </c:pt>
                <c:pt idx="27">
                  <c:v>Bulharsko</c:v>
                </c:pt>
              </c:strCache>
            </c:strRef>
          </c:cat>
          <c:val>
            <c:numRef>
              <c:f>'GNI na osobu'!$I$9:$I$36</c:f>
              <c:numCache>
                <c:formatCode>#\ ##0.0</c:formatCode>
                <c:ptCount val="28"/>
                <c:pt idx="0">
                  <c:v>172.81509646528659</c:v>
                </c:pt>
                <c:pt idx="1">
                  <c:v>168.75651316715957</c:v>
                </c:pt>
                <c:pt idx="2">
                  <c:v>141.46176594845795</c:v>
                </c:pt>
                <c:pt idx="3">
                  <c:v>129.41275876637093</c:v>
                </c:pt>
                <c:pt idx="4">
                  <c:v>124.09801436417408</c:v>
                </c:pt>
                <c:pt idx="5">
                  <c:v>123.96563864244472</c:v>
                </c:pt>
                <c:pt idx="6">
                  <c:v>121.46458245317562</c:v>
                </c:pt>
                <c:pt idx="7">
                  <c:v>121.23081256161103</c:v>
                </c:pt>
                <c:pt idx="8">
                  <c:v>110.96465286579355</c:v>
                </c:pt>
                <c:pt idx="9">
                  <c:v>102.32924940149275</c:v>
                </c:pt>
                <c:pt idx="10">
                  <c:v>100</c:v>
                </c:pt>
                <c:pt idx="11">
                  <c:v>97.99183213631882</c:v>
                </c:pt>
                <c:pt idx="12">
                  <c:v>92.533445993522037</c:v>
                </c:pt>
                <c:pt idx="13">
                  <c:v>87.84959864807773</c:v>
                </c:pt>
                <c:pt idx="14">
                  <c:v>87.137022954513441</c:v>
                </c:pt>
                <c:pt idx="15">
                  <c:v>86.182227855231659</c:v>
                </c:pt>
                <c:pt idx="16">
                  <c:v>86.108998732572871</c:v>
                </c:pt>
                <c:pt idx="17">
                  <c:v>85.98225602027884</c:v>
                </c:pt>
                <c:pt idx="18">
                  <c:v>82.957329953527676</c:v>
                </c:pt>
                <c:pt idx="19">
                  <c:v>77.68201661737784</c:v>
                </c:pt>
                <c:pt idx="20">
                  <c:v>76.515983664272639</c:v>
                </c:pt>
                <c:pt idx="21">
                  <c:v>73.795240107027183</c:v>
                </c:pt>
                <c:pt idx="22">
                  <c:v>73.282636248415713</c:v>
                </c:pt>
                <c:pt idx="23">
                  <c:v>72.744683847345442</c:v>
                </c:pt>
                <c:pt idx="24">
                  <c:v>71.573017884804955</c:v>
                </c:pt>
                <c:pt idx="25">
                  <c:v>69.928179129700041</c:v>
                </c:pt>
                <c:pt idx="26">
                  <c:v>66.562455992113783</c:v>
                </c:pt>
                <c:pt idx="27">
                  <c:v>60.101394169835231</c:v>
                </c:pt>
              </c:numCache>
            </c:numRef>
          </c:val>
          <c:extLst>
            <c:ext xmlns:c16="http://schemas.microsoft.com/office/drawing/2014/chart" uri="{C3380CC4-5D6E-409C-BE32-E72D297353CC}">
              <c16:uniqueId val="{00000002-9AD2-4DFD-A4FF-679E6D8F345B}"/>
            </c:ext>
          </c:extLst>
        </c:ser>
        <c:dLbls>
          <c:showLegendKey val="0"/>
          <c:showVal val="0"/>
          <c:showCatName val="0"/>
          <c:showSerName val="0"/>
          <c:showPercent val="0"/>
          <c:showBubbleSize val="0"/>
        </c:dLbls>
        <c:gapWidth val="150"/>
        <c:axId val="1267122432"/>
        <c:axId val="1267123264"/>
      </c:barChart>
      <c:lineChart>
        <c:grouping val="standard"/>
        <c:varyColors val="0"/>
        <c:ser>
          <c:idx val="0"/>
          <c:order val="1"/>
          <c:tx>
            <c:strRef>
              <c:f>'GNI na osobu'!$F$8</c:f>
              <c:strCache>
                <c:ptCount val="1"/>
                <c:pt idx="0">
                  <c:v>2019</c:v>
                </c:pt>
              </c:strCache>
            </c:strRef>
          </c:tx>
          <c:spPr>
            <a:ln w="28575" cap="rnd">
              <a:noFill/>
              <a:round/>
            </a:ln>
            <a:effectLst/>
          </c:spPr>
          <c:marker>
            <c:symbol val="circle"/>
            <c:size val="4"/>
            <c:spPr>
              <a:solidFill>
                <a:schemeClr val="accent1"/>
              </a:solidFill>
              <a:ln w="9525">
                <a:solidFill>
                  <a:schemeClr val="accent1"/>
                </a:solidFill>
              </a:ln>
              <a:effectLst/>
            </c:spPr>
          </c:marker>
          <c:cat>
            <c:strRef>
              <c:f>'GNI na osobu'!$A$9:$A$36</c:f>
              <c:strCache>
                <c:ptCount val="28"/>
                <c:pt idx="0">
                  <c:v>Lucembursko</c:v>
                </c:pt>
                <c:pt idx="1">
                  <c:v>Irsko</c:v>
                </c:pt>
                <c:pt idx="2">
                  <c:v>Dánsko</c:v>
                </c:pt>
                <c:pt idx="3">
                  <c:v>Holandsko</c:v>
                </c:pt>
                <c:pt idx="4">
                  <c:v>Rakousko</c:v>
                </c:pt>
                <c:pt idx="5">
                  <c:v>Švédsko</c:v>
                </c:pt>
                <c:pt idx="6">
                  <c:v>Belgie</c:v>
                </c:pt>
                <c:pt idx="7">
                  <c:v>Německo</c:v>
                </c:pt>
                <c:pt idx="8">
                  <c:v>Finsko</c:v>
                </c:pt>
                <c:pt idx="9">
                  <c:v>Francie</c:v>
                </c:pt>
                <c:pt idx="10">
                  <c:v>EU27</c:v>
                </c:pt>
                <c:pt idx="11">
                  <c:v>Itálie</c:v>
                </c:pt>
                <c:pt idx="12">
                  <c:v>Malta</c:v>
                </c:pt>
                <c:pt idx="13">
                  <c:v>Slovinsko</c:v>
                </c:pt>
                <c:pt idx="14">
                  <c:v>Kypr</c:v>
                </c:pt>
                <c:pt idx="15">
                  <c:v>Česko</c:v>
                </c:pt>
                <c:pt idx="16">
                  <c:v>Litva</c:v>
                </c:pt>
                <c:pt idx="17">
                  <c:v>Španělsko</c:v>
                </c:pt>
                <c:pt idx="18">
                  <c:v>Estonsko</c:v>
                </c:pt>
                <c:pt idx="19">
                  <c:v>Portugalsko</c:v>
                </c:pt>
                <c:pt idx="20">
                  <c:v>Polsko</c:v>
                </c:pt>
                <c:pt idx="21">
                  <c:v>Maďarsko</c:v>
                </c:pt>
                <c:pt idx="22">
                  <c:v>Rumunsko</c:v>
                </c:pt>
                <c:pt idx="23">
                  <c:v>Chorvatsko</c:v>
                </c:pt>
                <c:pt idx="24">
                  <c:v>Lotyšsko</c:v>
                </c:pt>
                <c:pt idx="25">
                  <c:v>Slovensko</c:v>
                </c:pt>
                <c:pt idx="26">
                  <c:v>Řecko</c:v>
                </c:pt>
                <c:pt idx="27">
                  <c:v>Bulharsko</c:v>
                </c:pt>
              </c:strCache>
            </c:strRef>
          </c:cat>
          <c:val>
            <c:numRef>
              <c:f>'GNI na osobu'!$F$9:$F$36</c:f>
              <c:numCache>
                <c:formatCode>#\ ##0.0</c:formatCode>
                <c:ptCount val="28"/>
                <c:pt idx="0">
                  <c:v>172.32946414374305</c:v>
                </c:pt>
                <c:pt idx="1">
                  <c:v>146.53840038161869</c:v>
                </c:pt>
                <c:pt idx="2">
                  <c:v>130.03021148036254</c:v>
                </c:pt>
                <c:pt idx="3">
                  <c:v>123.95293369375099</c:v>
                </c:pt>
                <c:pt idx="4">
                  <c:v>125.19001431070123</c:v>
                </c:pt>
                <c:pt idx="5">
                  <c:v>122.16568611861982</c:v>
                </c:pt>
                <c:pt idx="6">
                  <c:v>118.46398473525204</c:v>
                </c:pt>
                <c:pt idx="7">
                  <c:v>125.15503259659724</c:v>
                </c:pt>
                <c:pt idx="8">
                  <c:v>109.49276514549213</c:v>
                </c:pt>
                <c:pt idx="9">
                  <c:v>108.28430593099061</c:v>
                </c:pt>
                <c:pt idx="10">
                  <c:v>100</c:v>
                </c:pt>
                <c:pt idx="11">
                  <c:v>97.058355859437114</c:v>
                </c:pt>
                <c:pt idx="12">
                  <c:v>94.797265065988228</c:v>
                </c:pt>
                <c:pt idx="13">
                  <c:v>86.761011289553196</c:v>
                </c:pt>
                <c:pt idx="14">
                  <c:v>87.59103196056607</c:v>
                </c:pt>
                <c:pt idx="15">
                  <c:v>87.358880585148668</c:v>
                </c:pt>
                <c:pt idx="16">
                  <c:v>81.157576721259346</c:v>
                </c:pt>
                <c:pt idx="17">
                  <c:v>90.850691683892521</c:v>
                </c:pt>
                <c:pt idx="18">
                  <c:v>81.081252981396091</c:v>
                </c:pt>
                <c:pt idx="19">
                  <c:v>76.384162823978372</c:v>
                </c:pt>
                <c:pt idx="20">
                  <c:v>70.01431070122436</c:v>
                </c:pt>
                <c:pt idx="21">
                  <c:v>70.917474956272855</c:v>
                </c:pt>
                <c:pt idx="22">
                  <c:v>68.421052631578945</c:v>
                </c:pt>
                <c:pt idx="23">
                  <c:v>67.203052949594536</c:v>
                </c:pt>
                <c:pt idx="24">
                  <c:v>68.007632373986326</c:v>
                </c:pt>
                <c:pt idx="25">
                  <c:v>68.659564318651604</c:v>
                </c:pt>
                <c:pt idx="26">
                  <c:v>64.913340753696929</c:v>
                </c:pt>
                <c:pt idx="27">
                  <c:v>51.400858642073466</c:v>
                </c:pt>
              </c:numCache>
            </c:numRef>
          </c:val>
          <c:smooth val="0"/>
          <c:extLst>
            <c:ext xmlns:c16="http://schemas.microsoft.com/office/drawing/2014/chart" uri="{C3380CC4-5D6E-409C-BE32-E72D297353CC}">
              <c16:uniqueId val="{00000003-9AD2-4DFD-A4FF-679E6D8F345B}"/>
            </c:ext>
          </c:extLst>
        </c:ser>
        <c:dLbls>
          <c:showLegendKey val="0"/>
          <c:showVal val="0"/>
          <c:showCatName val="0"/>
          <c:showSerName val="0"/>
          <c:showPercent val="0"/>
          <c:showBubbleSize val="0"/>
        </c:dLbls>
        <c:marker val="1"/>
        <c:smooth val="0"/>
        <c:axId val="1267122432"/>
        <c:axId val="1267123264"/>
      </c:lineChart>
      <c:catAx>
        <c:axId val="1267122432"/>
        <c:scaling>
          <c:orientation val="minMax"/>
        </c:scaling>
        <c:delete val="0"/>
        <c:axPos val="b"/>
        <c:numFmt formatCode="General" sourceLinked="1"/>
        <c:majorTickMark val="none"/>
        <c:minorTickMark val="none"/>
        <c:tickLblPos val="nextTo"/>
        <c:spPr>
          <a:noFill/>
          <a:ln w="6350" cap="flat" cmpd="sng" algn="ctr">
            <a:solidFill>
              <a:schemeClr val="tx1"/>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mn-lt"/>
                <a:ea typeface="+mn-ea"/>
                <a:cs typeface="+mn-cs"/>
              </a:defRPr>
            </a:pPr>
            <a:endParaRPr lang="cs-CZ"/>
          </a:p>
        </c:txPr>
        <c:crossAx val="1267123264"/>
        <c:crosses val="autoZero"/>
        <c:auto val="1"/>
        <c:lblAlgn val="ctr"/>
        <c:lblOffset val="100"/>
        <c:tickLblSkip val="1"/>
        <c:noMultiLvlLbl val="0"/>
      </c:catAx>
      <c:valAx>
        <c:axId val="1267123264"/>
        <c:scaling>
          <c:orientation val="minMax"/>
          <c:max val="180"/>
        </c:scaling>
        <c:delete val="0"/>
        <c:axPos val="l"/>
        <c:majorGridlines>
          <c:spPr>
            <a:ln w="6350" cap="flat" cmpd="sng" algn="ctr">
              <a:solidFill>
                <a:schemeClr val="tx1"/>
              </a:solidFill>
              <a:prstDash val="dash"/>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mn-lt"/>
                <a:ea typeface="+mn-ea"/>
                <a:cs typeface="+mn-cs"/>
              </a:defRPr>
            </a:pPr>
            <a:endParaRPr lang="cs-CZ"/>
          </a:p>
        </c:txPr>
        <c:crossAx val="1267122432"/>
        <c:crosses val="autoZero"/>
        <c:crossBetween val="between"/>
      </c:valAx>
      <c:spPr>
        <a:noFill/>
        <a:ln>
          <a:noFill/>
        </a:ln>
        <a:effectLst/>
      </c:spPr>
    </c:plotArea>
    <c:legend>
      <c:legendPos val="b"/>
      <c:layout>
        <c:manualLayout>
          <c:xMode val="edge"/>
          <c:yMode val="edge"/>
          <c:x val="0.65351895424836604"/>
          <c:y val="5.9826158998029746E-2"/>
          <c:w val="0.24910588235294118"/>
          <c:h val="6.9263142505064851E-2"/>
        </c:manualLayout>
      </c:layout>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mn-lt"/>
              <a:ea typeface="+mn-ea"/>
              <a:cs typeface="+mn-cs"/>
            </a:defRPr>
          </a:pPr>
          <a:endParaRPr lang="cs-CZ"/>
        </a:p>
      </c:txPr>
    </c:legend>
    <c:plotVisOnly val="1"/>
    <c:dispBlanksAs val="gap"/>
    <c:showDLblsOverMax val="0"/>
  </c:chart>
  <c:spPr>
    <a:solidFill>
      <a:schemeClr val="bg1"/>
    </a:solidFill>
    <a:ln w="9525" cap="flat" cmpd="sng" algn="ctr">
      <a:noFill/>
      <a:round/>
    </a:ln>
    <a:effectLst/>
  </c:spPr>
  <c:txPr>
    <a:bodyPr/>
    <a:lstStyle/>
    <a:p>
      <a:pPr>
        <a:defRPr sz="800">
          <a:solidFill>
            <a:sysClr val="windowText" lastClr="000000"/>
          </a:solidFill>
        </a:defRPr>
      </a:pPr>
      <a:endParaRPr lang="cs-CZ"/>
    </a:p>
  </c:txPr>
  <c:externalData r:id="rId3">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7653594771241831E-2"/>
          <c:y val="5.0925925925925923E-2"/>
          <c:w val="0.88989542483660133"/>
          <c:h val="0.58337692329094903"/>
        </c:manualLayout>
      </c:layout>
      <c:barChart>
        <c:barDir val="col"/>
        <c:grouping val="clustered"/>
        <c:varyColors val="0"/>
        <c:ser>
          <c:idx val="1"/>
          <c:order val="1"/>
          <c:tx>
            <c:strRef>
              <c:f>REG_HDP_PPS_CZ!$C$15</c:f>
              <c:strCache>
                <c:ptCount val="1"/>
                <c:pt idx="0">
                  <c:v>2022</c:v>
                </c:pt>
              </c:strCache>
            </c:strRef>
          </c:tx>
          <c:spPr>
            <a:solidFill>
              <a:schemeClr val="accent2"/>
            </a:solidFill>
            <a:ln>
              <a:noFill/>
            </a:ln>
            <a:effectLst/>
          </c:spPr>
          <c:invertIfNegative val="0"/>
          <c:dLbls>
            <c:dLbl>
              <c:idx val="0"/>
              <c:dLblPos val="ctr"/>
              <c:showLegendKey val="0"/>
              <c:showVal val="1"/>
              <c:showCatName val="0"/>
              <c:showSerName val="0"/>
              <c:showPercent val="0"/>
              <c:showBubbleSize val="0"/>
              <c:extLst xmlns:c15="http://schemas.microsoft.com/office/drawing/2012/chart">
                <c:ext xmlns:c15="http://schemas.microsoft.com/office/drawing/2012/chart" uri="{CE6537A1-D6FC-4f65-9D91-7224C49458BB}"/>
                <c:ext xmlns:c16="http://schemas.microsoft.com/office/drawing/2014/chart" uri="{C3380CC4-5D6E-409C-BE32-E72D297353CC}">
                  <c16:uniqueId val="{00000000-3CB8-4625-ADBE-F7095C40CE55}"/>
                </c:ext>
              </c:extLst>
            </c:dLbl>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mn-lt"/>
                    <a:ea typeface="+mn-ea"/>
                    <a:cs typeface="+mn-cs"/>
                  </a:defRPr>
                </a:pPr>
                <a:endParaRPr lang="cs-CZ"/>
              </a:p>
            </c:txPr>
            <c:dLblPos val="ct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REG_HDP_PPS_CZ!$A$16:$A$29</c:f>
              <c:strCache>
                <c:ptCount val="14"/>
                <c:pt idx="0">
                  <c:v>Hlavní město Praha</c:v>
                </c:pt>
                <c:pt idx="1">
                  <c:v>Jihomoravský kraj</c:v>
                </c:pt>
                <c:pt idx="2">
                  <c:v>Středočeský kraj</c:v>
                </c:pt>
                <c:pt idx="3">
                  <c:v>Plzeňský kraj</c:v>
                </c:pt>
                <c:pt idx="4">
                  <c:v>Královéhradecký kraj</c:v>
                </c:pt>
                <c:pt idx="5">
                  <c:v>Zlínský kraj</c:v>
                </c:pt>
                <c:pt idx="6">
                  <c:v>Pardubický kraj</c:v>
                </c:pt>
                <c:pt idx="7">
                  <c:v>Olomoucký kraj</c:v>
                </c:pt>
                <c:pt idx="8">
                  <c:v>Moravskoslezský kraj</c:v>
                </c:pt>
                <c:pt idx="9">
                  <c:v>Jihočeský kraj</c:v>
                </c:pt>
                <c:pt idx="10">
                  <c:v>Kraj Vysočina</c:v>
                </c:pt>
                <c:pt idx="11">
                  <c:v>Liberecký kraj</c:v>
                </c:pt>
                <c:pt idx="12">
                  <c:v>Ústecký kraj</c:v>
                </c:pt>
                <c:pt idx="13">
                  <c:v>Karlovarský kraj</c:v>
                </c:pt>
              </c:strCache>
            </c:strRef>
          </c:cat>
          <c:val>
            <c:numRef>
              <c:f>REG_HDP_PPS_CZ!$C$16:$C$29</c:f>
              <c:numCache>
                <c:formatCode>###\ ###\ ##0.0</c:formatCode>
                <c:ptCount val="14"/>
                <c:pt idx="0">
                  <c:v>207</c:v>
                </c:pt>
                <c:pt idx="1">
                  <c:v>89</c:v>
                </c:pt>
                <c:pt idx="2">
                  <c:v>79.400000000000006</c:v>
                </c:pt>
                <c:pt idx="3">
                  <c:v>78.8</c:v>
                </c:pt>
                <c:pt idx="4">
                  <c:v>77.3</c:v>
                </c:pt>
                <c:pt idx="5">
                  <c:v>74.7</c:v>
                </c:pt>
                <c:pt idx="6">
                  <c:v>73.099999999999994</c:v>
                </c:pt>
                <c:pt idx="7">
                  <c:v>71.7</c:v>
                </c:pt>
                <c:pt idx="8">
                  <c:v>71.2</c:v>
                </c:pt>
                <c:pt idx="9">
                  <c:v>68.400000000000006</c:v>
                </c:pt>
                <c:pt idx="10">
                  <c:v>67.5</c:v>
                </c:pt>
                <c:pt idx="11">
                  <c:v>65.2</c:v>
                </c:pt>
                <c:pt idx="12">
                  <c:v>62.8</c:v>
                </c:pt>
                <c:pt idx="13">
                  <c:v>53.8</c:v>
                </c:pt>
              </c:numCache>
            </c:numRef>
          </c:val>
          <c:extLst>
            <c:ext xmlns:c16="http://schemas.microsoft.com/office/drawing/2014/chart" uri="{C3380CC4-5D6E-409C-BE32-E72D297353CC}">
              <c16:uniqueId val="{00000001-3CB8-4625-ADBE-F7095C40CE55}"/>
            </c:ext>
          </c:extLst>
        </c:ser>
        <c:dLbls>
          <c:showLegendKey val="0"/>
          <c:showVal val="0"/>
          <c:showCatName val="0"/>
          <c:showSerName val="0"/>
          <c:showPercent val="0"/>
          <c:showBubbleSize val="0"/>
        </c:dLbls>
        <c:gapWidth val="219"/>
        <c:axId val="1241238976"/>
        <c:axId val="1241237728"/>
      </c:barChart>
      <c:lineChart>
        <c:grouping val="standard"/>
        <c:varyColors val="0"/>
        <c:ser>
          <c:idx val="0"/>
          <c:order val="0"/>
          <c:tx>
            <c:strRef>
              <c:f>REG_HDP_PPS_CZ!$B$15</c:f>
              <c:strCache>
                <c:ptCount val="1"/>
                <c:pt idx="0">
                  <c:v>2012</c:v>
                </c:pt>
              </c:strCache>
            </c:strRef>
          </c:tx>
          <c:spPr>
            <a:ln w="28575" cap="rnd">
              <a:noFill/>
              <a:round/>
            </a:ln>
            <a:effectLst/>
          </c:spPr>
          <c:marker>
            <c:symbol val="circle"/>
            <c:size val="4"/>
            <c:spPr>
              <a:solidFill>
                <a:schemeClr val="accent1"/>
              </a:solidFill>
              <a:ln w="9525">
                <a:solidFill>
                  <a:schemeClr val="accent1"/>
                </a:solidFill>
              </a:ln>
              <a:effectLst/>
            </c:spPr>
          </c:marker>
          <c:dLbls>
            <c:dLbl>
              <c:idx val="0"/>
              <c:dLblPos val="b"/>
              <c:showLegendKey val="0"/>
              <c:showVal val="1"/>
              <c:showCatName val="0"/>
              <c:showSerName val="0"/>
              <c:showPercent val="0"/>
              <c:showBubbleSize val="0"/>
              <c:extLst xmlns:c15="http://schemas.microsoft.com/office/drawing/2012/chart">
                <c:ext xmlns:c15="http://schemas.microsoft.com/office/drawing/2012/chart" uri="{CE6537A1-D6FC-4f65-9D91-7224C49458BB}"/>
                <c:ext xmlns:c16="http://schemas.microsoft.com/office/drawing/2014/chart" uri="{C3380CC4-5D6E-409C-BE32-E72D297353CC}">
                  <c16:uniqueId val="{00000002-3CB8-4625-ADBE-F7095C40CE55}"/>
                </c:ext>
              </c:extLst>
            </c:dLbl>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mn-lt"/>
                    <a:ea typeface="+mn-ea"/>
                    <a:cs typeface="+mn-cs"/>
                  </a:defRPr>
                </a:pPr>
                <a:endParaRPr lang="cs-CZ"/>
              </a:p>
            </c:txPr>
            <c:dLblPos val="b"/>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REG_HDP_PPS_CZ!$A$16:$A$29</c:f>
              <c:strCache>
                <c:ptCount val="14"/>
                <c:pt idx="0">
                  <c:v>Hlavní město Praha</c:v>
                </c:pt>
                <c:pt idx="1">
                  <c:v>Jihomoravský kraj</c:v>
                </c:pt>
                <c:pt idx="2">
                  <c:v>Středočeský kraj</c:v>
                </c:pt>
                <c:pt idx="3">
                  <c:v>Plzeňský kraj</c:v>
                </c:pt>
                <c:pt idx="4">
                  <c:v>Královéhradecký kraj</c:v>
                </c:pt>
                <c:pt idx="5">
                  <c:v>Zlínský kraj</c:v>
                </c:pt>
                <c:pt idx="6">
                  <c:v>Pardubický kraj</c:v>
                </c:pt>
                <c:pt idx="7">
                  <c:v>Olomoucký kraj</c:v>
                </c:pt>
                <c:pt idx="8">
                  <c:v>Moravskoslezský kraj</c:v>
                </c:pt>
                <c:pt idx="9">
                  <c:v>Jihočeský kraj</c:v>
                </c:pt>
                <c:pt idx="10">
                  <c:v>Kraj Vysočina</c:v>
                </c:pt>
                <c:pt idx="11">
                  <c:v>Liberecký kraj</c:v>
                </c:pt>
                <c:pt idx="12">
                  <c:v>Ústecký kraj</c:v>
                </c:pt>
                <c:pt idx="13">
                  <c:v>Karlovarský kraj</c:v>
                </c:pt>
              </c:strCache>
            </c:strRef>
          </c:cat>
          <c:val>
            <c:numRef>
              <c:f>REG_HDP_PPS_CZ!$B$16:$B$29</c:f>
              <c:numCache>
                <c:formatCode>###\ ###\ ##0.0</c:formatCode>
                <c:ptCount val="14"/>
                <c:pt idx="0">
                  <c:v>185</c:v>
                </c:pt>
                <c:pt idx="1">
                  <c:v>79.400000000000006</c:v>
                </c:pt>
                <c:pt idx="2">
                  <c:v>75.900000000000006</c:v>
                </c:pt>
                <c:pt idx="3">
                  <c:v>74.5</c:v>
                </c:pt>
                <c:pt idx="4">
                  <c:v>70</c:v>
                </c:pt>
                <c:pt idx="5">
                  <c:v>69.5</c:v>
                </c:pt>
                <c:pt idx="6">
                  <c:v>64.8</c:v>
                </c:pt>
                <c:pt idx="7">
                  <c:v>63.2</c:v>
                </c:pt>
                <c:pt idx="8">
                  <c:v>70.599999999999994</c:v>
                </c:pt>
                <c:pt idx="9">
                  <c:v>69.599999999999994</c:v>
                </c:pt>
                <c:pt idx="10">
                  <c:v>69.2</c:v>
                </c:pt>
                <c:pt idx="11">
                  <c:v>63.8</c:v>
                </c:pt>
                <c:pt idx="12">
                  <c:v>63.8</c:v>
                </c:pt>
                <c:pt idx="13">
                  <c:v>57.7</c:v>
                </c:pt>
              </c:numCache>
            </c:numRef>
          </c:val>
          <c:smooth val="0"/>
          <c:extLst>
            <c:ext xmlns:c16="http://schemas.microsoft.com/office/drawing/2014/chart" uri="{C3380CC4-5D6E-409C-BE32-E72D297353CC}">
              <c16:uniqueId val="{00000003-3CB8-4625-ADBE-F7095C40CE55}"/>
            </c:ext>
          </c:extLst>
        </c:ser>
        <c:dLbls>
          <c:showLegendKey val="0"/>
          <c:showVal val="0"/>
          <c:showCatName val="0"/>
          <c:showSerName val="0"/>
          <c:showPercent val="0"/>
          <c:showBubbleSize val="0"/>
        </c:dLbls>
        <c:marker val="1"/>
        <c:smooth val="0"/>
        <c:axId val="1241238976"/>
        <c:axId val="1241237728"/>
      </c:lineChart>
      <c:catAx>
        <c:axId val="1241238976"/>
        <c:scaling>
          <c:orientation val="minMax"/>
        </c:scaling>
        <c:delete val="0"/>
        <c:axPos val="b"/>
        <c:numFmt formatCode="General" sourceLinked="1"/>
        <c:majorTickMark val="none"/>
        <c:minorTickMark val="none"/>
        <c:tickLblPos val="nextTo"/>
        <c:spPr>
          <a:noFill/>
          <a:ln w="6350" cap="flat" cmpd="sng" algn="ctr">
            <a:solidFill>
              <a:schemeClr val="tx1"/>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mn-lt"/>
                <a:ea typeface="+mn-ea"/>
                <a:cs typeface="+mn-cs"/>
              </a:defRPr>
            </a:pPr>
            <a:endParaRPr lang="cs-CZ"/>
          </a:p>
        </c:txPr>
        <c:crossAx val="1241237728"/>
        <c:crosses val="autoZero"/>
        <c:auto val="1"/>
        <c:lblAlgn val="ctr"/>
        <c:lblOffset val="100"/>
        <c:noMultiLvlLbl val="0"/>
      </c:catAx>
      <c:valAx>
        <c:axId val="1241237728"/>
        <c:scaling>
          <c:orientation val="minMax"/>
          <c:max val="90"/>
          <c:min val="50"/>
        </c:scaling>
        <c:delete val="0"/>
        <c:axPos val="l"/>
        <c:majorGridlines>
          <c:spPr>
            <a:ln w="6350" cap="flat" cmpd="sng" algn="ctr">
              <a:solidFill>
                <a:schemeClr val="tx1"/>
              </a:solidFill>
              <a:prstDash val="dash"/>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mn-lt"/>
                <a:ea typeface="+mn-ea"/>
                <a:cs typeface="+mn-cs"/>
              </a:defRPr>
            </a:pPr>
            <a:endParaRPr lang="cs-CZ"/>
          </a:p>
        </c:txPr>
        <c:crossAx val="1241238976"/>
        <c:crosses val="autoZero"/>
        <c:crossBetween val="between"/>
      </c:valAx>
      <c:spPr>
        <a:noFill/>
        <a:ln>
          <a:noFill/>
        </a:ln>
        <a:effectLst/>
      </c:spPr>
    </c:plotArea>
    <c:legend>
      <c:legendPos val="b"/>
      <c:layout>
        <c:manualLayout>
          <c:xMode val="edge"/>
          <c:yMode val="edge"/>
          <c:x val="0.65044183006535938"/>
          <c:y val="4.0313269890343464E-2"/>
          <c:w val="0.28016209150326798"/>
          <c:h val="8.6273609970532836E-2"/>
        </c:manualLayout>
      </c:layout>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mn-lt"/>
              <a:ea typeface="+mn-ea"/>
              <a:cs typeface="+mn-cs"/>
            </a:defRPr>
          </a:pPr>
          <a:endParaRPr lang="cs-CZ"/>
        </a:p>
      </c:txPr>
    </c:legend>
    <c:plotVisOnly val="1"/>
    <c:dispBlanksAs val="gap"/>
    <c:showDLblsOverMax val="0"/>
  </c:chart>
  <c:spPr>
    <a:solidFill>
      <a:schemeClr val="bg1"/>
    </a:solidFill>
    <a:ln w="9525" cap="flat" cmpd="sng" algn="ctr">
      <a:noFill/>
      <a:round/>
    </a:ln>
    <a:effectLst/>
  </c:spPr>
  <c:txPr>
    <a:bodyPr/>
    <a:lstStyle/>
    <a:p>
      <a:pPr>
        <a:defRPr sz="800">
          <a:solidFill>
            <a:sysClr val="windowText" lastClr="000000"/>
          </a:solidFill>
        </a:defRPr>
      </a:pPr>
      <a:endParaRPr lang="cs-CZ"/>
    </a:p>
  </c:txPr>
  <c:externalData r:id="rId3">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1059229948701607"/>
          <c:y val="5.5357083861020867E-2"/>
          <c:w val="0.86283101627473624"/>
          <c:h val="0.49859414395044843"/>
        </c:manualLayout>
      </c:layout>
      <c:barChart>
        <c:barDir val="col"/>
        <c:grouping val="clustered"/>
        <c:varyColors val="0"/>
        <c:ser>
          <c:idx val="3"/>
          <c:order val="0"/>
          <c:tx>
            <c:strRef>
              <c:f>'Medián mezd'!$N$2</c:f>
              <c:strCache>
                <c:ptCount val="1"/>
                <c:pt idx="0">
                  <c:v>2022</c:v>
                </c:pt>
              </c:strCache>
            </c:strRef>
          </c:tx>
          <c:spPr>
            <a:solidFill>
              <a:schemeClr val="accent2"/>
            </a:solidFill>
            <a:ln>
              <a:noFill/>
            </a:ln>
            <a:effectLst/>
          </c:spPr>
          <c:invertIfNegative val="0"/>
          <c:dPt>
            <c:idx val="4"/>
            <c:invertIfNegative val="0"/>
            <c:bubble3D val="0"/>
            <c:spPr>
              <a:solidFill>
                <a:schemeClr val="accent3"/>
              </a:solidFill>
              <a:ln>
                <a:noFill/>
              </a:ln>
              <a:effectLst/>
            </c:spPr>
            <c:extLst>
              <c:ext xmlns:c16="http://schemas.microsoft.com/office/drawing/2014/chart" uri="{C3380CC4-5D6E-409C-BE32-E72D297353CC}">
                <c16:uniqueId val="{00000001-BDD3-4636-9AC3-B93C3E3B3E52}"/>
              </c:ext>
            </c:extLst>
          </c:dPt>
          <c:dPt>
            <c:idx val="15"/>
            <c:invertIfNegative val="0"/>
            <c:bubble3D val="0"/>
            <c:spPr>
              <a:solidFill>
                <a:schemeClr val="accent6"/>
              </a:solidFill>
              <a:ln>
                <a:noFill/>
              </a:ln>
              <a:effectLst/>
            </c:spPr>
            <c:extLst>
              <c:ext xmlns:c16="http://schemas.microsoft.com/office/drawing/2014/chart" uri="{C3380CC4-5D6E-409C-BE32-E72D297353CC}">
                <c16:uniqueId val="{00000003-BDD3-4636-9AC3-B93C3E3B3E52}"/>
              </c:ext>
            </c:extLst>
          </c:dPt>
          <c:cat>
            <c:strRef>
              <c:f>'Medián mezd'!$B$3:$B$17</c:f>
              <c:strCache>
                <c:ptCount val="15"/>
                <c:pt idx="0">
                  <c:v>Hlavní město Praha</c:v>
                </c:pt>
                <c:pt idx="1">
                  <c:v>Středočeský kraj</c:v>
                </c:pt>
                <c:pt idx="2">
                  <c:v>Jihomoravský kraj</c:v>
                </c:pt>
                <c:pt idx="3">
                  <c:v>Plzeňský kraj</c:v>
                </c:pt>
                <c:pt idx="4">
                  <c:v>Česká republika</c:v>
                </c:pt>
                <c:pt idx="5">
                  <c:v>Královéhradecký kraj</c:v>
                </c:pt>
                <c:pt idx="6">
                  <c:v>Ústecký kraj</c:v>
                </c:pt>
                <c:pt idx="7">
                  <c:v>Kraj Vysočina</c:v>
                </c:pt>
                <c:pt idx="8">
                  <c:v>Moravskoslezský kraj</c:v>
                </c:pt>
                <c:pt idx="9">
                  <c:v>Liberecký kraj</c:v>
                </c:pt>
                <c:pt idx="10">
                  <c:v>Pardubický kraj</c:v>
                </c:pt>
                <c:pt idx="11">
                  <c:v>Jihočeský kraj</c:v>
                </c:pt>
                <c:pt idx="12">
                  <c:v>Olomoucký kraj</c:v>
                </c:pt>
                <c:pt idx="13">
                  <c:v>Zlínský kraj</c:v>
                </c:pt>
                <c:pt idx="14">
                  <c:v>Karlovarský kraj</c:v>
                </c:pt>
              </c:strCache>
            </c:strRef>
          </c:cat>
          <c:val>
            <c:numRef>
              <c:f>'Medián mezd'!$N$3:$N$17</c:f>
              <c:numCache>
                <c:formatCode>#,##0</c:formatCode>
                <c:ptCount val="15"/>
                <c:pt idx="0">
                  <c:v>43950</c:v>
                </c:pt>
                <c:pt idx="1">
                  <c:v>38431</c:v>
                </c:pt>
                <c:pt idx="2">
                  <c:v>37733</c:v>
                </c:pt>
                <c:pt idx="3">
                  <c:v>37500</c:v>
                </c:pt>
                <c:pt idx="4">
                  <c:v>37418</c:v>
                </c:pt>
                <c:pt idx="5">
                  <c:v>36734</c:v>
                </c:pt>
                <c:pt idx="6">
                  <c:v>36133</c:v>
                </c:pt>
                <c:pt idx="7">
                  <c:v>36078</c:v>
                </c:pt>
                <c:pt idx="8">
                  <c:v>35723</c:v>
                </c:pt>
                <c:pt idx="9">
                  <c:v>35643</c:v>
                </c:pt>
                <c:pt idx="10">
                  <c:v>35357</c:v>
                </c:pt>
                <c:pt idx="11">
                  <c:v>35267</c:v>
                </c:pt>
                <c:pt idx="12">
                  <c:v>35107</c:v>
                </c:pt>
                <c:pt idx="13">
                  <c:v>34968</c:v>
                </c:pt>
                <c:pt idx="14">
                  <c:v>33679</c:v>
                </c:pt>
              </c:numCache>
            </c:numRef>
          </c:val>
          <c:extLst>
            <c:ext xmlns:c16="http://schemas.microsoft.com/office/drawing/2014/chart" uri="{C3380CC4-5D6E-409C-BE32-E72D297353CC}">
              <c16:uniqueId val="{00000004-BDD3-4636-9AC3-B93C3E3B3E52}"/>
            </c:ext>
          </c:extLst>
        </c:ser>
        <c:dLbls>
          <c:showLegendKey val="0"/>
          <c:showVal val="0"/>
          <c:showCatName val="0"/>
          <c:showSerName val="0"/>
          <c:showPercent val="0"/>
          <c:showBubbleSize val="0"/>
        </c:dLbls>
        <c:gapWidth val="150"/>
        <c:axId val="1267122432"/>
        <c:axId val="1267123264"/>
      </c:barChart>
      <c:lineChart>
        <c:grouping val="standard"/>
        <c:varyColors val="0"/>
        <c:ser>
          <c:idx val="0"/>
          <c:order val="1"/>
          <c:tx>
            <c:strRef>
              <c:f>'Medián mezd'!$C$2</c:f>
              <c:strCache>
                <c:ptCount val="1"/>
                <c:pt idx="0">
                  <c:v>2011</c:v>
                </c:pt>
              </c:strCache>
            </c:strRef>
          </c:tx>
          <c:spPr>
            <a:ln w="28575" cap="rnd">
              <a:noFill/>
              <a:round/>
            </a:ln>
            <a:effectLst/>
          </c:spPr>
          <c:marker>
            <c:symbol val="circle"/>
            <c:size val="5"/>
            <c:spPr>
              <a:solidFill>
                <a:schemeClr val="accent1"/>
              </a:solidFill>
              <a:ln w="9525">
                <a:solidFill>
                  <a:schemeClr val="accent1"/>
                </a:solidFill>
              </a:ln>
              <a:effectLst/>
            </c:spPr>
          </c:marker>
          <c:cat>
            <c:strRef>
              <c:f>'Medián mezd'!$B$3:$B$17</c:f>
              <c:strCache>
                <c:ptCount val="15"/>
                <c:pt idx="0">
                  <c:v>Hlavní město Praha</c:v>
                </c:pt>
                <c:pt idx="1">
                  <c:v>Středočeský kraj</c:v>
                </c:pt>
                <c:pt idx="2">
                  <c:v>Jihomoravský kraj</c:v>
                </c:pt>
                <c:pt idx="3">
                  <c:v>Plzeňský kraj</c:v>
                </c:pt>
                <c:pt idx="4">
                  <c:v>Česká republika</c:v>
                </c:pt>
                <c:pt idx="5">
                  <c:v>Královéhradecký kraj</c:v>
                </c:pt>
                <c:pt idx="6">
                  <c:v>Ústecký kraj</c:v>
                </c:pt>
                <c:pt idx="7">
                  <c:v>Kraj Vysočina</c:v>
                </c:pt>
                <c:pt idx="8">
                  <c:v>Moravskoslezský kraj</c:v>
                </c:pt>
                <c:pt idx="9">
                  <c:v>Liberecký kraj</c:v>
                </c:pt>
                <c:pt idx="10">
                  <c:v>Pardubický kraj</c:v>
                </c:pt>
                <c:pt idx="11">
                  <c:v>Jihočeský kraj</c:v>
                </c:pt>
                <c:pt idx="12">
                  <c:v>Olomoucký kraj</c:v>
                </c:pt>
                <c:pt idx="13">
                  <c:v>Zlínský kraj</c:v>
                </c:pt>
                <c:pt idx="14">
                  <c:v>Karlovarský kraj</c:v>
                </c:pt>
              </c:strCache>
            </c:strRef>
          </c:cat>
          <c:val>
            <c:numRef>
              <c:f>'Medián mezd'!$C$3:$C$17</c:f>
              <c:numCache>
                <c:formatCode>#,##0</c:formatCode>
                <c:ptCount val="15"/>
                <c:pt idx="0">
                  <c:v>27162</c:v>
                </c:pt>
                <c:pt idx="1">
                  <c:v>22447</c:v>
                </c:pt>
                <c:pt idx="2">
                  <c:v>21127</c:v>
                </c:pt>
                <c:pt idx="3">
                  <c:v>21554</c:v>
                </c:pt>
                <c:pt idx="4">
                  <c:v>21782</c:v>
                </c:pt>
                <c:pt idx="5">
                  <c:v>20266</c:v>
                </c:pt>
                <c:pt idx="6">
                  <c:v>20533</c:v>
                </c:pt>
                <c:pt idx="7">
                  <c:v>20378</c:v>
                </c:pt>
                <c:pt idx="8">
                  <c:v>21383</c:v>
                </c:pt>
                <c:pt idx="9">
                  <c:v>21017</c:v>
                </c:pt>
                <c:pt idx="10">
                  <c:v>20527</c:v>
                </c:pt>
                <c:pt idx="11">
                  <c:v>20303</c:v>
                </c:pt>
                <c:pt idx="12">
                  <c:v>20717</c:v>
                </c:pt>
                <c:pt idx="13">
                  <c:v>20153</c:v>
                </c:pt>
                <c:pt idx="14">
                  <c:v>19183</c:v>
                </c:pt>
              </c:numCache>
            </c:numRef>
          </c:val>
          <c:smooth val="0"/>
          <c:extLst>
            <c:ext xmlns:c16="http://schemas.microsoft.com/office/drawing/2014/chart" uri="{C3380CC4-5D6E-409C-BE32-E72D297353CC}">
              <c16:uniqueId val="{00000005-BDD3-4636-9AC3-B93C3E3B3E52}"/>
            </c:ext>
          </c:extLst>
        </c:ser>
        <c:dLbls>
          <c:showLegendKey val="0"/>
          <c:showVal val="0"/>
          <c:showCatName val="0"/>
          <c:showSerName val="0"/>
          <c:showPercent val="0"/>
          <c:showBubbleSize val="0"/>
        </c:dLbls>
        <c:marker val="1"/>
        <c:smooth val="0"/>
        <c:axId val="1267122432"/>
        <c:axId val="1267123264"/>
      </c:lineChart>
      <c:catAx>
        <c:axId val="1267122432"/>
        <c:scaling>
          <c:orientation val="minMax"/>
        </c:scaling>
        <c:delete val="0"/>
        <c:axPos val="b"/>
        <c:numFmt formatCode="General" sourceLinked="1"/>
        <c:majorTickMark val="none"/>
        <c:minorTickMark val="none"/>
        <c:tickLblPos val="nextTo"/>
        <c:spPr>
          <a:noFill/>
          <a:ln w="6350" cap="flat" cmpd="sng" algn="ctr">
            <a:solidFill>
              <a:schemeClr val="tx1"/>
            </a:solidFill>
            <a:round/>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cs-CZ"/>
          </a:p>
        </c:txPr>
        <c:crossAx val="1267123264"/>
        <c:crosses val="autoZero"/>
        <c:auto val="1"/>
        <c:lblAlgn val="ctr"/>
        <c:lblOffset val="100"/>
        <c:tickLblSkip val="1"/>
        <c:noMultiLvlLbl val="0"/>
      </c:catAx>
      <c:valAx>
        <c:axId val="1267123264"/>
        <c:scaling>
          <c:orientation val="minMax"/>
        </c:scaling>
        <c:delete val="0"/>
        <c:axPos val="l"/>
        <c:majorGridlines>
          <c:spPr>
            <a:ln w="6350" cap="flat" cmpd="sng" algn="ctr">
              <a:solidFill>
                <a:schemeClr val="tx1"/>
              </a:solidFill>
              <a:prstDash val="dash"/>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cs-CZ"/>
          </a:p>
        </c:txPr>
        <c:crossAx val="1267122432"/>
        <c:crosses val="autoZero"/>
        <c:crossBetween val="between"/>
      </c:valAx>
      <c:spPr>
        <a:noFill/>
        <a:ln>
          <a:noFill/>
        </a:ln>
        <a:effectLst/>
      </c:spPr>
    </c:plotArea>
    <c:legend>
      <c:legendPos val="b"/>
      <c:layout>
        <c:manualLayout>
          <c:xMode val="edge"/>
          <c:yMode val="edge"/>
          <c:x val="0.65351895424836604"/>
          <c:y val="5.9826158998029746E-2"/>
          <c:w val="0.24910588235294118"/>
          <c:h val="6.9263142505064851E-2"/>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cs-CZ"/>
        </a:p>
      </c:txPr>
    </c:legend>
    <c:plotVisOnly val="1"/>
    <c:dispBlanksAs val="gap"/>
    <c:showDLblsOverMax val="0"/>
  </c:chart>
  <c:spPr>
    <a:solidFill>
      <a:schemeClr val="bg1"/>
    </a:solidFill>
    <a:ln w="9525" cap="flat" cmpd="sng" algn="ctr">
      <a:noFill/>
      <a:round/>
    </a:ln>
    <a:effectLst/>
  </c:spPr>
  <c:txPr>
    <a:bodyPr/>
    <a:lstStyle/>
    <a:p>
      <a:pPr>
        <a:defRPr/>
      </a:pPr>
      <a:endParaRPr lang="cs-CZ"/>
    </a:p>
  </c:txPr>
  <c:externalData r:id="rId3">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spPr>
            <a:ln w="28575" cap="rnd">
              <a:solidFill>
                <a:schemeClr val="tx2"/>
              </a:solidFill>
              <a:round/>
            </a:ln>
            <a:effectLst/>
          </c:spPr>
          <c:marker>
            <c:symbol val="none"/>
          </c:marker>
          <c:cat>
            <c:strRef>
              <c:f>'Sheet 1'!$B$11:$T$11</c:f>
              <c:strCache>
                <c:ptCount val="19"/>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pt idx="14">
                  <c:v>2036</c:v>
                </c:pt>
                <c:pt idx="15">
                  <c:v>2037</c:v>
                </c:pt>
                <c:pt idx="16">
                  <c:v>2038</c:v>
                </c:pt>
                <c:pt idx="17">
                  <c:v>2039</c:v>
                </c:pt>
                <c:pt idx="18">
                  <c:v>2040</c:v>
                </c:pt>
              </c:strCache>
            </c:strRef>
          </c:cat>
          <c:val>
            <c:numRef>
              <c:f>'Sheet 1'!$B$12:$T$12</c:f>
              <c:numCache>
                <c:formatCode>General</c:formatCode>
                <c:ptCount val="19"/>
                <c:pt idx="0">
                  <c:v>10.516707</c:v>
                </c:pt>
                <c:pt idx="1">
                  <c:v>10.963888000000001</c:v>
                </c:pt>
                <c:pt idx="2">
                  <c:v>11.049464</c:v>
                </c:pt>
                <c:pt idx="3">
                  <c:v>11.017341</c:v>
                </c:pt>
                <c:pt idx="4">
                  <c:v>10.984063000000001</c:v>
                </c:pt>
                <c:pt idx="5">
                  <c:v>10.950186</c:v>
                </c:pt>
                <c:pt idx="6">
                  <c:v>10.914980999999999</c:v>
                </c:pt>
                <c:pt idx="7">
                  <c:v>10.882453</c:v>
                </c:pt>
                <c:pt idx="8">
                  <c:v>10.851300999999999</c:v>
                </c:pt>
                <c:pt idx="9">
                  <c:v>10.820816000000001</c:v>
                </c:pt>
                <c:pt idx="10">
                  <c:v>10.791009000000001</c:v>
                </c:pt>
                <c:pt idx="11">
                  <c:v>10.762565</c:v>
                </c:pt>
                <c:pt idx="12">
                  <c:v>10.735818</c:v>
                </c:pt>
                <c:pt idx="13">
                  <c:v>10.728942</c:v>
                </c:pt>
                <c:pt idx="14">
                  <c:v>10.72321</c:v>
                </c:pt>
                <c:pt idx="15">
                  <c:v>10.718040999999999</c:v>
                </c:pt>
                <c:pt idx="16">
                  <c:v>10.715647000000001</c:v>
                </c:pt>
                <c:pt idx="17">
                  <c:v>10.715071999999999</c:v>
                </c:pt>
                <c:pt idx="18">
                  <c:v>10.716445</c:v>
                </c:pt>
              </c:numCache>
            </c:numRef>
          </c:val>
          <c:smooth val="0"/>
          <c:extLst>
            <c:ext xmlns:c16="http://schemas.microsoft.com/office/drawing/2014/chart" uri="{C3380CC4-5D6E-409C-BE32-E72D297353CC}">
              <c16:uniqueId val="{00000000-B407-49D1-887E-05B793B2300F}"/>
            </c:ext>
          </c:extLst>
        </c:ser>
        <c:dLbls>
          <c:showLegendKey val="0"/>
          <c:showVal val="0"/>
          <c:showCatName val="0"/>
          <c:showSerName val="0"/>
          <c:showPercent val="0"/>
          <c:showBubbleSize val="0"/>
        </c:dLbls>
        <c:smooth val="0"/>
        <c:axId val="1830789360"/>
        <c:axId val="1830812240"/>
      </c:lineChart>
      <c:catAx>
        <c:axId val="1830789360"/>
        <c:scaling>
          <c:orientation val="minMax"/>
        </c:scaling>
        <c:delete val="0"/>
        <c:axPos val="b"/>
        <c:numFmt formatCode="General" sourceLinked="1"/>
        <c:majorTickMark val="none"/>
        <c:minorTickMark val="none"/>
        <c:tickLblPos val="nextTo"/>
        <c:spPr>
          <a:noFill/>
          <a:ln w="6350" cap="flat" cmpd="sng" algn="ctr">
            <a:solidFill>
              <a:srgbClr val="000000"/>
            </a:solidFill>
            <a:prstDash val="dash"/>
            <a:round/>
          </a:ln>
          <a:effectLst/>
        </c:spPr>
        <c:txPr>
          <a:bodyPr rot="-5400000" spcFirstLastPara="1" vertOverflow="ellipsis" wrap="square" anchor="ctr" anchorCtr="1"/>
          <a:lstStyle/>
          <a:p>
            <a:pPr>
              <a:defRPr sz="800" b="0" i="0" u="none" strike="noStrike" kern="1200" baseline="0">
                <a:solidFill>
                  <a:sysClr val="windowText" lastClr="000000"/>
                </a:solidFill>
                <a:latin typeface="+mn-lt"/>
                <a:ea typeface="+mn-ea"/>
                <a:cs typeface="+mn-cs"/>
              </a:defRPr>
            </a:pPr>
            <a:endParaRPr lang="cs-CZ"/>
          </a:p>
        </c:txPr>
        <c:crossAx val="1830812240"/>
        <c:crosses val="autoZero"/>
        <c:auto val="1"/>
        <c:lblAlgn val="ctr"/>
        <c:lblOffset val="100"/>
        <c:tickLblSkip val="1"/>
        <c:noMultiLvlLbl val="0"/>
      </c:catAx>
      <c:valAx>
        <c:axId val="1830812240"/>
        <c:scaling>
          <c:orientation val="minMax"/>
          <c:min val="10.4"/>
        </c:scaling>
        <c:delete val="0"/>
        <c:axPos val="l"/>
        <c:majorGridlines>
          <c:spPr>
            <a:ln w="6350" cap="flat" cmpd="sng" algn="ctr">
              <a:solidFill>
                <a:schemeClr val="tx1"/>
              </a:solidFill>
              <a:prstDash val="dash"/>
              <a:round/>
            </a:ln>
            <a:effectLst/>
          </c:spPr>
        </c:majorGridlines>
        <c:numFmt formatCode="#,##0.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mn-lt"/>
                <a:ea typeface="+mn-ea"/>
                <a:cs typeface="+mn-cs"/>
              </a:defRPr>
            </a:pPr>
            <a:endParaRPr lang="cs-CZ"/>
          </a:p>
        </c:txPr>
        <c:crossAx val="1830789360"/>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sz="800">
          <a:solidFill>
            <a:sysClr val="windowText" lastClr="000000"/>
          </a:solidFill>
        </a:defRPr>
      </a:pPr>
      <a:endParaRPr lang="cs-CZ"/>
    </a:p>
  </c:txPr>
  <c:externalData r:id="rId4">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spPr>
            <a:ln w="28575" cap="rnd">
              <a:solidFill>
                <a:schemeClr val="tx2"/>
              </a:solidFill>
              <a:round/>
            </a:ln>
            <a:effectLst/>
          </c:spPr>
          <c:marker>
            <c:symbol val="none"/>
          </c:marker>
          <c:cat>
            <c:strRef>
              <c:f>'Sheet 1 (2)'!$C$8:$U$8</c:f>
              <c:strCache>
                <c:ptCount val="19"/>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pt idx="14">
                  <c:v>2036</c:v>
                </c:pt>
                <c:pt idx="15">
                  <c:v>2037</c:v>
                </c:pt>
                <c:pt idx="16">
                  <c:v>2038</c:v>
                </c:pt>
                <c:pt idx="17">
                  <c:v>2039</c:v>
                </c:pt>
                <c:pt idx="18">
                  <c:v>2040</c:v>
                </c:pt>
              </c:strCache>
            </c:strRef>
          </c:cat>
          <c:val>
            <c:numRef>
              <c:f>'Sheet 1 (2)'!$C$9:$U$9</c:f>
              <c:numCache>
                <c:formatCode>#\ ##0.##########</c:formatCode>
                <c:ptCount val="19"/>
                <c:pt idx="0">
                  <c:v>32.6</c:v>
                </c:pt>
                <c:pt idx="1">
                  <c:v>31.8</c:v>
                </c:pt>
                <c:pt idx="2">
                  <c:v>31.8</c:v>
                </c:pt>
                <c:pt idx="3" formatCode="#\ ##0.0">
                  <c:v>32</c:v>
                </c:pt>
                <c:pt idx="4">
                  <c:v>32.200000000000003</c:v>
                </c:pt>
                <c:pt idx="5">
                  <c:v>32.5</c:v>
                </c:pt>
                <c:pt idx="6">
                  <c:v>32.700000000000003</c:v>
                </c:pt>
                <c:pt idx="7">
                  <c:v>33.200000000000003</c:v>
                </c:pt>
                <c:pt idx="8">
                  <c:v>33.799999999999997</c:v>
                </c:pt>
                <c:pt idx="9">
                  <c:v>34.200000000000003</c:v>
                </c:pt>
                <c:pt idx="10">
                  <c:v>34.5</c:v>
                </c:pt>
                <c:pt idx="11">
                  <c:v>34.700000000000003</c:v>
                </c:pt>
                <c:pt idx="12">
                  <c:v>34.9</c:v>
                </c:pt>
                <c:pt idx="13">
                  <c:v>35.200000000000003</c:v>
                </c:pt>
                <c:pt idx="14">
                  <c:v>35.6</c:v>
                </c:pt>
                <c:pt idx="15">
                  <c:v>36.1</c:v>
                </c:pt>
                <c:pt idx="16">
                  <c:v>36.799999999999997</c:v>
                </c:pt>
                <c:pt idx="17">
                  <c:v>37.700000000000003</c:v>
                </c:pt>
                <c:pt idx="18">
                  <c:v>38.9</c:v>
                </c:pt>
              </c:numCache>
            </c:numRef>
          </c:val>
          <c:smooth val="0"/>
          <c:extLst>
            <c:ext xmlns:c16="http://schemas.microsoft.com/office/drawing/2014/chart" uri="{C3380CC4-5D6E-409C-BE32-E72D297353CC}">
              <c16:uniqueId val="{00000000-C2E0-48C3-83F6-6BCF9A8F0CD8}"/>
            </c:ext>
          </c:extLst>
        </c:ser>
        <c:dLbls>
          <c:showLegendKey val="0"/>
          <c:showVal val="0"/>
          <c:showCatName val="0"/>
          <c:showSerName val="0"/>
          <c:showPercent val="0"/>
          <c:showBubbleSize val="0"/>
        </c:dLbls>
        <c:smooth val="0"/>
        <c:axId val="1830789360"/>
        <c:axId val="1830812240"/>
      </c:lineChart>
      <c:catAx>
        <c:axId val="1830789360"/>
        <c:scaling>
          <c:orientation val="minMax"/>
        </c:scaling>
        <c:delete val="0"/>
        <c:axPos val="b"/>
        <c:numFmt formatCode="General" sourceLinked="1"/>
        <c:majorTickMark val="none"/>
        <c:minorTickMark val="none"/>
        <c:tickLblPos val="nextTo"/>
        <c:spPr>
          <a:noFill/>
          <a:ln w="6350" cap="flat" cmpd="sng" algn="ctr">
            <a:solidFill>
              <a:schemeClr val="tx1"/>
            </a:solidFill>
            <a:prstDash val="dash"/>
            <a:round/>
          </a:ln>
          <a:effectLst/>
        </c:spPr>
        <c:txPr>
          <a:bodyPr rot="-5400000" spcFirstLastPara="1" vertOverflow="ellipsis" wrap="square" anchor="ctr" anchorCtr="1"/>
          <a:lstStyle/>
          <a:p>
            <a:pPr>
              <a:defRPr sz="800" b="0" i="0" u="none" strike="noStrike" kern="1200" baseline="0">
                <a:solidFill>
                  <a:sysClr val="windowText" lastClr="000000"/>
                </a:solidFill>
                <a:latin typeface="+mn-lt"/>
                <a:ea typeface="+mn-ea"/>
                <a:cs typeface="+mn-cs"/>
              </a:defRPr>
            </a:pPr>
            <a:endParaRPr lang="cs-CZ"/>
          </a:p>
        </c:txPr>
        <c:crossAx val="1830812240"/>
        <c:crosses val="autoZero"/>
        <c:auto val="1"/>
        <c:lblAlgn val="ctr"/>
        <c:lblOffset val="100"/>
        <c:tickLblSkip val="1"/>
        <c:noMultiLvlLbl val="0"/>
      </c:catAx>
      <c:valAx>
        <c:axId val="1830812240"/>
        <c:scaling>
          <c:orientation val="minMax"/>
          <c:min val="30"/>
        </c:scaling>
        <c:delete val="0"/>
        <c:axPos val="l"/>
        <c:majorGridlines>
          <c:spPr>
            <a:ln w="6350" cap="flat" cmpd="sng" algn="ctr">
              <a:solidFill>
                <a:schemeClr val="tx1"/>
              </a:solidFill>
              <a:prstDash val="dash"/>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mn-lt"/>
                <a:ea typeface="+mn-ea"/>
                <a:cs typeface="+mn-cs"/>
              </a:defRPr>
            </a:pPr>
            <a:endParaRPr lang="cs-CZ"/>
          </a:p>
        </c:txPr>
        <c:crossAx val="1830789360"/>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sz="800">
          <a:solidFill>
            <a:sysClr val="windowText" lastClr="000000"/>
          </a:solidFill>
        </a:defRPr>
      </a:pPr>
      <a:endParaRPr lang="cs-CZ"/>
    </a:p>
  </c:txPr>
  <c:externalData r:id="rId3">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3222886845228768E-2"/>
          <c:y val="8.8439409659308091E-2"/>
          <c:w val="0.85678703205507112"/>
          <c:h val="0.74376232624471561"/>
        </c:manualLayout>
      </c:layout>
      <c:scatterChart>
        <c:scatterStyle val="lineMarker"/>
        <c:varyColors val="0"/>
        <c:ser>
          <c:idx val="0"/>
          <c:order val="0"/>
          <c:tx>
            <c:strRef>
              <c:f>'g11-10'!$C$28</c:f>
              <c:strCache>
                <c:ptCount val="1"/>
                <c:pt idx="0">
                  <c:v>Performance in PISA (reading) 2018 at age 15</c:v>
                </c:pt>
              </c:strCache>
            </c:strRef>
          </c:tx>
          <c:spPr>
            <a:ln w="19050" cap="rnd">
              <a:noFill/>
              <a:round/>
            </a:ln>
            <a:effectLst/>
          </c:spPr>
          <c:marker>
            <c:symbol val="diamond"/>
            <c:size val="5"/>
            <c:spPr>
              <a:solidFill>
                <a:srgbClr val="4F81BD"/>
              </a:solidFill>
              <a:ln w="9525">
                <a:solidFill>
                  <a:srgbClr val="4F81BD"/>
                </a:solidFill>
                <a:prstDash val="solid"/>
              </a:ln>
              <a:effectLst/>
            </c:spPr>
          </c:marker>
          <c:dLbls>
            <c:dLbl>
              <c:idx val="0"/>
              <c:layout>
                <c:manualLayout>
                  <c:x val="-0.10610613202908338"/>
                  <c:y val="-4.3402547049057258E-2"/>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r>
                      <a:rPr lang="en-US" sz="800" b="0" i="0">
                        <a:solidFill>
                          <a:srgbClr val="000000"/>
                        </a:solidFill>
                        <a:latin typeface="+mn-lt"/>
                      </a:rPr>
                      <a:t>AUS </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DataLabelsRange val="1"/>
                </c:ext>
                <c:ext xmlns:c16="http://schemas.microsoft.com/office/drawing/2014/chart" uri="{C3380CC4-5D6E-409C-BE32-E72D297353CC}">
                  <c16:uniqueId val="{00000000-0BD4-4562-8019-2D6F547B8057}"/>
                </c:ext>
              </c:extLst>
            </c:dLbl>
            <c:dLbl>
              <c:idx val="1"/>
              <c:layout>
                <c:manualLayout>
                  <c:x val="-1.0695155611793322E-2"/>
                  <c:y val="1.9221458408064938E-3"/>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r>
                      <a:rPr lang="en-US" sz="800" b="0" i="0">
                        <a:solidFill>
                          <a:srgbClr val="000000"/>
                        </a:solidFill>
                        <a:latin typeface="+mn-lt"/>
                      </a:rPr>
                      <a:t>AUT</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DataLabelsRange val="1"/>
                </c:ext>
                <c:ext xmlns:c16="http://schemas.microsoft.com/office/drawing/2014/chart" uri="{C3380CC4-5D6E-409C-BE32-E72D297353CC}">
                  <c16:uniqueId val="{00000001-0BD4-4562-8019-2D6F547B8057}"/>
                </c:ext>
              </c:extLst>
            </c:dLbl>
            <c:dLbl>
              <c:idx val="2"/>
              <c:layout>
                <c:manualLayout>
                  <c:x val="-4.3548057265739501E-3"/>
                  <c:y val="4.5032235279600539E-3"/>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r>
                      <a:rPr lang="en-US" sz="800" b="0" i="0">
                        <a:solidFill>
                          <a:srgbClr val="000000"/>
                        </a:solidFill>
                        <a:latin typeface="+mn-lt"/>
                      </a:rPr>
                      <a:t>BEL</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DataLabelsRange val="1"/>
                </c:ext>
                <c:ext xmlns:c16="http://schemas.microsoft.com/office/drawing/2014/chart" uri="{C3380CC4-5D6E-409C-BE32-E72D297353CC}">
                  <c16:uniqueId val="{00000002-0BD4-4562-8019-2D6F547B8057}"/>
                </c:ext>
              </c:extLst>
            </c:dLbl>
            <c:dLbl>
              <c:idx val="3"/>
              <c:layout>
                <c:manualLayout>
                  <c:x val="-7.7753119119893563E-2"/>
                  <c:y val="3.6986900162498358E-2"/>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r>
                      <a:rPr lang="en-US" sz="800" b="0" i="0">
                        <a:solidFill>
                          <a:srgbClr val="000000"/>
                        </a:solidFill>
                        <a:latin typeface="+mn-lt"/>
                      </a:rPr>
                      <a:t>CHL</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DataLabelsRange val="1"/>
                </c:ext>
                <c:ext xmlns:c16="http://schemas.microsoft.com/office/drawing/2014/chart" uri="{C3380CC4-5D6E-409C-BE32-E72D297353CC}">
                  <c16:uniqueId val="{00000003-0BD4-4562-8019-2D6F547B8057}"/>
                </c:ext>
              </c:extLst>
            </c:dLbl>
            <c:dLbl>
              <c:idx val="4"/>
              <c:layout>
                <c:manualLayout>
                  <c:x val="-1.4968815948978732E-2"/>
                  <c:y val="1.8012894111840049E-2"/>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r>
                      <a:rPr lang="en-US" sz="800" b="0" i="0">
                        <a:solidFill>
                          <a:srgbClr val="000000"/>
                        </a:solidFill>
                        <a:latin typeface="+mn-lt"/>
                      </a:rPr>
                      <a:t>COL</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DataLabelsRange val="1"/>
                </c:ext>
                <c:ext xmlns:c16="http://schemas.microsoft.com/office/drawing/2014/chart" uri="{C3380CC4-5D6E-409C-BE32-E72D297353CC}">
                  <c16:uniqueId val="{00000004-0BD4-4562-8019-2D6F547B8057}"/>
                </c:ext>
              </c:extLst>
            </c:dLbl>
            <c:dLbl>
              <c:idx val="5"/>
              <c:layout>
                <c:manualLayout>
                  <c:x val="-0.11007756003855058"/>
                  <c:y val="1.4500185236367485E-2"/>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r>
                      <a:rPr lang="en-US" sz="800" b="0" i="0">
                        <a:solidFill>
                          <a:schemeClr val="accent4"/>
                        </a:solidFill>
                        <a:latin typeface="+mn-lt"/>
                      </a:rPr>
                      <a:t>CZE</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DataLabelsRange val="1"/>
                </c:ext>
                <c:ext xmlns:c16="http://schemas.microsoft.com/office/drawing/2014/chart" uri="{C3380CC4-5D6E-409C-BE32-E72D297353CC}">
                  <c16:uniqueId val="{00000005-0BD4-4562-8019-2D6F547B8057}"/>
                </c:ext>
              </c:extLst>
            </c:dLbl>
            <c:dLbl>
              <c:idx val="6"/>
              <c:layout>
                <c:manualLayout>
                  <c:x val="-2.6927035869059174E-2"/>
                  <c:y val="1.1408992098541827E-2"/>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r>
                      <a:rPr lang="en-US" sz="800" b="0" i="0">
                        <a:solidFill>
                          <a:srgbClr val="000000"/>
                        </a:solidFill>
                        <a:latin typeface="+mn-lt"/>
                      </a:rPr>
                      <a:t>DNK</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DataLabelsRange val="1"/>
                </c:ext>
                <c:ext xmlns:c16="http://schemas.microsoft.com/office/drawing/2014/chart" uri="{C3380CC4-5D6E-409C-BE32-E72D297353CC}">
                  <c16:uniqueId val="{00000006-0BD4-4562-8019-2D6F547B8057}"/>
                </c:ext>
              </c:extLst>
            </c:dLbl>
            <c:dLbl>
              <c:idx val="7"/>
              <c:layout>
                <c:manualLayout>
                  <c:x val="-2.3486661377985538E-2"/>
                  <c:y val="-1.89791810004332E-2"/>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r>
                      <a:rPr lang="en-US" sz="800" b="0" i="0">
                        <a:solidFill>
                          <a:srgbClr val="000000"/>
                        </a:solidFill>
                        <a:latin typeface="+mn-lt"/>
                      </a:rPr>
                      <a:t>EST</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DataLabelsRange val="1"/>
                </c:ext>
                <c:ext xmlns:c16="http://schemas.microsoft.com/office/drawing/2014/chart" uri="{C3380CC4-5D6E-409C-BE32-E72D297353CC}">
                  <c16:uniqueId val="{00000007-0BD4-4562-8019-2D6F547B8057}"/>
                </c:ext>
              </c:extLst>
            </c:dLbl>
            <c:dLbl>
              <c:idx val="8"/>
              <c:layout>
                <c:manualLayout>
                  <c:x val="-2.7420718954676876E-2"/>
                  <c:y val="-3.2488694701063789E-2"/>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r>
                      <a:rPr lang="en-US" sz="800" b="0" i="0">
                        <a:solidFill>
                          <a:srgbClr val="000000"/>
                        </a:solidFill>
                        <a:latin typeface="+mn-lt"/>
                      </a:rPr>
                      <a:t>FIN</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DataLabelsRange val="1"/>
                </c:ext>
                <c:ext xmlns:c16="http://schemas.microsoft.com/office/drawing/2014/chart" uri="{C3380CC4-5D6E-409C-BE32-E72D297353CC}">
                  <c16:uniqueId val="{00000008-0BD4-4562-8019-2D6F547B8057}"/>
                </c:ext>
              </c:extLst>
            </c:dLbl>
            <c:dLbl>
              <c:idx val="9"/>
              <c:layout>
                <c:manualLayout>
                  <c:x val="-3.3340090909037404E-2"/>
                  <c:y val="-2.4438320375632667E-2"/>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r>
                      <a:rPr lang="en-US" sz="800" b="0" i="0">
                        <a:solidFill>
                          <a:srgbClr val="000000"/>
                        </a:solidFill>
                        <a:latin typeface="+mn-lt"/>
                      </a:rPr>
                      <a:t>FRA</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DataLabelsRange val="1"/>
                </c:ext>
                <c:ext xmlns:c16="http://schemas.microsoft.com/office/drawing/2014/chart" uri="{C3380CC4-5D6E-409C-BE32-E72D297353CC}">
                  <c16:uniqueId val="{00000009-0BD4-4562-8019-2D6F547B8057}"/>
                </c:ext>
              </c:extLst>
            </c:dLbl>
            <c:dLbl>
              <c:idx val="10"/>
              <c:layout>
                <c:manualLayout>
                  <c:x val="-1.6194019427637266E-2"/>
                  <c:y val="2.9422005941418382E-2"/>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r>
                      <a:rPr lang="en-US" sz="800" b="0" i="0">
                        <a:solidFill>
                          <a:srgbClr val="000000"/>
                        </a:solidFill>
                        <a:latin typeface="+mn-lt"/>
                      </a:rPr>
                      <a:t>GER</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DataLabelsRange val="1"/>
                </c:ext>
                <c:ext xmlns:c16="http://schemas.microsoft.com/office/drawing/2014/chart" uri="{C3380CC4-5D6E-409C-BE32-E72D297353CC}">
                  <c16:uniqueId val="{0000000A-0BD4-4562-8019-2D6F547B8057}"/>
                </c:ext>
              </c:extLst>
            </c:dLbl>
            <c:dLbl>
              <c:idx val="11"/>
              <c:layout>
                <c:manualLayout>
                  <c:x val="-1.1226611961734049E-2"/>
                  <c:y val="-4.5032235279600539E-3"/>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r>
                      <a:rPr lang="en-US" sz="800" b="0" i="0">
                        <a:solidFill>
                          <a:srgbClr val="000000"/>
                        </a:solidFill>
                        <a:latin typeface="+mn-lt"/>
                      </a:rPr>
                      <a:t>GRC</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DataLabelsRange val="1"/>
                </c:ext>
                <c:ext xmlns:c16="http://schemas.microsoft.com/office/drawing/2014/chart" uri="{C3380CC4-5D6E-409C-BE32-E72D297353CC}">
                  <c16:uniqueId val="{0000000B-0BD4-4562-8019-2D6F547B8057}"/>
                </c:ext>
              </c:extLst>
            </c:dLbl>
            <c:dLbl>
              <c:idx val="12"/>
              <c:layout>
                <c:manualLayout>
                  <c:x val="-5.5491486753165016E-2"/>
                  <c:y val="4.7435015357956981E-2"/>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r>
                      <a:rPr lang="en-US" sz="800" b="0" i="0">
                        <a:solidFill>
                          <a:srgbClr val="000000"/>
                        </a:solidFill>
                        <a:latin typeface="+mn-lt"/>
                      </a:rPr>
                      <a:t>HUN</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DataLabelsRange val="1"/>
                </c:ext>
                <c:ext xmlns:c16="http://schemas.microsoft.com/office/drawing/2014/chart" uri="{C3380CC4-5D6E-409C-BE32-E72D297353CC}">
                  <c16:uniqueId val="{0000000C-0BD4-4562-8019-2D6F547B8057}"/>
                </c:ext>
              </c:extLst>
            </c:dLbl>
            <c:dLbl>
              <c:idx val="13"/>
              <c:layout>
                <c:manualLayout>
                  <c:x val="-1.5868665875549904E-2"/>
                  <c:y val="-3.2758414533507725E-3"/>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r>
                      <a:rPr lang="en-US" sz="800" b="0" i="0">
                        <a:solidFill>
                          <a:srgbClr val="000000"/>
                        </a:solidFill>
                        <a:latin typeface="+mn-lt"/>
                      </a:rPr>
                      <a:t>ISL</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DataLabelsRange val="1"/>
                </c:ext>
                <c:ext xmlns:c16="http://schemas.microsoft.com/office/drawing/2014/chart" uri="{C3380CC4-5D6E-409C-BE32-E72D297353CC}">
                  <c16:uniqueId val="{0000000D-0BD4-4562-8019-2D6F547B8057}"/>
                </c:ext>
              </c:extLst>
            </c:dLbl>
            <c:dLbl>
              <c:idx val="14"/>
              <c:layout>
                <c:manualLayout>
                  <c:x val="-8.9908999718082666E-2"/>
                  <c:y val="-2.4438263364950925E-2"/>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r>
                      <a:rPr lang="en-US" sz="800" b="0" i="0">
                        <a:solidFill>
                          <a:srgbClr val="000000"/>
                        </a:solidFill>
                        <a:latin typeface="+mn-lt"/>
                      </a:rPr>
                      <a:t>IRL</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DataLabelsRange val="1"/>
                </c:ext>
                <c:ext xmlns:c16="http://schemas.microsoft.com/office/drawing/2014/chart" uri="{C3380CC4-5D6E-409C-BE32-E72D297353CC}">
                  <c16:uniqueId val="{0000000E-0BD4-4562-8019-2D6F547B8057}"/>
                </c:ext>
              </c:extLst>
            </c:dLbl>
            <c:dLbl>
              <c:idx val="15"/>
              <c:layout>
                <c:manualLayout>
                  <c:x val="-1.2643335278344162E-2"/>
                  <c:y val="9.9772815926015227E-3"/>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r>
                      <a:rPr lang="en-US" sz="800" b="0" i="0">
                        <a:solidFill>
                          <a:srgbClr val="000000"/>
                        </a:solidFill>
                        <a:latin typeface="+mn-lt"/>
                      </a:rPr>
                      <a:t>ITA</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DataLabelsRange val="1"/>
                </c:ext>
                <c:ext xmlns:c16="http://schemas.microsoft.com/office/drawing/2014/chart" uri="{C3380CC4-5D6E-409C-BE32-E72D297353CC}">
                  <c16:uniqueId val="{0000000F-0BD4-4562-8019-2D6F547B8057}"/>
                </c:ext>
              </c:extLst>
            </c:dLbl>
            <c:dLbl>
              <c:idx val="16"/>
              <c:layout>
                <c:manualLayout>
                  <c:x val="-7.2533342448202892E-2"/>
                  <c:y val="-3.152256469572038E-2"/>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r>
                      <a:rPr lang="en-US" sz="800" b="0" i="0">
                        <a:solidFill>
                          <a:srgbClr val="000000"/>
                        </a:solidFill>
                        <a:latin typeface="+mn-lt"/>
                      </a:rPr>
                      <a:t>JPN</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DataLabelsRange val="1"/>
                </c:ext>
                <c:ext xmlns:c16="http://schemas.microsoft.com/office/drawing/2014/chart" uri="{C3380CC4-5D6E-409C-BE32-E72D297353CC}">
                  <c16:uniqueId val="{00000010-0BD4-4562-8019-2D6F547B8057}"/>
                </c:ext>
              </c:extLst>
            </c:dLbl>
            <c:dLbl>
              <c:idx val="17"/>
              <c:layout>
                <c:manualLayout>
                  <c:x val="-1.2872802848020351E-2"/>
                  <c:y val="-3.4881282110087244E-2"/>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r>
                      <a:rPr lang="en-US" sz="800" b="0" i="0">
                        <a:solidFill>
                          <a:srgbClr val="000000"/>
                        </a:solidFill>
                        <a:latin typeface="+mn-lt"/>
                      </a:rPr>
                      <a:t>KOR</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DataLabelsRange val="1"/>
                </c:ext>
                <c:ext xmlns:c16="http://schemas.microsoft.com/office/drawing/2014/chart" uri="{C3380CC4-5D6E-409C-BE32-E72D297353CC}">
                  <c16:uniqueId val="{00000011-0BD4-4562-8019-2D6F547B8057}"/>
                </c:ext>
              </c:extLst>
            </c:dLbl>
            <c:dLbl>
              <c:idx val="18"/>
              <c:layout>
                <c:manualLayout>
                  <c:x val="-0.12362958689281246"/>
                  <c:y val="-7.8744469861356955E-2"/>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r>
                      <a:rPr lang="en-US" sz="800" b="0" i="0">
                        <a:solidFill>
                          <a:srgbClr val="000000"/>
                        </a:solidFill>
                        <a:latin typeface="+mn-lt"/>
                      </a:rPr>
                      <a:t>LVA</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DataLabelsRange val="1"/>
                </c:ext>
                <c:ext xmlns:c16="http://schemas.microsoft.com/office/drawing/2014/chart" uri="{C3380CC4-5D6E-409C-BE32-E72D297353CC}">
                  <c16:uniqueId val="{00000012-0BD4-4562-8019-2D6F547B8057}"/>
                </c:ext>
              </c:extLst>
            </c:dLbl>
            <c:dLbl>
              <c:idx val="19"/>
              <c:layout>
                <c:manualLayout>
                  <c:x val="-0.12855625561376022"/>
                  <c:y val="-2.2535719256153518E-2"/>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r>
                      <a:rPr lang="en-US" sz="800" b="0" i="0">
                        <a:solidFill>
                          <a:srgbClr val="000000"/>
                        </a:solidFill>
                        <a:latin typeface="+mn-lt"/>
                      </a:rPr>
                      <a:t>LTU</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DataLabelsRange val="1"/>
                </c:ext>
                <c:ext xmlns:c16="http://schemas.microsoft.com/office/drawing/2014/chart" uri="{C3380CC4-5D6E-409C-BE32-E72D297353CC}">
                  <c16:uniqueId val="{00000013-0BD4-4562-8019-2D6F547B8057}"/>
                </c:ext>
              </c:extLst>
            </c:dLbl>
            <c:dLbl>
              <c:idx val="20"/>
              <c:layout>
                <c:manualLayout>
                  <c:x val="-6.5322004908922949E-3"/>
                  <c:y val="0"/>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r>
                      <a:rPr lang="en-US" sz="800" b="0" i="0">
                        <a:solidFill>
                          <a:srgbClr val="000000"/>
                        </a:solidFill>
                        <a:latin typeface="+mn-lt"/>
                      </a:rPr>
                      <a:t>LUX</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DataLabelsRange val="1"/>
                </c:ext>
                <c:ext xmlns:c16="http://schemas.microsoft.com/office/drawing/2014/chart" uri="{C3380CC4-5D6E-409C-BE32-E72D297353CC}">
                  <c16:uniqueId val="{00000014-0BD4-4562-8019-2D6F547B8057}"/>
                </c:ext>
              </c:extLst>
            </c:dLbl>
            <c:dLbl>
              <c:idx val="21"/>
              <c:layout>
                <c:manualLayout>
                  <c:x val="-3.3435391766703619E-2"/>
                  <c:y val="-3.1846541960447623E-2"/>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r>
                      <a:rPr lang="en-US" sz="800" b="0" i="0">
                        <a:solidFill>
                          <a:srgbClr val="000000"/>
                        </a:solidFill>
                        <a:latin typeface="+mn-lt"/>
                      </a:rPr>
                      <a:t>MEX</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DataLabelsRange val="1"/>
                </c:ext>
                <c:ext xmlns:c16="http://schemas.microsoft.com/office/drawing/2014/chart" uri="{C3380CC4-5D6E-409C-BE32-E72D297353CC}">
                  <c16:uniqueId val="{00000015-0BD4-4562-8019-2D6F547B8057}"/>
                </c:ext>
              </c:extLst>
            </c:dLbl>
            <c:dLbl>
              <c:idx val="22"/>
              <c:layout>
                <c:manualLayout>
                  <c:x val="-1.9021878093714632E-2"/>
                  <c:y val="5.4786840965267689E-2"/>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r>
                      <a:rPr lang="en-US" sz="800" b="0" i="0">
                        <a:solidFill>
                          <a:srgbClr val="000000"/>
                        </a:solidFill>
                        <a:latin typeface="+mn-lt"/>
                      </a:rPr>
                      <a:t>NLD</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DataLabelsRange val="1"/>
                </c:ext>
                <c:ext xmlns:c16="http://schemas.microsoft.com/office/drawing/2014/chart" uri="{C3380CC4-5D6E-409C-BE32-E72D297353CC}">
                  <c16:uniqueId val="{00000016-0BD4-4562-8019-2D6F547B8057}"/>
                </c:ext>
              </c:extLst>
            </c:dLbl>
            <c:dLbl>
              <c:idx val="23"/>
              <c:layout>
                <c:manualLayout>
                  <c:x val="-0.10965370065627725"/>
                  <c:y val="1.4470782638353902E-2"/>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r>
                      <a:rPr lang="en-US" sz="800" b="0" i="0">
                        <a:solidFill>
                          <a:srgbClr val="000000"/>
                        </a:solidFill>
                        <a:latin typeface="+mn-lt"/>
                      </a:rPr>
                      <a:t>NZL</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DataLabelsRange val="1"/>
                </c:ext>
                <c:ext xmlns:c16="http://schemas.microsoft.com/office/drawing/2014/chart" uri="{C3380CC4-5D6E-409C-BE32-E72D297353CC}">
                  <c16:uniqueId val="{00000017-0BD4-4562-8019-2D6F547B8057}"/>
                </c:ext>
              </c:extLst>
            </c:dLbl>
            <c:dLbl>
              <c:idx val="24"/>
              <c:layout>
                <c:manualLayout>
                  <c:x val="-8.7096006545230604E-3"/>
                  <c:y val="-4.5683899536485138E-17"/>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r>
                      <a:rPr lang="en-US" sz="800" b="0" i="0">
                        <a:solidFill>
                          <a:srgbClr val="000000"/>
                        </a:solidFill>
                        <a:latin typeface="+mn-lt"/>
                      </a:rPr>
                      <a:t>NOR</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DataLabelsRange val="1"/>
                </c:ext>
                <c:ext xmlns:c16="http://schemas.microsoft.com/office/drawing/2014/chart" uri="{C3380CC4-5D6E-409C-BE32-E72D297353CC}">
                  <c16:uniqueId val="{00000018-0BD4-4562-8019-2D6F547B8057}"/>
                </c:ext>
              </c:extLst>
            </c:dLbl>
            <c:dLbl>
              <c:idx val="25"/>
              <c:layout>
                <c:manualLayout>
                  <c:x val="-7.4862155552787454E-2"/>
                  <c:y val="3.2022957548529032E-2"/>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r>
                      <a:rPr lang="en-US" sz="800" b="0" i="0">
                        <a:solidFill>
                          <a:srgbClr val="000000"/>
                        </a:solidFill>
                        <a:latin typeface="+mn-lt"/>
                      </a:rPr>
                      <a:t>OECD</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DataLabelsRange val="1"/>
                </c:ext>
                <c:ext xmlns:c16="http://schemas.microsoft.com/office/drawing/2014/chart" uri="{C3380CC4-5D6E-409C-BE32-E72D297353CC}">
                  <c16:uniqueId val="{00000019-0BD4-4562-8019-2D6F547B8057}"/>
                </c:ext>
              </c:extLst>
            </c:dLbl>
            <c:dLbl>
              <c:idx val="26"/>
              <c:layout>
                <c:manualLayout>
                  <c:x val="-0.10163807063667417"/>
                  <c:y val="-2.4918897833812594E-2"/>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r>
                      <a:rPr lang="en-US" sz="800" b="0" i="0">
                        <a:solidFill>
                          <a:srgbClr val="000000"/>
                        </a:solidFill>
                        <a:latin typeface="+mn-lt"/>
                      </a:rPr>
                      <a:t>POL</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DataLabelsRange val="1"/>
                </c:ext>
                <c:ext xmlns:c16="http://schemas.microsoft.com/office/drawing/2014/chart" uri="{C3380CC4-5D6E-409C-BE32-E72D297353CC}">
                  <c16:uniqueId val="{0000001A-0BD4-4562-8019-2D6F547B8057}"/>
                </c:ext>
              </c:extLst>
            </c:dLbl>
            <c:dLbl>
              <c:idx val="27"/>
              <c:layout>
                <c:manualLayout>
                  <c:x val="-9.644128580513614E-2"/>
                  <c:y val="-3.3429969872137949E-2"/>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r>
                      <a:rPr lang="en-US" sz="800" b="0" i="0">
                        <a:solidFill>
                          <a:srgbClr val="000000"/>
                        </a:solidFill>
                        <a:latin typeface="+mn-lt"/>
                      </a:rPr>
                      <a:t>PRT</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DataLabelsRange val="1"/>
                </c:ext>
                <c:ext xmlns:c16="http://schemas.microsoft.com/office/drawing/2014/chart" uri="{C3380CC4-5D6E-409C-BE32-E72D297353CC}">
                  <c16:uniqueId val="{0000001B-0BD4-4562-8019-2D6F547B8057}"/>
                </c:ext>
              </c:extLst>
            </c:dLbl>
            <c:dLbl>
              <c:idx val="28"/>
              <c:layout>
                <c:manualLayout>
                  <c:x val="-5.6679145331646204E-2"/>
                  <c:y val="6.0271013546756992E-2"/>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r>
                      <a:rPr lang="en-US" sz="800" b="0" i="0">
                        <a:solidFill>
                          <a:srgbClr val="000000"/>
                        </a:solidFill>
                        <a:latin typeface="+mn-lt"/>
                      </a:rPr>
                      <a:t>SVK</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DataLabelsRange val="1"/>
                </c:ext>
                <c:ext xmlns:c16="http://schemas.microsoft.com/office/drawing/2014/chart" uri="{C3380CC4-5D6E-409C-BE32-E72D297353CC}">
                  <c16:uniqueId val="{0000001C-0BD4-4562-8019-2D6F547B8057}"/>
                </c:ext>
              </c:extLst>
            </c:dLbl>
            <c:dLbl>
              <c:idx val="29"/>
              <c:layout>
                <c:manualLayout>
                  <c:x val="-4.1901761655313521E-2"/>
                  <c:y val="5.3860463110520444E-2"/>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r>
                      <a:rPr lang="en-US" sz="800" b="0" i="0">
                        <a:solidFill>
                          <a:srgbClr val="000000"/>
                        </a:solidFill>
                        <a:latin typeface="+mn-lt"/>
                      </a:rPr>
                      <a:t>ESP</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DataLabelsRange val="1"/>
                </c:ext>
                <c:ext xmlns:c16="http://schemas.microsoft.com/office/drawing/2014/chart" uri="{C3380CC4-5D6E-409C-BE32-E72D297353CC}">
                  <c16:uniqueId val="{0000001D-0BD4-4562-8019-2D6F547B8057}"/>
                </c:ext>
              </c:extLst>
            </c:dLbl>
            <c:dLbl>
              <c:idx val="30"/>
              <c:layout>
                <c:manualLayout>
                  <c:x val="-0.11880306437548761"/>
                  <c:y val="1.3029075249088987E-2"/>
                </c:manualLayout>
              </c:layout>
              <c:tx>
                <c:rich>
                  <a:bodyPr rot="0" spcFirstLastPara="1" vertOverflow="ellipsis" vert="horz" wrap="square" lIns="38100" tIns="19050" rIns="38100" bIns="19050" anchor="ctr" anchorCtr="1">
                    <a:noAutofit/>
                  </a:bodyPr>
                  <a:lstStyle/>
                  <a:p>
                    <a:pPr>
                      <a:defRPr sz="800" b="0" i="0" u="none" strike="noStrike" kern="1200" baseline="0">
                        <a:solidFill>
                          <a:srgbClr val="000000"/>
                        </a:solidFill>
                        <a:latin typeface="+mn-lt"/>
                        <a:ea typeface="+mn-ea"/>
                        <a:cs typeface="+mn-cs"/>
                      </a:defRPr>
                    </a:pPr>
                    <a:r>
                      <a:rPr lang="en-US" sz="800" b="0" i="0">
                        <a:solidFill>
                          <a:srgbClr val="000000"/>
                        </a:solidFill>
                        <a:latin typeface="+mn-lt"/>
                      </a:rPr>
                      <a:t>SWE</a:t>
                    </a:r>
                  </a:p>
                </c:rich>
              </c:tx>
              <c:spPr>
                <a:noFill/>
                <a:ln>
                  <a:noFill/>
                </a:ln>
                <a:effectLst/>
              </c:spPr>
              <c:txPr>
                <a:bodyPr rot="0" spcFirstLastPara="1" vertOverflow="ellipsis" vert="horz" wrap="square" lIns="38100" tIns="19050" rIns="38100" bIns="19050" anchor="ctr" anchorCtr="1">
                  <a:no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layout>
                    <c:manualLayout>
                      <c:w val="0.10553901932116935"/>
                      <c:h val="6.284511299418416E-2"/>
                    </c:manualLayout>
                  </c15:layout>
                  <c15:showDataLabelsRange val="1"/>
                </c:ext>
                <c:ext xmlns:c16="http://schemas.microsoft.com/office/drawing/2014/chart" uri="{C3380CC4-5D6E-409C-BE32-E72D297353CC}">
                  <c16:uniqueId val="{0000001E-0BD4-4562-8019-2D6F547B8057}"/>
                </c:ext>
              </c:extLst>
            </c:dLbl>
            <c:dLbl>
              <c:idx val="31"/>
              <c:layout>
                <c:manualLayout>
                  <c:x val="-9.8855612448943489E-2"/>
                  <c:y val="-4.5507773066828183E-2"/>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r>
                      <a:rPr lang="en-US" sz="800" b="0" i="0">
                        <a:solidFill>
                          <a:srgbClr val="000000"/>
                        </a:solidFill>
                        <a:latin typeface="+mn-lt"/>
                      </a:rPr>
                      <a:t>TUR</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DataLabelsRange val="1"/>
                </c:ext>
                <c:ext xmlns:c16="http://schemas.microsoft.com/office/drawing/2014/chart" uri="{C3380CC4-5D6E-409C-BE32-E72D297353CC}">
                  <c16:uniqueId val="{0000001F-0BD4-4562-8019-2D6F547B8057}"/>
                </c:ext>
              </c:extLst>
            </c:dLbl>
            <c:dLbl>
              <c:idx val="32"/>
              <c:layout>
                <c:manualLayout>
                  <c:x val="-4.0987497295560789E-2"/>
                  <c:y val="-6.4764122557869216E-2"/>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r>
                      <a:rPr lang="en-US" sz="800" b="0" i="0">
                        <a:solidFill>
                          <a:srgbClr val="000000"/>
                        </a:solidFill>
                        <a:latin typeface="+mn-lt"/>
                      </a:rPr>
                      <a:t>GBR</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DataLabelsRange val="1"/>
                </c:ext>
                <c:ext xmlns:c16="http://schemas.microsoft.com/office/drawing/2014/chart" uri="{C3380CC4-5D6E-409C-BE32-E72D297353CC}">
                  <c16:uniqueId val="{00000020-0BD4-4562-8019-2D6F547B8057}"/>
                </c:ext>
              </c:extLst>
            </c:dLbl>
            <c:dLbl>
              <c:idx val="33"/>
              <c:layout>
                <c:manualLayout>
                  <c:x val="-4.7758757465892051E-3"/>
                  <c:y val="-3.4881282110087272E-2"/>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r>
                      <a:rPr lang="en-US" sz="800" b="0" i="0">
                        <a:solidFill>
                          <a:srgbClr val="000000"/>
                        </a:solidFill>
                        <a:latin typeface="+mn-lt"/>
                      </a:rPr>
                      <a:t>USA</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DataLabelsRange val="1"/>
                </c:ext>
                <c:ext xmlns:c16="http://schemas.microsoft.com/office/drawing/2014/chart" uri="{C3380CC4-5D6E-409C-BE32-E72D297353CC}">
                  <c16:uniqueId val="{00000021-0BD4-4562-8019-2D6F547B8057}"/>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lumMod val="75000"/>
                        <a:lumOff val="25000"/>
                      </a:schemeClr>
                    </a:solidFill>
                    <a:latin typeface="+mn-lt"/>
                    <a:ea typeface="+mn-ea"/>
                    <a:cs typeface="+mn-cs"/>
                  </a:defRPr>
                </a:pPr>
                <a:endParaRPr lang="cs-CZ"/>
              </a:p>
            </c:txPr>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1"/>
                <c15:leaderLines>
                  <c:spPr>
                    <a:ln w="9525" cap="flat" cmpd="sng" algn="ctr">
                      <a:solidFill>
                        <a:schemeClr val="tx1">
                          <a:lumMod val="35000"/>
                          <a:lumOff val="65000"/>
                        </a:schemeClr>
                      </a:solidFill>
                      <a:round/>
                    </a:ln>
                    <a:effectLst/>
                  </c:spPr>
                </c15:leaderLines>
              </c:ext>
            </c:extLst>
          </c:dLbls>
          <c:trendline>
            <c:spPr>
              <a:ln w="12700" cap="rnd" cmpd="sng">
                <a:solidFill>
                  <a:schemeClr val="tx1"/>
                </a:solidFill>
                <a:prstDash val="solid"/>
              </a:ln>
              <a:effectLst/>
            </c:spPr>
            <c:trendlineType val="power"/>
            <c:dispRSqr val="1"/>
            <c:dispEq val="0"/>
            <c:trendlineLbl>
              <c:layout>
                <c:manualLayout>
                  <c:x val="0.12596753361699894"/>
                  <c:y val="2.109499195348901E-2"/>
                </c:manualLayout>
              </c:layout>
              <c:numFmt formatCode="General" sourceLinked="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trendlineLbl>
          </c:trendline>
          <c:xVal>
            <c:numRef>
              <c:f>('g11-10'!$B$29:$B$31,'g11-10'!$B$32:$B$43,'g11-10'!$B$44:$B$57,'g11-10'!$B$58:$B$62)</c:f>
              <c:numCache>
                <c:formatCode>General</c:formatCode>
                <c:ptCount val="34"/>
                <c:pt idx="0">
                  <c:v>126020.06</c:v>
                </c:pt>
                <c:pt idx="1">
                  <c:v>119570.6</c:v>
                </c:pt>
                <c:pt idx="2">
                  <c:v>100330.06</c:v>
                </c:pt>
                <c:pt idx="3">
                  <c:v>49127.917999999998</c:v>
                </c:pt>
                <c:pt idx="4">
                  <c:v>33478.733</c:v>
                </c:pt>
                <c:pt idx="5">
                  <c:v>89025.31</c:v>
                </c:pt>
                <c:pt idx="6">
                  <c:v>130685.34</c:v>
                </c:pt>
                <c:pt idx="7">
                  <c:v>85357.850999999995</c:v>
                </c:pt>
                <c:pt idx="8">
                  <c:v>114059.13</c:v>
                </c:pt>
                <c:pt idx="9">
                  <c:v>93859.485000000001</c:v>
                </c:pt>
                <c:pt idx="10">
                  <c:v>121061.54000000001</c:v>
                </c:pt>
                <c:pt idx="11">
                  <c:v>65213.595000000001</c:v>
                </c:pt>
                <c:pt idx="12">
                  <c:v>62222.62</c:v>
                </c:pt>
                <c:pt idx="13">
                  <c:v>149636.85999999999</c:v>
                </c:pt>
                <c:pt idx="14">
                  <c:v>84022.008000000002</c:v>
                </c:pt>
                <c:pt idx="15">
                  <c:v>84717.3</c:v>
                </c:pt>
                <c:pt idx="16">
                  <c:v>89520.960000000006</c:v>
                </c:pt>
                <c:pt idx="17">
                  <c:v>125694.72</c:v>
                </c:pt>
                <c:pt idx="18">
                  <c:v>69012.514999999999</c:v>
                </c:pt>
                <c:pt idx="19">
                  <c:v>63775.624000000003</c:v>
                </c:pt>
                <c:pt idx="20">
                  <c:v>208642.71000000002</c:v>
                </c:pt>
                <c:pt idx="21">
                  <c:v>25496.637000000002</c:v>
                </c:pt>
                <c:pt idx="22">
                  <c:v>104212.53</c:v>
                </c:pt>
                <c:pt idx="23">
                  <c:v>71972.154999999999</c:v>
                </c:pt>
                <c:pt idx="24">
                  <c:v>153335.4</c:v>
                </c:pt>
                <c:pt idx="25">
                  <c:v>93790.832254901907</c:v>
                </c:pt>
                <c:pt idx="26">
                  <c:v>71218.724000000002</c:v>
                </c:pt>
                <c:pt idx="27">
                  <c:v>87992.141999999993</c:v>
                </c:pt>
                <c:pt idx="28">
                  <c:v>67296.639999999999</c:v>
                </c:pt>
                <c:pt idx="29">
                  <c:v>81760.043999999994</c:v>
                </c:pt>
                <c:pt idx="30">
                  <c:v>118875.23999999999</c:v>
                </c:pt>
                <c:pt idx="31">
                  <c:v>34920.923999999999</c:v>
                </c:pt>
                <c:pt idx="32">
                  <c:v>96669.299999999988</c:v>
                </c:pt>
                <c:pt idx="33">
                  <c:v>127072.44</c:v>
                </c:pt>
              </c:numCache>
            </c:numRef>
          </c:xVal>
          <c:yVal>
            <c:numRef>
              <c:f>('g11-10'!$C$29:$C$31,'g11-10'!$C$32:$C$43,'g11-10'!$C$44:$C$57,'g11-10'!$C$58:$C$62)</c:f>
              <c:numCache>
                <c:formatCode>General</c:formatCode>
                <c:ptCount val="34"/>
                <c:pt idx="0">
                  <c:v>503</c:v>
                </c:pt>
                <c:pt idx="1">
                  <c:v>484</c:v>
                </c:pt>
                <c:pt idx="2">
                  <c:v>493</c:v>
                </c:pt>
                <c:pt idx="3">
                  <c:v>452</c:v>
                </c:pt>
                <c:pt idx="4">
                  <c:v>412</c:v>
                </c:pt>
                <c:pt idx="5">
                  <c:v>490</c:v>
                </c:pt>
                <c:pt idx="6">
                  <c:v>501</c:v>
                </c:pt>
                <c:pt idx="7">
                  <c:v>523</c:v>
                </c:pt>
                <c:pt idx="8">
                  <c:v>520</c:v>
                </c:pt>
                <c:pt idx="9">
                  <c:v>493</c:v>
                </c:pt>
                <c:pt idx="10">
                  <c:v>498</c:v>
                </c:pt>
                <c:pt idx="11">
                  <c:v>457</c:v>
                </c:pt>
                <c:pt idx="12">
                  <c:v>476</c:v>
                </c:pt>
                <c:pt idx="13">
                  <c:v>474</c:v>
                </c:pt>
                <c:pt idx="14">
                  <c:v>518</c:v>
                </c:pt>
                <c:pt idx="15">
                  <c:v>476</c:v>
                </c:pt>
                <c:pt idx="16">
                  <c:v>504</c:v>
                </c:pt>
                <c:pt idx="17">
                  <c:v>514</c:v>
                </c:pt>
                <c:pt idx="18">
                  <c:v>479</c:v>
                </c:pt>
                <c:pt idx="19">
                  <c:v>476</c:v>
                </c:pt>
                <c:pt idx="20">
                  <c:v>470</c:v>
                </c:pt>
                <c:pt idx="21">
                  <c:v>420</c:v>
                </c:pt>
                <c:pt idx="22">
                  <c:v>485</c:v>
                </c:pt>
                <c:pt idx="23">
                  <c:v>506</c:v>
                </c:pt>
                <c:pt idx="24">
                  <c:v>499</c:v>
                </c:pt>
                <c:pt idx="25" formatCode="0">
                  <c:v>486.65714285714284</c:v>
                </c:pt>
                <c:pt idx="26">
                  <c:v>512</c:v>
                </c:pt>
                <c:pt idx="27">
                  <c:v>492</c:v>
                </c:pt>
                <c:pt idx="28">
                  <c:v>458</c:v>
                </c:pt>
                <c:pt idx="29">
                  <c:v>477</c:v>
                </c:pt>
                <c:pt idx="30">
                  <c:v>506</c:v>
                </c:pt>
                <c:pt idx="31">
                  <c:v>466</c:v>
                </c:pt>
                <c:pt idx="32">
                  <c:v>504</c:v>
                </c:pt>
                <c:pt idx="33">
                  <c:v>505</c:v>
                </c:pt>
              </c:numCache>
            </c:numRef>
          </c:yVal>
          <c:smooth val="0"/>
          <c:extLst>
            <c:ext xmlns:c15="http://schemas.microsoft.com/office/drawing/2012/chart" uri="{02D57815-91ED-43cb-92C2-25804820EDAC}">
              <c15:datalabelsRange>
                <c15:f>('g11-10'!$A$29:$A$31,'g11-10'!$A$32:$A$43,'g11-10'!$A$44:$A$57,'g11-10'!$A$58:$A$62)</c15:f>
                <c15:dlblRangeCache>
                  <c:ptCount val="34"/>
                  <c:pt idx="0">
                    <c:v>AUS </c:v>
                  </c:pt>
                  <c:pt idx="1">
                    <c:v>AUT</c:v>
                  </c:pt>
                  <c:pt idx="2">
                    <c:v>BEL</c:v>
                  </c:pt>
                  <c:pt idx="3">
                    <c:v>CHL</c:v>
                  </c:pt>
                  <c:pt idx="4">
                    <c:v>COL</c:v>
                  </c:pt>
                  <c:pt idx="5">
                    <c:v>CZE</c:v>
                  </c:pt>
                  <c:pt idx="6">
                    <c:v>DNK</c:v>
                  </c:pt>
                  <c:pt idx="7">
                    <c:v>EST</c:v>
                  </c:pt>
                  <c:pt idx="8">
                    <c:v>FIN</c:v>
                  </c:pt>
                  <c:pt idx="9">
                    <c:v>FRA</c:v>
                  </c:pt>
                  <c:pt idx="10">
                    <c:v>GER</c:v>
                  </c:pt>
                  <c:pt idx="11">
                    <c:v>GRC</c:v>
                  </c:pt>
                  <c:pt idx="12">
                    <c:v>HUN</c:v>
                  </c:pt>
                  <c:pt idx="13">
                    <c:v>ISL</c:v>
                  </c:pt>
                  <c:pt idx="14">
                    <c:v>IRL</c:v>
                  </c:pt>
                  <c:pt idx="15">
                    <c:v>ITA</c:v>
                  </c:pt>
                  <c:pt idx="16">
                    <c:v>JPN</c:v>
                  </c:pt>
                  <c:pt idx="17">
                    <c:v>KOR</c:v>
                  </c:pt>
                  <c:pt idx="18">
                    <c:v>LVA</c:v>
                  </c:pt>
                  <c:pt idx="19">
                    <c:v>LTU</c:v>
                  </c:pt>
                  <c:pt idx="20">
                    <c:v>LUX</c:v>
                  </c:pt>
                  <c:pt idx="21">
                    <c:v>MEX</c:v>
                  </c:pt>
                  <c:pt idx="22">
                    <c:v>NLD</c:v>
                  </c:pt>
                  <c:pt idx="23">
                    <c:v>NZL</c:v>
                  </c:pt>
                  <c:pt idx="24">
                    <c:v>NOR</c:v>
                  </c:pt>
                  <c:pt idx="25">
                    <c:v>OECD</c:v>
                  </c:pt>
                  <c:pt idx="26">
                    <c:v>POL</c:v>
                  </c:pt>
                  <c:pt idx="27">
                    <c:v>PRT</c:v>
                  </c:pt>
                  <c:pt idx="28">
                    <c:v>SVK</c:v>
                  </c:pt>
                  <c:pt idx="29">
                    <c:v>ESP</c:v>
                  </c:pt>
                  <c:pt idx="30">
                    <c:v>SWE</c:v>
                  </c:pt>
                  <c:pt idx="31">
                    <c:v>TUR</c:v>
                  </c:pt>
                  <c:pt idx="32">
                    <c:v>GBR</c:v>
                  </c:pt>
                  <c:pt idx="33">
                    <c:v>USA</c:v>
                  </c:pt>
                </c15:dlblRangeCache>
              </c15:datalabelsRange>
            </c:ext>
            <c:ext xmlns:c16="http://schemas.microsoft.com/office/drawing/2014/chart" uri="{C3380CC4-5D6E-409C-BE32-E72D297353CC}">
              <c16:uniqueId val="{00000023-0BD4-4562-8019-2D6F547B8057}"/>
            </c:ext>
          </c:extLst>
        </c:ser>
        <c:dLbls>
          <c:showLegendKey val="0"/>
          <c:showVal val="0"/>
          <c:showCatName val="0"/>
          <c:showSerName val="0"/>
          <c:showPercent val="0"/>
          <c:showBubbleSize val="0"/>
        </c:dLbls>
        <c:axId val="1033958303"/>
        <c:axId val="1033965375"/>
      </c:scatterChart>
      <c:valAx>
        <c:axId val="1033958303"/>
        <c:scaling>
          <c:orientation val="minMax"/>
          <c:min val="0"/>
        </c:scaling>
        <c:delete val="0"/>
        <c:axPos val="b"/>
        <c:majorGridlines>
          <c:spPr>
            <a:ln w="9525" cap="flat" cmpd="sng" algn="ctr">
              <a:solidFill>
                <a:srgbClr val="FFFFFF"/>
              </a:solidFill>
              <a:prstDash val="solid"/>
              <a:round/>
            </a:ln>
            <a:effectLst/>
          </c:spPr>
        </c:majorGridlines>
        <c:title>
          <c:tx>
            <c:rich>
              <a:bodyPr rot="0" spcFirstLastPara="1" vertOverflow="ellipsis" vert="horz" wrap="square" anchor="ctr" anchorCtr="1"/>
              <a:lstStyle/>
              <a:p>
                <a:pPr>
                  <a:defRPr sz="750" b="0" i="0" u="none" strike="noStrike" kern="1200" baseline="0">
                    <a:solidFill>
                      <a:srgbClr val="000000"/>
                    </a:solidFill>
                    <a:latin typeface="Arial Narrow" panose="020B0606020202030204" pitchFamily="34" charset="0"/>
                    <a:ea typeface="+mn-ea"/>
                    <a:cs typeface="+mn-cs"/>
                  </a:defRPr>
                </a:pPr>
                <a:r>
                  <a:rPr lang="cs-CZ" sz="750" b="0" i="0" u="none" strike="noStrike" baseline="0">
                    <a:effectLst/>
                  </a:rPr>
                  <a:t>Kumulativní výdaje na studenta</a:t>
                </a:r>
                <a:r>
                  <a:rPr lang="en-GB" sz="750" b="0" i="0" u="none" strike="noStrike" baseline="0">
                    <a:effectLst/>
                  </a:rPr>
                  <a:t> (</a:t>
                </a:r>
                <a:r>
                  <a:rPr lang="cs-CZ" sz="750" b="0" i="0" u="none" strike="noStrike" baseline="0">
                    <a:effectLst/>
                  </a:rPr>
                  <a:t>současná parita kupní síly)</a:t>
                </a:r>
                <a:endParaRPr lang="en-GB" sz="750" b="0" i="0">
                  <a:solidFill>
                    <a:srgbClr val="000000"/>
                  </a:solidFill>
                  <a:latin typeface="Arial Narrow" panose="020B0606020202030204" pitchFamily="34" charset="0"/>
                </a:endParaRPr>
              </a:p>
            </c:rich>
          </c:tx>
          <c:layout>
            <c:manualLayout>
              <c:xMode val="edge"/>
              <c:yMode val="edge"/>
              <c:x val="0.33622642043160872"/>
              <c:y val="0.90934833745951527"/>
            </c:manualLayout>
          </c:layout>
          <c:overlay val="0"/>
          <c:spPr>
            <a:noFill/>
            <a:ln>
              <a:noFill/>
            </a:ln>
            <a:effectLst/>
          </c:spPr>
          <c:txPr>
            <a:bodyPr rot="0" spcFirstLastPara="1" vertOverflow="ellipsis" vert="horz" wrap="square" anchor="ctr" anchorCtr="1"/>
            <a:lstStyle/>
            <a:p>
              <a:pPr>
                <a:defRPr sz="750" b="0" i="0" u="none" strike="noStrike" kern="1200" baseline="0">
                  <a:solidFill>
                    <a:srgbClr val="000000"/>
                  </a:solidFill>
                  <a:latin typeface="Arial Narrow" panose="020B0606020202030204" pitchFamily="34" charset="0"/>
                  <a:ea typeface="+mn-ea"/>
                  <a:cs typeface="+mn-cs"/>
                </a:defRPr>
              </a:pPr>
              <a:endParaRPr lang="cs-CZ"/>
            </a:p>
          </c:txPr>
        </c:title>
        <c:numFmt formatCode="General" sourceLinked="1"/>
        <c:majorTickMark val="in"/>
        <c:minorTickMark val="none"/>
        <c:tickLblPos val="low"/>
        <c:spPr>
          <a:noFill/>
          <a:ln w="9525" cap="flat" cmpd="sng" algn="ctr">
            <a:solidFill>
              <a:srgbClr val="000000"/>
            </a:solidFill>
            <a:prstDash val="solid"/>
            <a:round/>
          </a:ln>
          <a:effectLst/>
          <a:extLst>
            <a:ext uri="{909E8E84-426E-40DD-AFC4-6F175D3DCCD1}">
              <a14:hiddenFill xmlns:a14="http://schemas.microsoft.com/office/drawing/2010/main">
                <a:noFill/>
              </a14:hiddenFill>
            </a:ext>
          </a:extLst>
        </c:spPr>
        <c:txPr>
          <a:bodyPr rot="-60000000" spcFirstLastPara="1" vertOverflow="ellipsis" vert="horz" wrap="square" anchor="ctr" anchorCtr="1"/>
          <a:lstStyle/>
          <a:p>
            <a:pPr>
              <a:defRPr sz="700" b="0" i="0" u="none" strike="noStrike" kern="1200" baseline="0">
                <a:solidFill>
                  <a:srgbClr val="000000"/>
                </a:solidFill>
                <a:latin typeface="+mn-lt"/>
                <a:ea typeface="Arial Narrow"/>
                <a:cs typeface="Arial Narrow"/>
              </a:defRPr>
            </a:pPr>
            <a:endParaRPr lang="cs-CZ"/>
          </a:p>
        </c:txPr>
        <c:crossAx val="1033965375"/>
        <c:crosses val="autoZero"/>
        <c:crossBetween val="midCat"/>
      </c:valAx>
      <c:valAx>
        <c:axId val="1033965375"/>
        <c:scaling>
          <c:orientation val="minMax"/>
          <c:min val="390"/>
        </c:scaling>
        <c:delete val="0"/>
        <c:axPos val="l"/>
        <c:majorGridlines>
          <c:spPr>
            <a:ln w="6350" cap="flat" cmpd="sng" algn="ctr">
              <a:solidFill>
                <a:schemeClr val="tx1"/>
              </a:solidFill>
              <a:prstDash val="dash"/>
              <a:round/>
            </a:ln>
            <a:effectLst/>
          </c:spPr>
        </c:majorGridlines>
        <c:title>
          <c:tx>
            <c:rich>
              <a:bodyPr rot="0" spcFirstLastPara="1" vertOverflow="ellipsis" wrap="square" anchor="ctr" anchorCtr="1"/>
              <a:lstStyle/>
              <a:p>
                <a:pPr>
                  <a:defRPr sz="750" b="0" i="0" u="none" strike="noStrike" kern="1200" baseline="0">
                    <a:solidFill>
                      <a:srgbClr val="000000"/>
                    </a:solidFill>
                    <a:latin typeface="Arial Narrow" panose="020B0606020202030204" pitchFamily="34" charset="0"/>
                    <a:ea typeface="+mn-ea"/>
                    <a:cs typeface="+mn-cs"/>
                  </a:defRPr>
                </a:pPr>
                <a:r>
                  <a:rPr lang="en-GB" sz="700" b="0" i="0">
                    <a:solidFill>
                      <a:srgbClr val="000000"/>
                    </a:solidFill>
                    <a:latin typeface="+mn-lt"/>
                  </a:rPr>
                  <a:t>PISA </a:t>
                </a:r>
                <a:r>
                  <a:rPr lang="cs-CZ" sz="700" b="0" i="0">
                    <a:solidFill>
                      <a:srgbClr val="000000"/>
                    </a:solidFill>
                    <a:latin typeface="+mn-lt"/>
                  </a:rPr>
                  <a:t>čtení</a:t>
                </a:r>
                <a:endParaRPr lang="en-GB" sz="700" b="0" i="0">
                  <a:solidFill>
                    <a:srgbClr val="000000"/>
                  </a:solidFill>
                  <a:latin typeface="+mn-lt"/>
                </a:endParaRPr>
              </a:p>
            </c:rich>
          </c:tx>
          <c:layout>
            <c:manualLayout>
              <c:xMode val="edge"/>
              <c:yMode val="edge"/>
              <c:x val="8.4968951493375133E-2"/>
              <c:y val="2.4491153470567004E-2"/>
            </c:manualLayout>
          </c:layout>
          <c:overlay val="0"/>
          <c:spPr>
            <a:noFill/>
            <a:ln>
              <a:noFill/>
            </a:ln>
            <a:effectLst/>
          </c:spPr>
          <c:txPr>
            <a:bodyPr rot="0" spcFirstLastPara="1" vertOverflow="ellipsis" wrap="square" anchor="ctr" anchorCtr="1"/>
            <a:lstStyle/>
            <a:p>
              <a:pPr>
                <a:defRPr sz="750" b="0" i="0" u="none" strike="noStrike" kern="1200" baseline="0">
                  <a:solidFill>
                    <a:srgbClr val="000000"/>
                  </a:solidFill>
                  <a:latin typeface="Arial Narrow" panose="020B0606020202030204" pitchFamily="34" charset="0"/>
                  <a:ea typeface="+mn-ea"/>
                  <a:cs typeface="+mn-cs"/>
                </a:defRPr>
              </a:pPr>
              <a:endParaRPr lang="cs-CZ"/>
            </a:p>
          </c:txPr>
        </c:title>
        <c:numFmt formatCode="General" sourceLinked="1"/>
        <c:majorTickMark val="in"/>
        <c:minorTickMark val="none"/>
        <c:tickLblPos val="nextTo"/>
        <c:spPr>
          <a:noFill/>
          <a:ln w="9525" cap="flat" cmpd="sng" algn="ctr">
            <a:solidFill>
              <a:srgbClr val="000000"/>
            </a:solidFill>
            <a:prstDash val="solid"/>
            <a:round/>
          </a:ln>
          <a:effectLst/>
          <a:extLst>
            <a:ext uri="{909E8E84-426E-40DD-AFC4-6F175D3DCCD1}">
              <a14:hiddenFill xmlns:a14="http://schemas.microsoft.com/office/drawing/2010/main">
                <a:noFill/>
              </a14:hiddenFill>
            </a:ext>
          </a:extLst>
        </c:spPr>
        <c:txPr>
          <a:bodyPr rot="-60000000" spcFirstLastPara="1" vertOverflow="ellipsis" vert="horz" wrap="square" anchor="ctr" anchorCtr="1"/>
          <a:lstStyle/>
          <a:p>
            <a:pPr>
              <a:defRPr sz="700" b="0" i="0" u="none" strike="noStrike" kern="1200" baseline="0">
                <a:solidFill>
                  <a:srgbClr val="000000"/>
                </a:solidFill>
                <a:latin typeface="+mn-lt"/>
                <a:ea typeface="Arial Narrow"/>
                <a:cs typeface="Arial Narrow"/>
              </a:defRPr>
            </a:pPr>
            <a:endParaRPr lang="cs-CZ"/>
          </a:p>
        </c:txPr>
        <c:crossAx val="1033958303"/>
        <c:crosses val="autoZero"/>
        <c:crossBetween val="midCat"/>
      </c:valAx>
      <c:spPr>
        <a:noFill/>
        <a:ln w="9525">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ysClr val="window" lastClr="FFFFFF"/>
    </a:solidFill>
    <a:ln w="9525" cap="flat" cmpd="sng" algn="ctr">
      <a:noFill/>
      <a:round/>
    </a:ln>
    <a:effectLst/>
    <a:extLst>
      <a:ext uri="{91240B29-F687-4F45-9708-019B960494DF}">
        <a14:hiddenLine xmlns:a14="http://schemas.microsoft.com/office/drawing/2010/main" w="9525" cap="flat" cmpd="sng" algn="ctr">
          <a:solidFill>
            <a:sysClr val="windowText" lastClr="000000">
              <a:lumMod val="15000"/>
              <a:lumOff val="85000"/>
            </a:sysClr>
          </a:solidFill>
          <a:round/>
        </a14:hiddenLine>
      </a:ext>
    </a:extLst>
  </c:spPr>
  <c:txPr>
    <a:bodyPr/>
    <a:lstStyle/>
    <a:p>
      <a:pPr>
        <a:defRPr/>
      </a:pPr>
      <a:endParaRPr lang="cs-CZ"/>
    </a:p>
  </c:txPr>
  <c:externalData r:id="rId3">
    <c:autoUpdate val="0"/>
  </c:externalData>
</c:chartSpace>
</file>

<file path=word/charts/chart3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6"/>
    </mc:Choice>
    <mc:Fallback>
      <c:style val="6"/>
    </mc:Fallback>
  </mc:AlternateContent>
  <c:chart>
    <c:autoTitleDeleted val="1"/>
    <c:plotArea>
      <c:layout>
        <c:manualLayout>
          <c:layoutTarget val="inner"/>
          <c:xMode val="edge"/>
          <c:yMode val="edge"/>
          <c:x val="5.0034997902869416E-2"/>
          <c:y val="0.16951693965538336"/>
          <c:w val="0.84858811882486385"/>
          <c:h val="0.67279208085986608"/>
        </c:manualLayout>
      </c:layout>
      <c:scatterChart>
        <c:scatterStyle val="lineMarker"/>
        <c:varyColors val="0"/>
        <c:ser>
          <c:idx val="0"/>
          <c:order val="0"/>
          <c:tx>
            <c:strRef>
              <c:f>'D:\Users\ODBOR_Ekonomických_analýz\_VÝSTUPY\_HLAVNÍ ÚKOLY\HOSPODÁŘSKÁ STRATEGIE\_VONDRÁČKOVÁ_Veronika\VÝSTUP\Podklady\01_01_\[Tab_11_08_ivmgt9.xlsx]g11-8'!$C$25</c:f>
              <c:strCache>
                <c:ptCount val="1"/>
                <c:pt idx="0">
                  <c:v>Life expectancy at birth, 2020</c:v>
                </c:pt>
              </c:strCache>
            </c:strRef>
          </c:tx>
          <c:spPr>
            <a:ln w="25400" cap="rnd">
              <a:noFill/>
              <a:round/>
            </a:ln>
            <a:effectLst/>
          </c:spPr>
          <c:marker>
            <c:symbol val="diamond"/>
            <c:size val="5"/>
            <c:spPr>
              <a:solidFill>
                <a:srgbClr val="0096D6"/>
              </a:solidFill>
              <a:ln w="9525">
                <a:solidFill>
                  <a:srgbClr val="4F81BD"/>
                </a:solidFill>
                <a:prstDash val="solid"/>
              </a:ln>
              <a:effectLst/>
            </c:spPr>
          </c:marker>
          <c:dPt>
            <c:idx val="7"/>
            <c:marker>
              <c:symbol val="diamond"/>
              <c:size val="5"/>
              <c:spPr>
                <a:solidFill>
                  <a:schemeClr val="accent1"/>
                </a:solidFill>
                <a:ln w="9525">
                  <a:solidFill>
                    <a:schemeClr val="accent1"/>
                  </a:solidFill>
                  <a:prstDash val="solid"/>
                </a:ln>
                <a:effectLst/>
              </c:spPr>
            </c:marker>
            <c:bubble3D val="0"/>
            <c:extLst>
              <c:ext xmlns:c16="http://schemas.microsoft.com/office/drawing/2014/chart" uri="{C3380CC4-5D6E-409C-BE32-E72D297353CC}">
                <c16:uniqueId val="{00000000-D1F1-4828-AC78-A458987DE114}"/>
              </c:ext>
            </c:extLst>
          </c:dPt>
          <c:dLbls>
            <c:dLbl>
              <c:idx val="0"/>
              <c:layout>
                <c:manualLayout>
                  <c:x val="-1.622368498692035E-2"/>
                  <c:y val="-9.5485475825273849E-2"/>
                </c:manualLayout>
              </c:layout>
              <c:tx>
                <c:rich>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r>
                      <a:rPr lang="en-US" sz="850" b="0" i="0">
                        <a:solidFill>
                          <a:srgbClr val="000000"/>
                        </a:solidFill>
                        <a:latin typeface="+mn-lt"/>
                      </a:rPr>
                      <a:t>AUS </a:t>
                    </a:r>
                  </a:p>
                </c:rich>
              </c:tx>
              <c:spPr>
                <a:noFill/>
                <a:ln>
                  <a:noFill/>
                </a:ln>
                <a:effectLst/>
              </c:spPr>
              <c:txPr>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endParaRPr lang="cs-CZ"/>
                </a:p>
              </c:txPr>
              <c:dLblPos val="r"/>
              <c:showLegendKey val="0"/>
              <c:showVal val="0"/>
              <c:showCatName val="0"/>
              <c:showSerName val="0"/>
              <c:showPercent val="0"/>
              <c:showBubbleSize val="0"/>
              <c:separator>, </c:separator>
              <c:extLst>
                <c:ext xmlns:c15="http://schemas.microsoft.com/office/drawing/2012/chart" uri="{CE6537A1-D6FC-4f65-9D91-7224C49458BB}">
                  <c15:showDataLabelsRange val="1"/>
                </c:ext>
                <c:ext xmlns:c16="http://schemas.microsoft.com/office/drawing/2014/chart" uri="{C3380CC4-5D6E-409C-BE32-E72D297353CC}">
                  <c16:uniqueId val="{00000001-D1F1-4828-AC78-A458987DE114}"/>
                </c:ext>
              </c:extLst>
            </c:dLbl>
            <c:dLbl>
              <c:idx val="1"/>
              <c:layout>
                <c:manualLayout>
                  <c:x val="1.0732526044569157E-3"/>
                  <c:y val="0.14641498129613162"/>
                </c:manualLayout>
              </c:layout>
              <c:tx>
                <c:rich>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r>
                      <a:rPr lang="en-US" sz="850" b="0" i="0">
                        <a:solidFill>
                          <a:srgbClr val="000000"/>
                        </a:solidFill>
                        <a:latin typeface="+mn-lt"/>
                      </a:rPr>
                      <a:t>AUT</a:t>
                    </a:r>
                  </a:p>
                </c:rich>
              </c:tx>
              <c:spPr>
                <a:noFill/>
                <a:ln>
                  <a:noFill/>
                </a:ln>
                <a:effectLst/>
              </c:spPr>
              <c:txPr>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endParaRPr lang="cs-CZ"/>
                </a:p>
              </c:txPr>
              <c:dLblPos val="r"/>
              <c:showLegendKey val="0"/>
              <c:showVal val="0"/>
              <c:showCatName val="0"/>
              <c:showSerName val="0"/>
              <c:showPercent val="0"/>
              <c:showBubbleSize val="0"/>
              <c:separator>, </c:separator>
              <c:extLst>
                <c:ext xmlns:c15="http://schemas.microsoft.com/office/drawing/2012/chart" uri="{CE6537A1-D6FC-4f65-9D91-7224C49458BB}">
                  <c15:showDataLabelsRange val="1"/>
                </c:ext>
                <c:ext xmlns:c16="http://schemas.microsoft.com/office/drawing/2014/chart" uri="{C3380CC4-5D6E-409C-BE32-E72D297353CC}">
                  <c16:uniqueId val="{00000002-D1F1-4828-AC78-A458987DE114}"/>
                </c:ext>
              </c:extLst>
            </c:dLbl>
            <c:dLbl>
              <c:idx val="2"/>
              <c:tx>
                <c:rich>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r>
                      <a:rPr lang="en-US" sz="850" b="0" i="0">
                        <a:solidFill>
                          <a:srgbClr val="000000"/>
                        </a:solidFill>
                        <a:latin typeface="+mn-lt"/>
                      </a:rPr>
                      <a:t>BEL</a:t>
                    </a:r>
                  </a:p>
                </c:rich>
              </c:tx>
              <c:spPr>
                <a:noFill/>
                <a:ln>
                  <a:noFill/>
                </a:ln>
                <a:effectLst/>
              </c:spPr>
              <c:txPr>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endParaRPr lang="cs-CZ"/>
                </a:p>
              </c:txPr>
              <c:dLblPos val="b"/>
              <c:showLegendKey val="0"/>
              <c:showVal val="0"/>
              <c:showCatName val="0"/>
              <c:showSerName val="0"/>
              <c:showPercent val="0"/>
              <c:showBubbleSize val="0"/>
              <c:separator>, </c:separator>
              <c:extLst>
                <c:ext xmlns:c15="http://schemas.microsoft.com/office/drawing/2012/chart" uri="{CE6537A1-D6FC-4f65-9D91-7224C49458BB}">
                  <c15:showDataLabelsRange val="1"/>
                </c:ext>
                <c:ext xmlns:c16="http://schemas.microsoft.com/office/drawing/2014/chart" uri="{C3380CC4-5D6E-409C-BE32-E72D297353CC}">
                  <c16:uniqueId val="{00000003-D1F1-4828-AC78-A458987DE114}"/>
                </c:ext>
              </c:extLst>
            </c:dLbl>
            <c:dLbl>
              <c:idx val="3"/>
              <c:layout>
                <c:manualLayout>
                  <c:x val="-6.8466566575098179E-3"/>
                  <c:y val="-4.6370804901494221E-2"/>
                </c:manualLayout>
              </c:layout>
              <c:tx>
                <c:rich>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r>
                      <a:rPr lang="en-US" sz="850" b="0" i="0">
                        <a:solidFill>
                          <a:srgbClr val="000000"/>
                        </a:solidFill>
                        <a:latin typeface="+mn-lt"/>
                      </a:rPr>
                      <a:t>CAN</a:t>
                    </a:r>
                  </a:p>
                </c:rich>
              </c:tx>
              <c:spPr>
                <a:noFill/>
                <a:ln>
                  <a:noFill/>
                </a:ln>
                <a:effectLst/>
              </c:spPr>
              <c:txPr>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endParaRPr lang="cs-CZ"/>
                </a:p>
              </c:txPr>
              <c:dLblPos val="r"/>
              <c:showLegendKey val="0"/>
              <c:showVal val="0"/>
              <c:showCatName val="0"/>
              <c:showSerName val="0"/>
              <c:showPercent val="0"/>
              <c:showBubbleSize val="0"/>
              <c:separator>, </c:separator>
              <c:extLst>
                <c:ext xmlns:c15="http://schemas.microsoft.com/office/drawing/2012/chart" uri="{CE6537A1-D6FC-4f65-9D91-7224C49458BB}">
                  <c15:showDataLabelsRange val="1"/>
                </c:ext>
                <c:ext xmlns:c16="http://schemas.microsoft.com/office/drawing/2014/chart" uri="{C3380CC4-5D6E-409C-BE32-E72D297353CC}">
                  <c16:uniqueId val="{00000004-D1F1-4828-AC78-A458987DE114}"/>
                </c:ext>
              </c:extLst>
            </c:dLbl>
            <c:dLbl>
              <c:idx val="4"/>
              <c:layout>
                <c:manualLayout>
                  <c:x val="-2.652617410060841E-2"/>
                  <c:y val="4.3712477290955495E-2"/>
                </c:manualLayout>
              </c:layout>
              <c:tx>
                <c:rich>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r>
                      <a:rPr lang="en-US" sz="850" b="0" i="0">
                        <a:solidFill>
                          <a:srgbClr val="000000"/>
                        </a:solidFill>
                        <a:latin typeface="+mn-lt"/>
                      </a:rPr>
                      <a:t>CHL</a:t>
                    </a:r>
                  </a:p>
                </c:rich>
              </c:tx>
              <c:spPr>
                <a:noFill/>
                <a:ln>
                  <a:noFill/>
                </a:ln>
                <a:effectLst/>
              </c:spPr>
              <c:txPr>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endParaRPr lang="cs-CZ"/>
                </a:p>
              </c:txPr>
              <c:dLblPos val="r"/>
              <c:showLegendKey val="0"/>
              <c:showVal val="0"/>
              <c:showCatName val="0"/>
              <c:showSerName val="0"/>
              <c:showPercent val="0"/>
              <c:showBubbleSize val="0"/>
              <c:separator>, </c:separator>
              <c:extLst>
                <c:ext xmlns:c15="http://schemas.microsoft.com/office/drawing/2012/chart" uri="{CE6537A1-D6FC-4f65-9D91-7224C49458BB}">
                  <c15:showDataLabelsRange val="1"/>
                </c:ext>
                <c:ext xmlns:c16="http://schemas.microsoft.com/office/drawing/2014/chart" uri="{C3380CC4-5D6E-409C-BE32-E72D297353CC}">
                  <c16:uniqueId val="{00000005-D1F1-4828-AC78-A458987DE114}"/>
                </c:ext>
              </c:extLst>
            </c:dLbl>
            <c:dLbl>
              <c:idx val="5"/>
              <c:layout>
                <c:manualLayout>
                  <c:x val="-5.978416936017885E-2"/>
                  <c:y val="5.0254535664380658E-2"/>
                </c:manualLayout>
              </c:layout>
              <c:tx>
                <c:rich>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r>
                      <a:rPr lang="en-US" sz="850" b="0" i="0">
                        <a:solidFill>
                          <a:srgbClr val="000000"/>
                        </a:solidFill>
                        <a:latin typeface="+mn-lt"/>
                      </a:rPr>
                      <a:t>COL</a:t>
                    </a:r>
                  </a:p>
                </c:rich>
              </c:tx>
              <c:spPr>
                <a:noFill/>
                <a:ln>
                  <a:noFill/>
                </a:ln>
                <a:effectLst/>
              </c:spPr>
              <c:txPr>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endParaRPr lang="cs-CZ"/>
                </a:p>
              </c:txPr>
              <c:dLblPos val="r"/>
              <c:showLegendKey val="0"/>
              <c:showVal val="0"/>
              <c:showCatName val="0"/>
              <c:showSerName val="0"/>
              <c:showPercent val="0"/>
              <c:showBubbleSize val="0"/>
              <c:separator>, </c:separator>
              <c:extLst>
                <c:ext xmlns:c15="http://schemas.microsoft.com/office/drawing/2012/chart" uri="{CE6537A1-D6FC-4f65-9D91-7224C49458BB}">
                  <c15:layout>
                    <c:manualLayout>
                      <c:w val="0.10122797930858143"/>
                      <c:h val="6.0928917716251037E-2"/>
                    </c:manualLayout>
                  </c15:layout>
                  <c15:showDataLabelsRange val="1"/>
                </c:ext>
                <c:ext xmlns:c16="http://schemas.microsoft.com/office/drawing/2014/chart" uri="{C3380CC4-5D6E-409C-BE32-E72D297353CC}">
                  <c16:uniqueId val="{00000006-D1F1-4828-AC78-A458987DE114}"/>
                </c:ext>
              </c:extLst>
            </c:dLbl>
            <c:dLbl>
              <c:idx val="6"/>
              <c:layout>
                <c:manualLayout>
                  <c:x val="-8.0602778524457963E-2"/>
                  <c:y val="-3.0631494925402566E-2"/>
                </c:manualLayout>
              </c:layout>
              <c:tx>
                <c:rich>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r>
                      <a:rPr lang="en-US" sz="850" b="0" i="0">
                        <a:solidFill>
                          <a:srgbClr val="000000"/>
                        </a:solidFill>
                        <a:latin typeface="+mn-lt"/>
                      </a:rPr>
                      <a:t>CRI</a:t>
                    </a:r>
                  </a:p>
                </c:rich>
              </c:tx>
              <c:spPr>
                <a:noFill/>
                <a:ln>
                  <a:noFill/>
                </a:ln>
                <a:effectLst/>
              </c:spPr>
              <c:txPr>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endParaRPr lang="cs-CZ"/>
                </a:p>
              </c:txPr>
              <c:dLblPos val="r"/>
              <c:showLegendKey val="0"/>
              <c:showVal val="0"/>
              <c:showCatName val="0"/>
              <c:showSerName val="0"/>
              <c:showPercent val="0"/>
              <c:showBubbleSize val="0"/>
              <c:separator>, </c:separator>
              <c:extLst>
                <c:ext xmlns:c15="http://schemas.microsoft.com/office/drawing/2012/chart" uri="{CE6537A1-D6FC-4f65-9D91-7224C49458BB}">
                  <c15:showDataLabelsRange val="1"/>
                </c:ext>
                <c:ext xmlns:c16="http://schemas.microsoft.com/office/drawing/2014/chart" uri="{C3380CC4-5D6E-409C-BE32-E72D297353CC}">
                  <c16:uniqueId val="{00000007-D1F1-4828-AC78-A458987DE114}"/>
                </c:ext>
              </c:extLst>
            </c:dLbl>
            <c:dLbl>
              <c:idx val="7"/>
              <c:layout>
                <c:manualLayout>
                  <c:x val="-3.7542205642279766E-2"/>
                  <c:y val="3.2301855598173029E-2"/>
                </c:manualLayout>
              </c:layout>
              <c:tx>
                <c:rich>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r>
                      <a:rPr lang="en-US" sz="850" b="0" i="0">
                        <a:solidFill>
                          <a:schemeClr val="accent4"/>
                        </a:solidFill>
                        <a:latin typeface="+mn-lt"/>
                      </a:rPr>
                      <a:t>CZE</a:t>
                    </a:r>
                  </a:p>
                </c:rich>
              </c:tx>
              <c:spPr>
                <a:noFill/>
                <a:ln>
                  <a:noFill/>
                </a:ln>
                <a:effectLst/>
              </c:spPr>
              <c:txPr>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endParaRPr lang="cs-CZ"/>
                </a:p>
              </c:txPr>
              <c:dLblPos val="r"/>
              <c:showLegendKey val="0"/>
              <c:showVal val="0"/>
              <c:showCatName val="0"/>
              <c:showSerName val="0"/>
              <c:showPercent val="0"/>
              <c:showBubbleSize val="0"/>
              <c:separator>, </c:separator>
              <c:extLst>
                <c:ext xmlns:c15="http://schemas.microsoft.com/office/drawing/2012/chart" uri="{CE6537A1-D6FC-4f65-9D91-7224C49458BB}">
                  <c15:showDataLabelsRange val="1"/>
                </c:ext>
                <c:ext xmlns:c16="http://schemas.microsoft.com/office/drawing/2014/chart" uri="{C3380CC4-5D6E-409C-BE32-E72D297353CC}">
                  <c16:uniqueId val="{00000000-D1F1-4828-AC78-A458987DE114}"/>
                </c:ext>
              </c:extLst>
            </c:dLbl>
            <c:dLbl>
              <c:idx val="8"/>
              <c:layout>
                <c:manualLayout>
                  <c:x val="-5.272640253856694E-2"/>
                  <c:y val="7.0106990298257024E-2"/>
                </c:manualLayout>
              </c:layout>
              <c:tx>
                <c:rich>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r>
                      <a:rPr lang="en-US" sz="850" b="0" i="0">
                        <a:solidFill>
                          <a:srgbClr val="000000"/>
                        </a:solidFill>
                        <a:latin typeface="+mn-lt"/>
                      </a:rPr>
                      <a:t>DNK</a:t>
                    </a:r>
                  </a:p>
                </c:rich>
              </c:tx>
              <c:spPr>
                <a:noFill/>
                <a:ln>
                  <a:noFill/>
                </a:ln>
                <a:effectLst/>
              </c:spPr>
              <c:txPr>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endParaRPr lang="cs-CZ"/>
                </a:p>
              </c:txPr>
              <c:dLblPos val="r"/>
              <c:showLegendKey val="0"/>
              <c:showVal val="0"/>
              <c:showCatName val="0"/>
              <c:showSerName val="0"/>
              <c:showPercent val="0"/>
              <c:showBubbleSize val="0"/>
              <c:separator>, </c:separator>
              <c:extLst>
                <c:ext xmlns:c15="http://schemas.microsoft.com/office/drawing/2012/chart" uri="{CE6537A1-D6FC-4f65-9D91-7224C49458BB}">
                  <c15:showDataLabelsRange val="1"/>
                </c:ext>
                <c:ext xmlns:c16="http://schemas.microsoft.com/office/drawing/2014/chart" uri="{C3380CC4-5D6E-409C-BE32-E72D297353CC}">
                  <c16:uniqueId val="{00000008-D1F1-4828-AC78-A458987DE114}"/>
                </c:ext>
              </c:extLst>
            </c:dLbl>
            <c:dLbl>
              <c:idx val="9"/>
              <c:layout>
                <c:manualLayout>
                  <c:x val="-5.2446124292748204E-2"/>
                  <c:y val="3.9441367686010115E-2"/>
                </c:manualLayout>
              </c:layout>
              <c:tx>
                <c:rich>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r>
                      <a:rPr lang="en-US" sz="850" b="0" i="0">
                        <a:solidFill>
                          <a:srgbClr val="000000"/>
                        </a:solidFill>
                        <a:latin typeface="+mn-lt"/>
                      </a:rPr>
                      <a:t>EST</a:t>
                    </a:r>
                  </a:p>
                </c:rich>
              </c:tx>
              <c:spPr>
                <a:noFill/>
                <a:ln>
                  <a:noFill/>
                </a:ln>
                <a:effectLst/>
              </c:spPr>
              <c:txPr>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endParaRPr lang="cs-CZ"/>
                </a:p>
              </c:txPr>
              <c:dLblPos val="r"/>
              <c:showLegendKey val="0"/>
              <c:showVal val="0"/>
              <c:showCatName val="0"/>
              <c:showSerName val="0"/>
              <c:showPercent val="0"/>
              <c:showBubbleSize val="0"/>
              <c:separator>, </c:separator>
              <c:extLst>
                <c:ext xmlns:c15="http://schemas.microsoft.com/office/drawing/2012/chart" uri="{CE6537A1-D6FC-4f65-9D91-7224C49458BB}">
                  <c15:showDataLabelsRange val="1"/>
                </c:ext>
                <c:ext xmlns:c16="http://schemas.microsoft.com/office/drawing/2014/chart" uri="{C3380CC4-5D6E-409C-BE32-E72D297353CC}">
                  <c16:uniqueId val="{00000009-D1F1-4828-AC78-A458987DE114}"/>
                </c:ext>
              </c:extLst>
            </c:dLbl>
            <c:dLbl>
              <c:idx val="10"/>
              <c:layout>
                <c:manualLayout>
                  <c:x val="-4.7623043788968512E-2"/>
                  <c:y val="6.472315810030127E-2"/>
                </c:manualLayout>
              </c:layout>
              <c:tx>
                <c:rich>
                  <a:bodyPr rot="0" spcFirstLastPara="1" vertOverflow="ellipsis" vert="horz" wrap="square" lIns="38100" tIns="19050" rIns="38100" bIns="19050" anchor="ctr" anchorCtr="1">
                    <a:noAutofit/>
                  </a:bodyPr>
                  <a:lstStyle/>
                  <a:p>
                    <a:pPr>
                      <a:defRPr sz="850" b="0" i="0" u="none" strike="noStrike" kern="1200" baseline="0">
                        <a:solidFill>
                          <a:srgbClr val="000000"/>
                        </a:solidFill>
                        <a:latin typeface="+mn-lt"/>
                        <a:ea typeface="+mn-ea"/>
                        <a:cs typeface="+mn-cs"/>
                      </a:defRPr>
                    </a:pPr>
                    <a:r>
                      <a:rPr lang="en-US" sz="850" b="0" i="0">
                        <a:solidFill>
                          <a:srgbClr val="000000"/>
                        </a:solidFill>
                        <a:latin typeface="+mn-lt"/>
                      </a:rPr>
                      <a:t>FIN</a:t>
                    </a:r>
                  </a:p>
                </c:rich>
              </c:tx>
              <c:spPr>
                <a:noFill/>
                <a:ln>
                  <a:noFill/>
                </a:ln>
                <a:effectLst/>
              </c:spPr>
              <c:txPr>
                <a:bodyPr rot="0" spcFirstLastPara="1" vertOverflow="ellipsis" vert="horz" wrap="square" lIns="38100" tIns="19050" rIns="38100" bIns="19050" anchor="ctr" anchorCtr="1">
                  <a:noAutofit/>
                </a:bodyPr>
                <a:lstStyle/>
                <a:p>
                  <a:pPr>
                    <a:defRPr sz="850" b="0" i="0" u="none" strike="noStrike" kern="1200" baseline="0">
                      <a:solidFill>
                        <a:srgbClr val="000000"/>
                      </a:solidFill>
                      <a:latin typeface="+mn-lt"/>
                      <a:ea typeface="+mn-ea"/>
                      <a:cs typeface="+mn-cs"/>
                    </a:defRPr>
                  </a:pPr>
                  <a:endParaRPr lang="cs-CZ"/>
                </a:p>
              </c:txPr>
              <c:dLblPos val="r"/>
              <c:showLegendKey val="0"/>
              <c:showVal val="0"/>
              <c:showCatName val="0"/>
              <c:showSerName val="0"/>
              <c:showPercent val="0"/>
              <c:showBubbleSize val="0"/>
              <c:separator>, </c:separator>
              <c:extLst>
                <c:ext xmlns:c15="http://schemas.microsoft.com/office/drawing/2012/chart" uri="{CE6537A1-D6FC-4f65-9D91-7224C49458BB}">
                  <c15:layout>
                    <c:manualLayout>
                      <c:w val="9.2297101496784176E-2"/>
                      <c:h val="7.9435983095419119E-2"/>
                    </c:manualLayout>
                  </c15:layout>
                  <c15:showDataLabelsRange val="1"/>
                </c:ext>
                <c:ext xmlns:c16="http://schemas.microsoft.com/office/drawing/2014/chart" uri="{C3380CC4-5D6E-409C-BE32-E72D297353CC}">
                  <c16:uniqueId val="{0000000A-D1F1-4828-AC78-A458987DE114}"/>
                </c:ext>
              </c:extLst>
            </c:dLbl>
            <c:dLbl>
              <c:idx val="11"/>
              <c:layout>
                <c:manualLayout>
                  <c:x val="-8.8148655647852514E-2"/>
                  <c:y val="2.6486876956417004E-2"/>
                </c:manualLayout>
              </c:layout>
              <c:tx>
                <c:rich>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r>
                      <a:rPr lang="en-US" sz="850" b="0" i="0">
                        <a:solidFill>
                          <a:srgbClr val="000000"/>
                        </a:solidFill>
                        <a:latin typeface="+mn-lt"/>
                      </a:rPr>
                      <a:t>FRA</a:t>
                    </a:r>
                  </a:p>
                </c:rich>
              </c:tx>
              <c:spPr>
                <a:noFill/>
                <a:ln>
                  <a:noFill/>
                </a:ln>
                <a:effectLst/>
              </c:spPr>
              <c:txPr>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endParaRPr lang="cs-CZ"/>
                </a:p>
              </c:txPr>
              <c:dLblPos val="r"/>
              <c:showLegendKey val="0"/>
              <c:showVal val="0"/>
              <c:showCatName val="0"/>
              <c:showSerName val="0"/>
              <c:showPercent val="0"/>
              <c:showBubbleSize val="0"/>
              <c:separator>, </c:separator>
              <c:extLst>
                <c:ext xmlns:c15="http://schemas.microsoft.com/office/drawing/2012/chart" uri="{CE6537A1-D6FC-4f65-9D91-7224C49458BB}">
                  <c15:showDataLabelsRange val="1"/>
                </c:ext>
                <c:ext xmlns:c16="http://schemas.microsoft.com/office/drawing/2014/chart" uri="{C3380CC4-5D6E-409C-BE32-E72D297353CC}">
                  <c16:uniqueId val="{0000000B-D1F1-4828-AC78-A458987DE114}"/>
                </c:ext>
              </c:extLst>
            </c:dLbl>
            <c:dLbl>
              <c:idx val="12"/>
              <c:layout>
                <c:manualLayout>
                  <c:x val="1.4978731106887501E-3"/>
                  <c:y val="1.9785436656483513E-3"/>
                </c:manualLayout>
              </c:layout>
              <c:tx>
                <c:rich>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r>
                      <a:rPr lang="en-US" sz="850" b="0" i="0">
                        <a:solidFill>
                          <a:srgbClr val="000000"/>
                        </a:solidFill>
                        <a:latin typeface="+mn-lt"/>
                      </a:rPr>
                      <a:t>GER</a:t>
                    </a:r>
                  </a:p>
                </c:rich>
              </c:tx>
              <c:spPr>
                <a:noFill/>
                <a:ln>
                  <a:noFill/>
                </a:ln>
                <a:effectLst/>
              </c:spPr>
              <c:txPr>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endParaRPr lang="cs-CZ"/>
                </a:p>
              </c:txPr>
              <c:dLblPos val="r"/>
              <c:showLegendKey val="0"/>
              <c:showVal val="0"/>
              <c:showCatName val="0"/>
              <c:showSerName val="0"/>
              <c:showPercent val="0"/>
              <c:showBubbleSize val="0"/>
              <c:separator>, </c:separator>
              <c:extLst>
                <c:ext xmlns:c15="http://schemas.microsoft.com/office/drawing/2012/chart" uri="{CE6537A1-D6FC-4f65-9D91-7224C49458BB}">
                  <c15:showDataLabelsRange val="1"/>
                </c:ext>
                <c:ext xmlns:c16="http://schemas.microsoft.com/office/drawing/2014/chart" uri="{C3380CC4-5D6E-409C-BE32-E72D297353CC}">
                  <c16:uniqueId val="{0000000C-D1F1-4828-AC78-A458987DE114}"/>
                </c:ext>
              </c:extLst>
            </c:dLbl>
            <c:dLbl>
              <c:idx val="13"/>
              <c:layout>
                <c:manualLayout>
                  <c:x val="-8.6800041959784163E-2"/>
                  <c:y val="-5.898363956612334E-2"/>
                </c:manualLayout>
              </c:layout>
              <c:tx>
                <c:rich>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r>
                      <a:rPr lang="en-US" sz="850" b="0" i="0">
                        <a:solidFill>
                          <a:srgbClr val="000000"/>
                        </a:solidFill>
                        <a:latin typeface="+mn-lt"/>
                      </a:rPr>
                      <a:t>GRC</a:t>
                    </a:r>
                  </a:p>
                </c:rich>
              </c:tx>
              <c:spPr>
                <a:noFill/>
                <a:ln>
                  <a:noFill/>
                </a:ln>
                <a:effectLst/>
              </c:spPr>
              <c:txPr>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endParaRPr lang="cs-CZ"/>
                </a:p>
              </c:txPr>
              <c:dLblPos val="r"/>
              <c:showLegendKey val="0"/>
              <c:showVal val="0"/>
              <c:showCatName val="0"/>
              <c:showSerName val="0"/>
              <c:showPercent val="0"/>
              <c:showBubbleSize val="0"/>
              <c:separator>, </c:separator>
              <c:extLst>
                <c:ext xmlns:c15="http://schemas.microsoft.com/office/drawing/2012/chart" uri="{CE6537A1-D6FC-4f65-9D91-7224C49458BB}">
                  <c15:showDataLabelsRange val="1"/>
                </c:ext>
                <c:ext xmlns:c16="http://schemas.microsoft.com/office/drawing/2014/chart" uri="{C3380CC4-5D6E-409C-BE32-E72D297353CC}">
                  <c16:uniqueId val="{0000000D-D1F1-4828-AC78-A458987DE114}"/>
                </c:ext>
              </c:extLst>
            </c:dLbl>
            <c:dLbl>
              <c:idx val="14"/>
              <c:layout>
                <c:manualLayout>
                  <c:x val="2.2412425341087152E-3"/>
                  <c:y val="-1.496119871604067E-2"/>
                </c:manualLayout>
              </c:layout>
              <c:tx>
                <c:rich>
                  <a:bodyPr rot="0" spcFirstLastPara="1" vertOverflow="ellipsis" vert="horz" wrap="square" lIns="38100" tIns="19050" rIns="38100" bIns="19050" anchor="ctr" anchorCtr="1">
                    <a:noAutofit/>
                  </a:bodyPr>
                  <a:lstStyle/>
                  <a:p>
                    <a:pPr>
                      <a:defRPr sz="850" b="0" i="0" u="none" strike="noStrike" kern="1200" baseline="0">
                        <a:solidFill>
                          <a:srgbClr val="000000"/>
                        </a:solidFill>
                        <a:latin typeface="+mn-lt"/>
                        <a:ea typeface="+mn-ea"/>
                        <a:cs typeface="+mn-cs"/>
                      </a:defRPr>
                    </a:pPr>
                    <a:r>
                      <a:rPr lang="en-US" sz="850" b="0" i="0">
                        <a:solidFill>
                          <a:srgbClr val="000000"/>
                        </a:solidFill>
                        <a:latin typeface="+mn-lt"/>
                      </a:rPr>
                      <a:t>HUN</a:t>
                    </a:r>
                  </a:p>
                </c:rich>
              </c:tx>
              <c:spPr>
                <a:noFill/>
                <a:ln>
                  <a:noFill/>
                </a:ln>
                <a:effectLst/>
              </c:spPr>
              <c:txPr>
                <a:bodyPr rot="0" spcFirstLastPara="1" vertOverflow="ellipsis" vert="horz" wrap="square" lIns="38100" tIns="19050" rIns="38100" bIns="19050" anchor="ctr" anchorCtr="1">
                  <a:noAutofit/>
                </a:bodyPr>
                <a:lstStyle/>
                <a:p>
                  <a:pPr>
                    <a:defRPr sz="850" b="0" i="0" u="none" strike="noStrike" kern="1200" baseline="0">
                      <a:solidFill>
                        <a:srgbClr val="000000"/>
                      </a:solidFill>
                      <a:latin typeface="+mn-lt"/>
                      <a:ea typeface="+mn-ea"/>
                      <a:cs typeface="+mn-cs"/>
                    </a:defRPr>
                  </a:pPr>
                  <a:endParaRPr lang="cs-CZ"/>
                </a:p>
              </c:txPr>
              <c:dLblPos val="r"/>
              <c:showLegendKey val="0"/>
              <c:showVal val="0"/>
              <c:showCatName val="0"/>
              <c:showSerName val="0"/>
              <c:showPercent val="0"/>
              <c:showBubbleSize val="0"/>
              <c:separator>, </c:separator>
              <c:extLst>
                <c:ext xmlns:c15="http://schemas.microsoft.com/office/drawing/2012/chart" uri="{CE6537A1-D6FC-4f65-9D91-7224C49458BB}">
                  <c15:layout>
                    <c:manualLayout>
                      <c:w val="0.12045998413395662"/>
                      <c:h val="4.3289074779449828E-2"/>
                    </c:manualLayout>
                  </c15:layout>
                  <c15:showDataLabelsRange val="1"/>
                </c:ext>
                <c:ext xmlns:c16="http://schemas.microsoft.com/office/drawing/2014/chart" uri="{C3380CC4-5D6E-409C-BE32-E72D297353CC}">
                  <c16:uniqueId val="{0000000E-D1F1-4828-AC78-A458987DE114}"/>
                </c:ext>
              </c:extLst>
            </c:dLbl>
            <c:dLbl>
              <c:idx val="15"/>
              <c:layout>
                <c:manualLayout>
                  <c:x val="-2.6526174100608386E-2"/>
                  <c:y val="-3.2358703771034163E-2"/>
                </c:manualLayout>
              </c:layout>
              <c:tx>
                <c:rich>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r>
                      <a:rPr lang="en-US" sz="850" b="0" i="0">
                        <a:solidFill>
                          <a:srgbClr val="000000"/>
                        </a:solidFill>
                        <a:latin typeface="+mn-lt"/>
                      </a:rPr>
                      <a:t>ISL</a:t>
                    </a:r>
                  </a:p>
                </c:rich>
              </c:tx>
              <c:spPr>
                <a:noFill/>
                <a:ln>
                  <a:noFill/>
                </a:ln>
                <a:effectLst/>
              </c:spPr>
              <c:txPr>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endParaRPr lang="cs-CZ"/>
                </a:p>
              </c:txPr>
              <c:dLblPos val="r"/>
              <c:showLegendKey val="0"/>
              <c:showVal val="0"/>
              <c:showCatName val="0"/>
              <c:showSerName val="0"/>
              <c:showPercent val="0"/>
              <c:showBubbleSize val="0"/>
              <c:separator>, </c:separator>
              <c:extLst>
                <c:ext xmlns:c15="http://schemas.microsoft.com/office/drawing/2012/chart" uri="{CE6537A1-D6FC-4f65-9D91-7224C49458BB}">
                  <c15:showDataLabelsRange val="1"/>
                </c:ext>
                <c:ext xmlns:c16="http://schemas.microsoft.com/office/drawing/2014/chart" uri="{C3380CC4-5D6E-409C-BE32-E72D297353CC}">
                  <c16:uniqueId val="{0000000F-D1F1-4828-AC78-A458987DE114}"/>
                </c:ext>
              </c:extLst>
            </c:dLbl>
            <c:dLbl>
              <c:idx val="16"/>
              <c:layout>
                <c:manualLayout>
                  <c:x val="-5.0659227546598309E-2"/>
                  <c:y val="-0.10462638714827152"/>
                </c:manualLayout>
              </c:layout>
              <c:tx>
                <c:rich>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r>
                      <a:rPr lang="en-US" sz="850" b="0" i="0">
                        <a:solidFill>
                          <a:srgbClr val="000000"/>
                        </a:solidFill>
                        <a:latin typeface="+mn-lt"/>
                      </a:rPr>
                      <a:t>IRL</a:t>
                    </a:r>
                  </a:p>
                </c:rich>
              </c:tx>
              <c:spPr>
                <a:noFill/>
                <a:ln>
                  <a:noFill/>
                </a:ln>
                <a:effectLst/>
              </c:spPr>
              <c:txPr>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endParaRPr lang="cs-CZ"/>
                </a:p>
              </c:txPr>
              <c:dLblPos val="r"/>
              <c:showLegendKey val="0"/>
              <c:showVal val="0"/>
              <c:showCatName val="0"/>
              <c:showSerName val="0"/>
              <c:showPercent val="0"/>
              <c:showBubbleSize val="0"/>
              <c:separator>, </c:separator>
              <c:extLst>
                <c:ext xmlns:c15="http://schemas.microsoft.com/office/drawing/2012/chart" uri="{CE6537A1-D6FC-4f65-9D91-7224C49458BB}">
                  <c15:showDataLabelsRange val="1"/>
                </c:ext>
                <c:ext xmlns:c16="http://schemas.microsoft.com/office/drawing/2014/chart" uri="{C3380CC4-5D6E-409C-BE32-E72D297353CC}">
                  <c16:uniqueId val="{00000010-D1F1-4828-AC78-A458987DE114}"/>
                </c:ext>
              </c:extLst>
            </c:dLbl>
            <c:dLbl>
              <c:idx val="17"/>
              <c:layout>
                <c:manualLayout>
                  <c:x val="-8.6181299048693025E-2"/>
                  <c:y val="-3.6162076176789001E-2"/>
                </c:manualLayout>
              </c:layout>
              <c:tx>
                <c:rich>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r>
                      <a:rPr lang="en-US" sz="850" b="0" i="0">
                        <a:solidFill>
                          <a:srgbClr val="000000"/>
                        </a:solidFill>
                        <a:latin typeface="+mn-lt"/>
                      </a:rPr>
                      <a:t>ISR</a:t>
                    </a:r>
                  </a:p>
                </c:rich>
              </c:tx>
              <c:spPr>
                <a:noFill/>
                <a:ln>
                  <a:noFill/>
                </a:ln>
                <a:effectLst/>
              </c:spPr>
              <c:txPr>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endParaRPr lang="cs-CZ"/>
                </a:p>
              </c:txPr>
              <c:dLblPos val="r"/>
              <c:showLegendKey val="0"/>
              <c:showVal val="0"/>
              <c:showCatName val="0"/>
              <c:showSerName val="0"/>
              <c:showPercent val="0"/>
              <c:showBubbleSize val="0"/>
              <c:separator>, </c:separator>
              <c:extLst>
                <c:ext xmlns:c15="http://schemas.microsoft.com/office/drawing/2012/chart" uri="{CE6537A1-D6FC-4f65-9D91-7224C49458BB}">
                  <c15:layout>
                    <c:manualLayout>
                      <c:w val="7.3522064945878429E-2"/>
                      <c:h val="6.4435347941247292E-2"/>
                    </c:manualLayout>
                  </c15:layout>
                  <c15:showDataLabelsRange val="1"/>
                </c:ext>
                <c:ext xmlns:c16="http://schemas.microsoft.com/office/drawing/2014/chart" uri="{C3380CC4-5D6E-409C-BE32-E72D297353CC}">
                  <c16:uniqueId val="{00000011-D1F1-4828-AC78-A458987DE114}"/>
                </c:ext>
              </c:extLst>
            </c:dLbl>
            <c:dLbl>
              <c:idx val="18"/>
              <c:layout>
                <c:manualLayout>
                  <c:x val="-1.5131747166075514E-2"/>
                  <c:y val="4.7515978393382306E-2"/>
                </c:manualLayout>
              </c:layout>
              <c:tx>
                <c:rich>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r>
                      <a:rPr lang="en-US" sz="850" b="0" i="0">
                        <a:solidFill>
                          <a:srgbClr val="000000"/>
                        </a:solidFill>
                        <a:latin typeface="+mn-lt"/>
                      </a:rPr>
                      <a:t>ITA</a:t>
                    </a:r>
                  </a:p>
                </c:rich>
              </c:tx>
              <c:spPr>
                <a:noFill/>
                <a:ln>
                  <a:noFill/>
                </a:ln>
                <a:effectLst/>
              </c:spPr>
              <c:txPr>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endParaRPr lang="cs-CZ"/>
                </a:p>
              </c:txPr>
              <c:dLblPos val="r"/>
              <c:showLegendKey val="0"/>
              <c:showVal val="0"/>
              <c:showCatName val="0"/>
              <c:showSerName val="0"/>
              <c:showPercent val="0"/>
              <c:showBubbleSize val="0"/>
              <c:separator>, </c:separator>
              <c:extLst>
                <c:ext xmlns:c15="http://schemas.microsoft.com/office/drawing/2012/chart" uri="{CE6537A1-D6FC-4f65-9D91-7224C49458BB}">
                  <c15:showDataLabelsRange val="1"/>
                </c:ext>
                <c:ext xmlns:c16="http://schemas.microsoft.com/office/drawing/2014/chart" uri="{C3380CC4-5D6E-409C-BE32-E72D297353CC}">
                  <c16:uniqueId val="{00000012-D1F1-4828-AC78-A458987DE114}"/>
                </c:ext>
              </c:extLst>
            </c:dLbl>
            <c:dLbl>
              <c:idx val="19"/>
              <c:layout>
                <c:manualLayout>
                  <c:x val="-5.0617267762428947E-2"/>
                  <c:y val="-3.9965796473851581E-2"/>
                </c:manualLayout>
              </c:layout>
              <c:tx>
                <c:rich>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r>
                      <a:rPr lang="en-US" sz="850" b="0" i="0">
                        <a:solidFill>
                          <a:srgbClr val="000000"/>
                        </a:solidFill>
                        <a:latin typeface="+mn-lt"/>
                      </a:rPr>
                      <a:t>JPN</a:t>
                    </a:r>
                  </a:p>
                </c:rich>
              </c:tx>
              <c:spPr>
                <a:noFill/>
                <a:ln>
                  <a:noFill/>
                </a:ln>
                <a:effectLst/>
              </c:spPr>
              <c:txPr>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endParaRPr lang="cs-CZ"/>
                </a:p>
              </c:txPr>
              <c:dLblPos val="r"/>
              <c:showLegendKey val="0"/>
              <c:showVal val="0"/>
              <c:showCatName val="0"/>
              <c:showSerName val="0"/>
              <c:showPercent val="0"/>
              <c:showBubbleSize val="0"/>
              <c:separator>, </c:separator>
              <c:extLst>
                <c:ext xmlns:c15="http://schemas.microsoft.com/office/drawing/2012/chart" uri="{CE6537A1-D6FC-4f65-9D91-7224C49458BB}">
                  <c15:showDataLabelsRange val="1"/>
                </c:ext>
                <c:ext xmlns:c16="http://schemas.microsoft.com/office/drawing/2014/chart" uri="{C3380CC4-5D6E-409C-BE32-E72D297353CC}">
                  <c16:uniqueId val="{00000013-D1F1-4828-AC78-A458987DE114}"/>
                </c:ext>
              </c:extLst>
            </c:dLbl>
            <c:dLbl>
              <c:idx val="20"/>
              <c:layout>
                <c:manualLayout>
                  <c:x val="-7.7282710602057339E-2"/>
                  <c:y val="-4.1990326696762233E-2"/>
                </c:manualLayout>
              </c:layout>
              <c:tx>
                <c:rich>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r>
                      <a:rPr lang="en-US" sz="850" b="0" i="0">
                        <a:solidFill>
                          <a:srgbClr val="000000"/>
                        </a:solidFill>
                        <a:latin typeface="+mn-lt"/>
                      </a:rPr>
                      <a:t>KOR</a:t>
                    </a:r>
                  </a:p>
                </c:rich>
              </c:tx>
              <c:spPr>
                <a:noFill/>
                <a:ln>
                  <a:noFill/>
                </a:ln>
                <a:effectLst/>
              </c:spPr>
              <c:txPr>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endParaRPr lang="cs-CZ"/>
                </a:p>
              </c:txPr>
              <c:dLblPos val="r"/>
              <c:showLegendKey val="0"/>
              <c:showVal val="0"/>
              <c:showCatName val="0"/>
              <c:showSerName val="0"/>
              <c:showPercent val="0"/>
              <c:showBubbleSize val="0"/>
              <c:separator>, </c:separator>
              <c:extLst>
                <c:ext xmlns:c15="http://schemas.microsoft.com/office/drawing/2012/chart" uri="{CE6537A1-D6FC-4f65-9D91-7224C49458BB}">
                  <c15:showDataLabelsRange val="1"/>
                </c:ext>
                <c:ext xmlns:c16="http://schemas.microsoft.com/office/drawing/2014/chart" uri="{C3380CC4-5D6E-409C-BE32-E72D297353CC}">
                  <c16:uniqueId val="{00000014-D1F1-4828-AC78-A458987DE114}"/>
                </c:ext>
              </c:extLst>
            </c:dLbl>
            <c:dLbl>
              <c:idx val="21"/>
              <c:layout>
                <c:manualLayout>
                  <c:x val="-3.7209477666249255E-2"/>
                  <c:y val="5.7037982219475154E-2"/>
                </c:manualLayout>
              </c:layout>
              <c:tx>
                <c:rich>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r>
                      <a:rPr lang="en-US" sz="850" b="0" i="0">
                        <a:solidFill>
                          <a:srgbClr val="000000"/>
                        </a:solidFill>
                        <a:latin typeface="+mn-lt"/>
                      </a:rPr>
                      <a:t>LVA</a:t>
                    </a:r>
                  </a:p>
                </c:rich>
              </c:tx>
              <c:spPr>
                <a:noFill/>
                <a:ln>
                  <a:noFill/>
                </a:ln>
                <a:effectLst/>
              </c:spPr>
              <c:txPr>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endParaRPr lang="cs-CZ"/>
                </a:p>
              </c:txPr>
              <c:dLblPos val="r"/>
              <c:showLegendKey val="0"/>
              <c:showVal val="0"/>
              <c:showCatName val="0"/>
              <c:showSerName val="0"/>
              <c:showPercent val="0"/>
              <c:showBubbleSize val="0"/>
              <c:separator>, </c:separator>
              <c:extLst>
                <c:ext xmlns:c15="http://schemas.microsoft.com/office/drawing/2012/chart" uri="{CE6537A1-D6FC-4f65-9D91-7224C49458BB}">
                  <c15:showDataLabelsRange val="1"/>
                </c:ext>
                <c:ext xmlns:c16="http://schemas.microsoft.com/office/drawing/2014/chart" uri="{C3380CC4-5D6E-409C-BE32-E72D297353CC}">
                  <c16:uniqueId val="{00000015-D1F1-4828-AC78-A458987DE114}"/>
                </c:ext>
              </c:extLst>
            </c:dLbl>
            <c:dLbl>
              <c:idx val="22"/>
              <c:layout>
                <c:manualLayout>
                  <c:x val="6.99732504589143E-3"/>
                  <c:y val="1.5897232837897207E-2"/>
                </c:manualLayout>
              </c:layout>
              <c:tx>
                <c:rich>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r>
                      <a:rPr lang="en-US" sz="850" b="0" i="0">
                        <a:solidFill>
                          <a:srgbClr val="000000"/>
                        </a:solidFill>
                        <a:latin typeface="+mn-lt"/>
                      </a:rPr>
                      <a:t>LTU</a:t>
                    </a:r>
                  </a:p>
                </c:rich>
              </c:tx>
              <c:spPr>
                <a:noFill/>
                <a:ln>
                  <a:noFill/>
                </a:ln>
                <a:effectLst/>
              </c:spPr>
              <c:txPr>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endParaRPr lang="cs-CZ"/>
                </a:p>
              </c:txPr>
              <c:dLblPos val="r"/>
              <c:showLegendKey val="0"/>
              <c:showVal val="0"/>
              <c:showCatName val="0"/>
              <c:showSerName val="0"/>
              <c:showPercent val="0"/>
              <c:showBubbleSize val="0"/>
              <c:separator>, </c:separator>
              <c:extLst>
                <c:ext xmlns:c15="http://schemas.microsoft.com/office/drawing/2012/chart" uri="{CE6537A1-D6FC-4f65-9D91-7224C49458BB}">
                  <c15:showDataLabelsRange val="1"/>
                </c:ext>
                <c:ext xmlns:c16="http://schemas.microsoft.com/office/drawing/2014/chart" uri="{C3380CC4-5D6E-409C-BE32-E72D297353CC}">
                  <c16:uniqueId val="{00000016-D1F1-4828-AC78-A458987DE114}"/>
                </c:ext>
              </c:extLst>
            </c:dLbl>
            <c:dLbl>
              <c:idx val="23"/>
              <c:layout>
                <c:manualLayout>
                  <c:x val="5.6858785657621274E-3"/>
                  <c:y val="2.4616300520826421E-2"/>
                </c:manualLayout>
              </c:layout>
              <c:tx>
                <c:rich>
                  <a:bodyPr rot="0" spcFirstLastPara="1" vertOverflow="ellipsis" vert="horz" wrap="square" lIns="38100" tIns="19050" rIns="38100" bIns="19050" anchor="ctr" anchorCtr="1">
                    <a:noAutofit/>
                  </a:bodyPr>
                  <a:lstStyle/>
                  <a:p>
                    <a:pPr>
                      <a:defRPr sz="850" b="0" i="0" u="none" strike="noStrike" kern="1200" baseline="0">
                        <a:solidFill>
                          <a:srgbClr val="000000"/>
                        </a:solidFill>
                        <a:latin typeface="+mn-lt"/>
                        <a:ea typeface="+mn-ea"/>
                        <a:cs typeface="+mn-cs"/>
                      </a:defRPr>
                    </a:pPr>
                    <a:r>
                      <a:rPr lang="en-US" sz="850" b="0" i="0">
                        <a:solidFill>
                          <a:srgbClr val="000000"/>
                        </a:solidFill>
                        <a:latin typeface="+mn-lt"/>
                      </a:rPr>
                      <a:t>LUX</a:t>
                    </a:r>
                  </a:p>
                </c:rich>
              </c:tx>
              <c:spPr>
                <a:noFill/>
                <a:ln>
                  <a:noFill/>
                </a:ln>
                <a:effectLst/>
              </c:spPr>
              <c:txPr>
                <a:bodyPr rot="0" spcFirstLastPara="1" vertOverflow="ellipsis" vert="horz" wrap="square" lIns="38100" tIns="19050" rIns="38100" bIns="19050" anchor="ctr" anchorCtr="1">
                  <a:noAutofit/>
                </a:bodyPr>
                <a:lstStyle/>
                <a:p>
                  <a:pPr>
                    <a:defRPr sz="850" b="0" i="0" u="none" strike="noStrike" kern="1200" baseline="0">
                      <a:solidFill>
                        <a:srgbClr val="000000"/>
                      </a:solidFill>
                      <a:latin typeface="+mn-lt"/>
                      <a:ea typeface="+mn-ea"/>
                      <a:cs typeface="+mn-cs"/>
                    </a:defRPr>
                  </a:pPr>
                  <a:endParaRPr lang="cs-CZ"/>
                </a:p>
              </c:txPr>
              <c:dLblPos val="r"/>
              <c:showLegendKey val="0"/>
              <c:showVal val="0"/>
              <c:showCatName val="0"/>
              <c:showSerName val="0"/>
              <c:showPercent val="0"/>
              <c:showBubbleSize val="0"/>
              <c:separator>, </c:separator>
              <c:extLst>
                <c:ext xmlns:c15="http://schemas.microsoft.com/office/drawing/2012/chart" uri="{CE6537A1-D6FC-4f65-9D91-7224C49458BB}">
                  <c15:layout>
                    <c:manualLayout>
                      <c:w val="0.10871386705304635"/>
                      <c:h val="4.8432875579933678E-2"/>
                    </c:manualLayout>
                  </c15:layout>
                  <c15:showDataLabelsRange val="1"/>
                </c:ext>
                <c:ext xmlns:c16="http://schemas.microsoft.com/office/drawing/2014/chart" uri="{C3380CC4-5D6E-409C-BE32-E72D297353CC}">
                  <c16:uniqueId val="{00000017-D1F1-4828-AC78-A458987DE114}"/>
                </c:ext>
              </c:extLst>
            </c:dLbl>
            <c:dLbl>
              <c:idx val="24"/>
              <c:layout>
                <c:manualLayout>
                  <c:x val="-7.010168691444793E-2"/>
                  <c:y val="4.3712637292840292E-2"/>
                </c:manualLayout>
              </c:layout>
              <c:tx>
                <c:rich>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r>
                      <a:rPr lang="en-US" sz="850" b="0" i="0">
                        <a:solidFill>
                          <a:srgbClr val="000000"/>
                        </a:solidFill>
                        <a:latin typeface="+mn-lt"/>
                      </a:rPr>
                      <a:t>MEX</a:t>
                    </a:r>
                  </a:p>
                </c:rich>
              </c:tx>
              <c:spPr>
                <a:noFill/>
                <a:ln>
                  <a:noFill/>
                </a:ln>
                <a:effectLst/>
              </c:spPr>
              <c:txPr>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endParaRPr lang="cs-CZ"/>
                </a:p>
              </c:txPr>
              <c:dLblPos val="r"/>
              <c:showLegendKey val="0"/>
              <c:showVal val="0"/>
              <c:showCatName val="0"/>
              <c:showSerName val="0"/>
              <c:showPercent val="0"/>
              <c:showBubbleSize val="0"/>
              <c:separator>, </c:separator>
              <c:extLst>
                <c:ext xmlns:c15="http://schemas.microsoft.com/office/drawing/2012/chart" uri="{CE6537A1-D6FC-4f65-9D91-7224C49458BB}">
                  <c15:showDataLabelsRange val="1"/>
                </c:ext>
                <c:ext xmlns:c16="http://schemas.microsoft.com/office/drawing/2014/chart" uri="{C3380CC4-5D6E-409C-BE32-E72D297353CC}">
                  <c16:uniqueId val="{00000018-D1F1-4828-AC78-A458987DE114}"/>
                </c:ext>
              </c:extLst>
            </c:dLbl>
            <c:dLbl>
              <c:idx val="25"/>
              <c:layout>
                <c:manualLayout>
                  <c:x val="-1.0751107023829474E-3"/>
                  <c:y val="5.0859296076220133E-2"/>
                </c:manualLayout>
              </c:layout>
              <c:tx>
                <c:rich>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r>
                      <a:rPr lang="en-US" sz="850" b="0" i="0">
                        <a:solidFill>
                          <a:srgbClr val="000000"/>
                        </a:solidFill>
                        <a:latin typeface="+mn-lt"/>
                      </a:rPr>
                      <a:t>NLD</a:t>
                    </a:r>
                  </a:p>
                </c:rich>
              </c:tx>
              <c:spPr>
                <a:noFill/>
                <a:ln>
                  <a:noFill/>
                </a:ln>
                <a:effectLst/>
              </c:spPr>
              <c:txPr>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endParaRPr lang="cs-CZ"/>
                </a:p>
              </c:txPr>
              <c:dLblPos val="r"/>
              <c:showLegendKey val="0"/>
              <c:showVal val="0"/>
              <c:showCatName val="0"/>
              <c:showSerName val="0"/>
              <c:showPercent val="0"/>
              <c:showBubbleSize val="0"/>
              <c:separator>, </c:separator>
              <c:extLst>
                <c:ext xmlns:c15="http://schemas.microsoft.com/office/drawing/2012/chart" uri="{CE6537A1-D6FC-4f65-9D91-7224C49458BB}">
                  <c15:showDataLabelsRange val="1"/>
                </c:ext>
                <c:ext xmlns:c16="http://schemas.microsoft.com/office/drawing/2014/chart" uri="{C3380CC4-5D6E-409C-BE32-E72D297353CC}">
                  <c16:uniqueId val="{00000019-D1F1-4828-AC78-A458987DE114}"/>
                </c:ext>
              </c:extLst>
            </c:dLbl>
            <c:dLbl>
              <c:idx val="26"/>
              <c:layout>
                <c:manualLayout>
                  <c:x val="-5.156005166298426E-2"/>
                  <c:y val="-2.2554229842387009E-2"/>
                </c:manualLayout>
              </c:layout>
              <c:tx>
                <c:rich>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r>
                      <a:rPr lang="en-US" sz="850" b="0" i="0">
                        <a:solidFill>
                          <a:srgbClr val="000000"/>
                        </a:solidFill>
                        <a:latin typeface="+mn-lt"/>
                      </a:rPr>
                      <a:t>NZL</a:t>
                    </a:r>
                  </a:p>
                </c:rich>
              </c:tx>
              <c:spPr>
                <a:noFill/>
                <a:ln>
                  <a:noFill/>
                </a:ln>
                <a:effectLst/>
              </c:spPr>
              <c:txPr>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endParaRPr lang="cs-CZ"/>
                </a:p>
              </c:txPr>
              <c:dLblPos val="r"/>
              <c:showLegendKey val="0"/>
              <c:showVal val="0"/>
              <c:showCatName val="0"/>
              <c:showSerName val="0"/>
              <c:showPercent val="0"/>
              <c:showBubbleSize val="0"/>
              <c:separator>, </c:separator>
              <c:extLst>
                <c:ext xmlns:c15="http://schemas.microsoft.com/office/drawing/2012/chart" uri="{CE6537A1-D6FC-4f65-9D91-7224C49458BB}">
                  <c15:showDataLabelsRange val="1"/>
                </c:ext>
                <c:ext xmlns:c16="http://schemas.microsoft.com/office/drawing/2014/chart" uri="{C3380CC4-5D6E-409C-BE32-E72D297353CC}">
                  <c16:uniqueId val="{0000001A-D1F1-4828-AC78-A458987DE114}"/>
                </c:ext>
              </c:extLst>
            </c:dLbl>
            <c:dLbl>
              <c:idx val="27"/>
              <c:layout>
                <c:manualLayout>
                  <c:x val="-3.6236207360009157E-3"/>
                  <c:y val="-5.3401108391429399E-2"/>
                </c:manualLayout>
              </c:layout>
              <c:tx>
                <c:rich>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r>
                      <a:rPr lang="en-US" sz="850" b="0" i="0">
                        <a:solidFill>
                          <a:srgbClr val="000000"/>
                        </a:solidFill>
                        <a:latin typeface="+mn-lt"/>
                      </a:rPr>
                      <a:t>NOR</a:t>
                    </a:r>
                  </a:p>
                </c:rich>
              </c:tx>
              <c:spPr>
                <a:noFill/>
                <a:ln>
                  <a:noFill/>
                </a:ln>
                <a:effectLst/>
              </c:spPr>
              <c:txPr>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endParaRPr lang="cs-CZ"/>
                </a:p>
              </c:txPr>
              <c:dLblPos val="r"/>
              <c:showLegendKey val="0"/>
              <c:showVal val="0"/>
              <c:showCatName val="0"/>
              <c:showSerName val="0"/>
              <c:showPercent val="0"/>
              <c:showBubbleSize val="0"/>
              <c:separator>, </c:separator>
              <c:extLst>
                <c:ext xmlns:c15="http://schemas.microsoft.com/office/drawing/2012/chart" uri="{CE6537A1-D6FC-4f65-9D91-7224C49458BB}">
                  <c15:showDataLabelsRange val="1"/>
                </c:ext>
                <c:ext xmlns:c16="http://schemas.microsoft.com/office/drawing/2014/chart" uri="{C3380CC4-5D6E-409C-BE32-E72D297353CC}">
                  <c16:uniqueId val="{0000001B-D1F1-4828-AC78-A458987DE114}"/>
                </c:ext>
              </c:extLst>
            </c:dLbl>
            <c:dLbl>
              <c:idx val="28"/>
              <c:layout>
                <c:manualLayout>
                  <c:x val="-7.7128930741185587E-3"/>
                  <c:y val="-2.4751585664835169E-2"/>
                </c:manualLayout>
              </c:layout>
              <c:tx>
                <c:rich>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r>
                      <a:rPr lang="en-US" sz="850" b="0" i="0">
                        <a:solidFill>
                          <a:srgbClr val="000000"/>
                        </a:solidFill>
                        <a:latin typeface="+mn-lt"/>
                      </a:rPr>
                      <a:t>POL</a:t>
                    </a:r>
                  </a:p>
                </c:rich>
              </c:tx>
              <c:spPr>
                <a:noFill/>
                <a:ln>
                  <a:noFill/>
                </a:ln>
                <a:effectLst/>
              </c:spPr>
              <c:txPr>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endParaRPr lang="cs-CZ"/>
                </a:p>
              </c:txPr>
              <c:dLblPos val="r"/>
              <c:showLegendKey val="0"/>
              <c:showVal val="0"/>
              <c:showCatName val="0"/>
              <c:showSerName val="0"/>
              <c:showPercent val="0"/>
              <c:showBubbleSize val="0"/>
              <c:separator>, </c:separator>
              <c:extLst>
                <c:ext xmlns:c15="http://schemas.microsoft.com/office/drawing/2012/chart" uri="{CE6537A1-D6FC-4f65-9D91-7224C49458BB}">
                  <c15:showDataLabelsRange val="1"/>
                </c:ext>
                <c:ext xmlns:c16="http://schemas.microsoft.com/office/drawing/2014/chart" uri="{C3380CC4-5D6E-409C-BE32-E72D297353CC}">
                  <c16:uniqueId val="{0000001C-D1F1-4828-AC78-A458987DE114}"/>
                </c:ext>
              </c:extLst>
            </c:dLbl>
            <c:dLbl>
              <c:idx val="29"/>
              <c:layout>
                <c:manualLayout>
                  <c:x val="-5.268976167609675E-2"/>
                  <c:y val="-2.3328576759424492E-2"/>
                </c:manualLayout>
              </c:layout>
              <c:tx>
                <c:rich>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r>
                      <a:rPr lang="en-US" sz="850" b="0" i="0">
                        <a:solidFill>
                          <a:srgbClr val="000000"/>
                        </a:solidFill>
                        <a:latin typeface="+mn-lt"/>
                      </a:rPr>
                      <a:t>PRT</a:t>
                    </a:r>
                  </a:p>
                </c:rich>
              </c:tx>
              <c:spPr>
                <a:noFill/>
                <a:ln>
                  <a:noFill/>
                </a:ln>
                <a:effectLst/>
              </c:spPr>
              <c:txPr>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endParaRPr lang="cs-CZ"/>
                </a:p>
              </c:txPr>
              <c:dLblPos val="r"/>
              <c:showLegendKey val="0"/>
              <c:showVal val="0"/>
              <c:showCatName val="0"/>
              <c:showSerName val="0"/>
              <c:showPercent val="0"/>
              <c:showBubbleSize val="0"/>
              <c:separator>, </c:separator>
              <c:extLst>
                <c:ext xmlns:c15="http://schemas.microsoft.com/office/drawing/2012/chart" uri="{CE6537A1-D6FC-4f65-9D91-7224C49458BB}">
                  <c15:showDataLabelsRange val="1"/>
                </c:ext>
                <c:ext xmlns:c16="http://schemas.microsoft.com/office/drawing/2014/chart" uri="{C3380CC4-5D6E-409C-BE32-E72D297353CC}">
                  <c16:uniqueId val="{0000001D-D1F1-4828-AC78-A458987DE114}"/>
                </c:ext>
              </c:extLst>
            </c:dLbl>
            <c:dLbl>
              <c:idx val="30"/>
              <c:layout>
                <c:manualLayout>
                  <c:x val="-7.8196974961810065E-2"/>
                  <c:y val="-2.9868551526171197E-2"/>
                </c:manualLayout>
              </c:layout>
              <c:tx>
                <c:rich>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r>
                      <a:rPr lang="en-US" sz="850" b="0" i="0">
                        <a:solidFill>
                          <a:srgbClr val="000000"/>
                        </a:solidFill>
                        <a:latin typeface="+mn-lt"/>
                      </a:rPr>
                      <a:t>SVK</a:t>
                    </a:r>
                  </a:p>
                </c:rich>
              </c:tx>
              <c:spPr>
                <a:noFill/>
                <a:ln>
                  <a:noFill/>
                </a:ln>
                <a:effectLst/>
              </c:spPr>
              <c:txPr>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endParaRPr lang="cs-CZ"/>
                </a:p>
              </c:txPr>
              <c:dLblPos val="r"/>
              <c:showLegendKey val="0"/>
              <c:showVal val="0"/>
              <c:showCatName val="0"/>
              <c:showSerName val="0"/>
              <c:showPercent val="0"/>
              <c:showBubbleSize val="0"/>
              <c:separator>, </c:separator>
              <c:extLst>
                <c:ext xmlns:c15="http://schemas.microsoft.com/office/drawing/2012/chart" uri="{CE6537A1-D6FC-4f65-9D91-7224C49458BB}">
                  <c15:showDataLabelsRange val="1"/>
                </c:ext>
                <c:ext xmlns:c16="http://schemas.microsoft.com/office/drawing/2014/chart" uri="{C3380CC4-5D6E-409C-BE32-E72D297353CC}">
                  <c16:uniqueId val="{0000001E-D1F1-4828-AC78-A458987DE114}"/>
                </c:ext>
              </c:extLst>
            </c:dLbl>
            <c:dLbl>
              <c:idx val="31"/>
              <c:layout>
                <c:manualLayout>
                  <c:x val="-5.0835917575248933E-2"/>
                  <c:y val="9.6962446272592998E-2"/>
                </c:manualLayout>
              </c:layout>
              <c:tx>
                <c:rich>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r>
                      <a:rPr lang="en-US" sz="850" b="0" i="0">
                        <a:solidFill>
                          <a:srgbClr val="000000"/>
                        </a:solidFill>
                        <a:latin typeface="+mn-lt"/>
                      </a:rPr>
                      <a:t>SVN</a:t>
                    </a:r>
                  </a:p>
                </c:rich>
              </c:tx>
              <c:spPr>
                <a:noFill/>
                <a:ln>
                  <a:noFill/>
                </a:ln>
                <a:effectLst/>
              </c:spPr>
              <c:txPr>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endParaRPr lang="cs-CZ"/>
                </a:p>
              </c:txPr>
              <c:dLblPos val="r"/>
              <c:showLegendKey val="0"/>
              <c:showVal val="0"/>
              <c:showCatName val="0"/>
              <c:showSerName val="0"/>
              <c:showPercent val="0"/>
              <c:showBubbleSize val="0"/>
              <c:separator>, </c:separator>
              <c:extLst>
                <c:ext xmlns:c15="http://schemas.microsoft.com/office/drawing/2012/chart" uri="{CE6537A1-D6FC-4f65-9D91-7224C49458BB}">
                  <c15:showDataLabelsRange val="1"/>
                </c:ext>
                <c:ext xmlns:c16="http://schemas.microsoft.com/office/drawing/2014/chart" uri="{C3380CC4-5D6E-409C-BE32-E72D297353CC}">
                  <c16:uniqueId val="{0000001F-D1F1-4828-AC78-A458987DE114}"/>
                </c:ext>
              </c:extLst>
            </c:dLbl>
            <c:dLbl>
              <c:idx val="32"/>
              <c:layout>
                <c:manualLayout>
                  <c:x val="-3.6769227743284831E-2"/>
                  <c:y val="-3.7421008624824857E-2"/>
                </c:manualLayout>
              </c:layout>
              <c:tx>
                <c:rich>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r>
                      <a:rPr lang="en-US" sz="850" b="0" i="0">
                        <a:solidFill>
                          <a:srgbClr val="000000"/>
                        </a:solidFill>
                        <a:latin typeface="+mn-lt"/>
                      </a:rPr>
                      <a:t>ESP</a:t>
                    </a:r>
                  </a:p>
                </c:rich>
              </c:tx>
              <c:spPr>
                <a:noFill/>
                <a:ln>
                  <a:noFill/>
                </a:ln>
                <a:effectLst/>
              </c:spPr>
              <c:txPr>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endParaRPr lang="cs-CZ"/>
                </a:p>
              </c:txPr>
              <c:dLblPos val="r"/>
              <c:showLegendKey val="0"/>
              <c:showVal val="0"/>
              <c:showCatName val="0"/>
              <c:showSerName val="0"/>
              <c:showPercent val="0"/>
              <c:showBubbleSize val="0"/>
              <c:separator>, </c:separator>
              <c:extLst>
                <c:ext xmlns:c15="http://schemas.microsoft.com/office/drawing/2012/chart" uri="{CE6537A1-D6FC-4f65-9D91-7224C49458BB}">
                  <c15:showDataLabelsRange val="1"/>
                </c:ext>
                <c:ext xmlns:c16="http://schemas.microsoft.com/office/drawing/2014/chart" uri="{C3380CC4-5D6E-409C-BE32-E72D297353CC}">
                  <c16:uniqueId val="{00000020-D1F1-4828-AC78-A458987DE114}"/>
                </c:ext>
              </c:extLst>
            </c:dLbl>
            <c:dLbl>
              <c:idx val="33"/>
              <c:layout>
                <c:manualLayout>
                  <c:x val="-4.152248454372013E-2"/>
                  <c:y val="-6.9370211458939651E-2"/>
                </c:manualLayout>
              </c:layout>
              <c:tx>
                <c:rich>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r>
                      <a:rPr lang="en-US" sz="850" b="0" i="0">
                        <a:solidFill>
                          <a:srgbClr val="000000"/>
                        </a:solidFill>
                        <a:latin typeface="+mn-lt"/>
                      </a:rPr>
                      <a:t>SWE</a:t>
                    </a:r>
                  </a:p>
                </c:rich>
              </c:tx>
              <c:spPr>
                <a:noFill/>
                <a:ln>
                  <a:noFill/>
                </a:ln>
                <a:effectLst/>
              </c:spPr>
              <c:txPr>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endParaRPr lang="cs-CZ"/>
                </a:p>
              </c:txPr>
              <c:dLblPos val="r"/>
              <c:showLegendKey val="0"/>
              <c:showVal val="0"/>
              <c:showCatName val="0"/>
              <c:showSerName val="0"/>
              <c:showPercent val="0"/>
              <c:showBubbleSize val="0"/>
              <c:separator>, </c:separator>
              <c:extLst>
                <c:ext xmlns:c15="http://schemas.microsoft.com/office/drawing/2012/chart" uri="{CE6537A1-D6FC-4f65-9D91-7224C49458BB}">
                  <c15:showDataLabelsRange val="1"/>
                </c:ext>
                <c:ext xmlns:c16="http://schemas.microsoft.com/office/drawing/2014/chart" uri="{C3380CC4-5D6E-409C-BE32-E72D297353CC}">
                  <c16:uniqueId val="{00000021-D1F1-4828-AC78-A458987DE114}"/>
                </c:ext>
              </c:extLst>
            </c:dLbl>
            <c:dLbl>
              <c:idx val="34"/>
              <c:layout>
                <c:manualLayout>
                  <c:x val="-1.7768985163282566E-2"/>
                  <c:y val="-9.5371716869126003E-3"/>
                </c:manualLayout>
              </c:layout>
              <c:tx>
                <c:rich>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r>
                      <a:rPr lang="en-US" sz="850" b="0" i="0">
                        <a:solidFill>
                          <a:srgbClr val="000000"/>
                        </a:solidFill>
                        <a:latin typeface="+mn-lt"/>
                      </a:rPr>
                      <a:t>CHE</a:t>
                    </a:r>
                  </a:p>
                </c:rich>
              </c:tx>
              <c:spPr>
                <a:noFill/>
                <a:ln>
                  <a:noFill/>
                </a:ln>
                <a:effectLst/>
              </c:spPr>
              <c:txPr>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endParaRPr lang="cs-CZ"/>
                </a:p>
              </c:txPr>
              <c:dLblPos val="r"/>
              <c:showLegendKey val="0"/>
              <c:showVal val="0"/>
              <c:showCatName val="0"/>
              <c:showSerName val="0"/>
              <c:showPercent val="0"/>
              <c:showBubbleSize val="0"/>
              <c:separator>, </c:separator>
              <c:extLst>
                <c:ext xmlns:c15="http://schemas.microsoft.com/office/drawing/2012/chart" uri="{CE6537A1-D6FC-4f65-9D91-7224C49458BB}">
                  <c15:showDataLabelsRange val="1"/>
                </c:ext>
                <c:ext xmlns:c16="http://schemas.microsoft.com/office/drawing/2014/chart" uri="{C3380CC4-5D6E-409C-BE32-E72D297353CC}">
                  <c16:uniqueId val="{00000022-D1F1-4828-AC78-A458987DE114}"/>
                </c:ext>
              </c:extLst>
            </c:dLbl>
            <c:dLbl>
              <c:idx val="35"/>
              <c:layout>
                <c:manualLayout>
                  <c:x val="-5.1808159012550203E-2"/>
                  <c:y val="-4.7107383096612283E-2"/>
                </c:manualLayout>
              </c:layout>
              <c:tx>
                <c:rich>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r>
                      <a:rPr lang="en-US" sz="850" b="0" i="0">
                        <a:solidFill>
                          <a:srgbClr val="000000"/>
                        </a:solidFill>
                        <a:latin typeface="+mn-lt"/>
                      </a:rPr>
                      <a:t>TUR</a:t>
                    </a:r>
                  </a:p>
                </c:rich>
              </c:tx>
              <c:spPr>
                <a:noFill/>
                <a:ln>
                  <a:noFill/>
                </a:ln>
                <a:effectLst/>
              </c:spPr>
              <c:txPr>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endParaRPr lang="cs-CZ"/>
                </a:p>
              </c:txPr>
              <c:dLblPos val="r"/>
              <c:showLegendKey val="0"/>
              <c:showVal val="0"/>
              <c:showCatName val="0"/>
              <c:showSerName val="0"/>
              <c:showPercent val="0"/>
              <c:showBubbleSize val="0"/>
              <c:separator>, </c:separator>
              <c:extLst>
                <c:ext xmlns:c15="http://schemas.microsoft.com/office/drawing/2012/chart" uri="{CE6537A1-D6FC-4f65-9D91-7224C49458BB}">
                  <c15:showDataLabelsRange val="1"/>
                </c:ext>
                <c:ext xmlns:c16="http://schemas.microsoft.com/office/drawing/2014/chart" uri="{C3380CC4-5D6E-409C-BE32-E72D297353CC}">
                  <c16:uniqueId val="{00000023-D1F1-4828-AC78-A458987DE114}"/>
                </c:ext>
              </c:extLst>
            </c:dLbl>
            <c:dLbl>
              <c:idx val="36"/>
              <c:layout>
                <c:manualLayout>
                  <c:x val="-4.6745822051177825E-2"/>
                  <c:y val="0.10076578737313506"/>
                </c:manualLayout>
              </c:layout>
              <c:tx>
                <c:rich>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r>
                      <a:rPr lang="en-US" sz="850" b="0" i="0">
                        <a:solidFill>
                          <a:srgbClr val="000000"/>
                        </a:solidFill>
                        <a:latin typeface="+mn-lt"/>
                      </a:rPr>
                      <a:t>GBR</a:t>
                    </a:r>
                  </a:p>
                </c:rich>
              </c:tx>
              <c:spPr>
                <a:noFill/>
                <a:ln>
                  <a:noFill/>
                </a:ln>
                <a:effectLst/>
              </c:spPr>
              <c:txPr>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endParaRPr lang="cs-CZ"/>
                </a:p>
              </c:txPr>
              <c:dLblPos val="r"/>
              <c:showLegendKey val="0"/>
              <c:showVal val="0"/>
              <c:showCatName val="0"/>
              <c:showSerName val="0"/>
              <c:showPercent val="0"/>
              <c:showBubbleSize val="0"/>
              <c:separator>, </c:separator>
              <c:extLst>
                <c:ext xmlns:c15="http://schemas.microsoft.com/office/drawing/2012/chart" uri="{CE6537A1-D6FC-4f65-9D91-7224C49458BB}">
                  <c15:showDataLabelsRange val="1"/>
                </c:ext>
                <c:ext xmlns:c16="http://schemas.microsoft.com/office/drawing/2014/chart" uri="{C3380CC4-5D6E-409C-BE32-E72D297353CC}">
                  <c16:uniqueId val="{00000024-D1F1-4828-AC78-A458987DE114}"/>
                </c:ext>
              </c:extLst>
            </c:dLbl>
            <c:dLbl>
              <c:idx val="37"/>
              <c:layout>
                <c:manualLayout>
                  <c:x val="-8.8720849423380932E-2"/>
                  <c:y val="8.0134463086166716E-2"/>
                </c:manualLayout>
              </c:layout>
              <c:tx>
                <c:rich>
                  <a:bodyPr rot="0" spcFirstLastPara="1" vertOverflow="ellipsis" vert="horz" wrap="square" lIns="38100" tIns="19050" rIns="38100" bIns="19050" anchor="ctr" anchorCtr="1">
                    <a:noAutofit/>
                  </a:bodyPr>
                  <a:lstStyle/>
                  <a:p>
                    <a:pPr>
                      <a:defRPr sz="850" b="0" i="0" u="none" strike="noStrike" kern="1200" baseline="0">
                        <a:solidFill>
                          <a:srgbClr val="000000"/>
                        </a:solidFill>
                        <a:latin typeface="+mn-lt"/>
                        <a:ea typeface="+mn-ea"/>
                        <a:cs typeface="+mn-cs"/>
                      </a:defRPr>
                    </a:pPr>
                    <a:r>
                      <a:rPr lang="en-US" sz="850" b="0" i="0">
                        <a:solidFill>
                          <a:srgbClr val="000000"/>
                        </a:solidFill>
                        <a:latin typeface="+mn-lt"/>
                      </a:rPr>
                      <a:t>USA</a:t>
                    </a:r>
                  </a:p>
                </c:rich>
              </c:tx>
              <c:spPr>
                <a:noFill/>
                <a:ln>
                  <a:noFill/>
                </a:ln>
                <a:effectLst/>
              </c:spPr>
              <c:txPr>
                <a:bodyPr rot="0" spcFirstLastPara="1" vertOverflow="ellipsis" vert="horz" wrap="square" lIns="38100" tIns="19050" rIns="38100" bIns="19050" anchor="ctr" anchorCtr="1">
                  <a:noAutofit/>
                </a:bodyPr>
                <a:lstStyle/>
                <a:p>
                  <a:pPr>
                    <a:defRPr sz="850" b="0" i="0" u="none" strike="noStrike" kern="1200" baseline="0">
                      <a:solidFill>
                        <a:srgbClr val="000000"/>
                      </a:solidFill>
                      <a:latin typeface="+mn-lt"/>
                      <a:ea typeface="+mn-ea"/>
                      <a:cs typeface="+mn-cs"/>
                    </a:defRPr>
                  </a:pPr>
                  <a:endParaRPr lang="cs-CZ"/>
                </a:p>
              </c:txPr>
              <c:dLblPos val="r"/>
              <c:showLegendKey val="0"/>
              <c:showVal val="0"/>
              <c:showCatName val="0"/>
              <c:showSerName val="0"/>
              <c:showPercent val="0"/>
              <c:showBubbleSize val="0"/>
              <c:separator>, </c:separator>
              <c:extLst>
                <c:ext xmlns:c15="http://schemas.microsoft.com/office/drawing/2012/chart" uri="{CE6537A1-D6FC-4f65-9D91-7224C49458BB}">
                  <c15:layout>
                    <c:manualLayout>
                      <c:w val="8.4777359351820153E-2"/>
                      <c:h val="5.8206402478378716E-2"/>
                    </c:manualLayout>
                  </c15:layout>
                  <c15:showDataLabelsRange val="1"/>
                </c:ext>
                <c:ext xmlns:c16="http://schemas.microsoft.com/office/drawing/2014/chart" uri="{C3380CC4-5D6E-409C-BE32-E72D297353CC}">
                  <c16:uniqueId val="{00000025-D1F1-4828-AC78-A458987DE114}"/>
                </c:ext>
              </c:extLst>
            </c:dLbl>
            <c:dLbl>
              <c:idx val="38"/>
              <c:layout>
                <c:manualLayout>
                  <c:x val="-7.1898417985012494E-2"/>
                  <c:y val="4.4257163496267668E-2"/>
                </c:manualLayout>
              </c:layout>
              <c:tx>
                <c:rich>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r>
                      <a:rPr lang="en-US" sz="850" b="0" i="0">
                        <a:solidFill>
                          <a:srgbClr val="000000"/>
                        </a:solidFill>
                        <a:latin typeface="+mn-lt"/>
                      </a:rPr>
                      <a:t>OECD</a:t>
                    </a:r>
                  </a:p>
                </c:rich>
              </c:tx>
              <c:spPr>
                <a:noFill/>
                <a:ln>
                  <a:noFill/>
                </a:ln>
                <a:effectLst/>
              </c:spPr>
              <c:txPr>
                <a:bodyPr rot="0" spcFirstLastPara="1" vertOverflow="ellipsis" vert="horz" wrap="square" lIns="38100" tIns="19050" rIns="38100" bIns="19050" anchor="ctr" anchorCtr="1">
                  <a:spAutoFit/>
                </a:bodyPr>
                <a:lstStyle/>
                <a:p>
                  <a:pPr>
                    <a:defRPr sz="850" b="0" i="0" u="none" strike="noStrike" kern="1200" baseline="0">
                      <a:solidFill>
                        <a:srgbClr val="000000"/>
                      </a:solidFill>
                      <a:latin typeface="+mn-lt"/>
                      <a:ea typeface="+mn-ea"/>
                      <a:cs typeface="+mn-cs"/>
                    </a:defRPr>
                  </a:pPr>
                  <a:endParaRPr lang="cs-CZ"/>
                </a:p>
              </c:txPr>
              <c:dLblPos val="r"/>
              <c:showLegendKey val="0"/>
              <c:showVal val="0"/>
              <c:showCatName val="0"/>
              <c:showSerName val="0"/>
              <c:showPercent val="0"/>
              <c:showBubbleSize val="0"/>
              <c:separator>, </c:separator>
              <c:extLst>
                <c:ext xmlns:c15="http://schemas.microsoft.com/office/drawing/2012/chart" uri="{CE6537A1-D6FC-4f65-9D91-7224C49458BB}">
                  <c15:showDataLabelsRange val="1"/>
                </c:ext>
                <c:ext xmlns:c16="http://schemas.microsoft.com/office/drawing/2014/chart" uri="{C3380CC4-5D6E-409C-BE32-E72D297353CC}">
                  <c16:uniqueId val="{00000026-D1F1-4828-AC78-A458987DE114}"/>
                </c:ext>
              </c:extLst>
            </c:dLbl>
            <c:spPr>
              <a:noFill/>
              <a:ln>
                <a:noFill/>
              </a:ln>
              <a:effectLst/>
            </c:spPr>
            <c:txPr>
              <a:bodyPr rot="0" spcFirstLastPara="1" vertOverflow="ellipsis" vert="horz" wrap="square" lIns="38100" tIns="19050" rIns="38100" bIns="19050" anchor="ctr" anchorCtr="1">
                <a:spAutoFit/>
              </a:bodyPr>
              <a:lstStyle/>
              <a:p>
                <a:pPr>
                  <a:defRPr sz="850" b="0" i="0" u="none" strike="noStrike" kern="1200" baseline="0">
                    <a:solidFill>
                      <a:schemeClr val="tx1">
                        <a:lumMod val="75000"/>
                        <a:lumOff val="25000"/>
                      </a:schemeClr>
                    </a:solidFill>
                    <a:latin typeface="+mn-lt"/>
                    <a:ea typeface="+mn-ea"/>
                    <a:cs typeface="+mn-cs"/>
                  </a:defRPr>
                </a:pPr>
                <a:endParaRPr lang="cs-CZ"/>
              </a:p>
            </c:txPr>
            <c:dLblPos val="b"/>
            <c:showLegendKey val="0"/>
            <c:showVal val="0"/>
            <c:showCatName val="0"/>
            <c:showSerName val="0"/>
            <c:showPercent val="0"/>
            <c:showBubbleSize val="0"/>
            <c:separator>, </c:separator>
            <c:showLeaderLines val="0"/>
            <c:extLst>
              <c:ext xmlns:c15="http://schemas.microsoft.com/office/drawing/2012/chart" uri="{CE6537A1-D6FC-4f65-9D91-7224C49458BB}">
                <c15:showDataLabelsRange val="1"/>
                <c15:showLeaderLines val="1"/>
                <c15:leaderLines>
                  <c:spPr>
                    <a:ln w="9525" cap="flat" cmpd="sng" algn="ctr">
                      <a:solidFill>
                        <a:schemeClr val="tx1">
                          <a:lumMod val="35000"/>
                          <a:lumOff val="65000"/>
                        </a:schemeClr>
                      </a:solidFill>
                      <a:round/>
                    </a:ln>
                    <a:effectLst/>
                  </c:spPr>
                </c15:leaderLines>
              </c:ext>
            </c:extLst>
          </c:dLbls>
          <c:trendline>
            <c:spPr>
              <a:ln w="12700" cap="rnd">
                <a:solidFill>
                  <a:schemeClr val="tx1"/>
                </a:solidFill>
                <a:prstDash val="solid"/>
              </a:ln>
              <a:effectLst/>
            </c:spPr>
            <c:trendlineType val="log"/>
            <c:dispRSqr val="1"/>
            <c:dispEq val="0"/>
            <c:trendlineLbl>
              <c:layout>
                <c:manualLayout>
                  <c:x val="5.5609498646141342E-2"/>
                  <c:y val="6.2388445123627546E-2"/>
                </c:manualLayout>
              </c:layout>
              <c:numFmt formatCode="General" sourceLinked="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cs-CZ"/>
                </a:p>
              </c:txPr>
            </c:trendlineLbl>
          </c:trendline>
          <c:xVal>
            <c:numRef>
              <c:f>'[1]g11-8'!$B$26:$B$64</c:f>
              <c:numCache>
                <c:formatCode>General</c:formatCode>
                <c:ptCount val="39"/>
                <c:pt idx="0">
                  <c:v>5627.3149999999996</c:v>
                </c:pt>
                <c:pt idx="1">
                  <c:v>5882.7449999999999</c:v>
                </c:pt>
                <c:pt idx="2">
                  <c:v>5406.9790000000003</c:v>
                </c:pt>
                <c:pt idx="3">
                  <c:v>5828.3239999999996</c:v>
                </c:pt>
                <c:pt idx="4">
                  <c:v>2412.752</c:v>
                </c:pt>
                <c:pt idx="5">
                  <c:v>1335.877</c:v>
                </c:pt>
                <c:pt idx="6">
                  <c:v>1617.8230000000001</c:v>
                </c:pt>
                <c:pt idx="7">
                  <c:v>3805.143</c:v>
                </c:pt>
                <c:pt idx="8">
                  <c:v>5693.6509999999998</c:v>
                </c:pt>
                <c:pt idx="9">
                  <c:v>2729.2289999999998</c:v>
                </c:pt>
                <c:pt idx="10">
                  <c:v>4604.6220000000003</c:v>
                </c:pt>
                <c:pt idx="11">
                  <c:v>5468.4179999999997</c:v>
                </c:pt>
                <c:pt idx="12">
                  <c:v>6938.9830000000002</c:v>
                </c:pt>
                <c:pt idx="13">
                  <c:v>2486.0909999999999</c:v>
                </c:pt>
                <c:pt idx="14">
                  <c:v>2401.9989999999998</c:v>
                </c:pt>
                <c:pt idx="15">
                  <c:v>4620.1580000000004</c:v>
                </c:pt>
                <c:pt idx="16">
                  <c:v>5372.8140000000003</c:v>
                </c:pt>
                <c:pt idx="17">
                  <c:v>3057.4079999999999</c:v>
                </c:pt>
                <c:pt idx="18">
                  <c:v>3747.172</c:v>
                </c:pt>
                <c:pt idx="19">
                  <c:v>4665.6409999999996</c:v>
                </c:pt>
                <c:pt idx="20">
                  <c:v>3582.3130000000001</c:v>
                </c:pt>
                <c:pt idx="21">
                  <c:v>2227.8960000000002</c:v>
                </c:pt>
                <c:pt idx="22">
                  <c:v>2881.8440000000001</c:v>
                </c:pt>
                <c:pt idx="23">
                  <c:v>5628.4970000000003</c:v>
                </c:pt>
                <c:pt idx="24">
                  <c:v>1226.7360000000001</c:v>
                </c:pt>
                <c:pt idx="25">
                  <c:v>6180.0110000000004</c:v>
                </c:pt>
                <c:pt idx="26">
                  <c:v>4469.3829999999998</c:v>
                </c:pt>
                <c:pt idx="27">
                  <c:v>6581.6289999999999</c:v>
                </c:pt>
                <c:pt idx="28">
                  <c:v>2286.1109999999999</c:v>
                </c:pt>
                <c:pt idx="29">
                  <c:v>3348.203</c:v>
                </c:pt>
                <c:pt idx="30">
                  <c:v>2125.6660000000002</c:v>
                </c:pt>
                <c:pt idx="31">
                  <c:v>3474.1469999999999</c:v>
                </c:pt>
                <c:pt idx="32">
                  <c:v>3718.0540000000001</c:v>
                </c:pt>
                <c:pt idx="33">
                  <c:v>5757.2910000000002</c:v>
                </c:pt>
                <c:pt idx="34">
                  <c:v>7178.56</c:v>
                </c:pt>
                <c:pt idx="35">
                  <c:v>1304.7090000000001</c:v>
                </c:pt>
                <c:pt idx="36">
                  <c:v>5018.7</c:v>
                </c:pt>
                <c:pt idx="37">
                  <c:v>11859.179</c:v>
                </c:pt>
                <c:pt idx="38">
                  <c:v>4277.6861315789474</c:v>
                </c:pt>
              </c:numCache>
            </c:numRef>
          </c:xVal>
          <c:yVal>
            <c:numRef>
              <c:f>'[1]g11-8'!$C$26:$C$64</c:f>
              <c:numCache>
                <c:formatCode>General</c:formatCode>
                <c:ptCount val="39"/>
                <c:pt idx="0">
                  <c:v>83.2</c:v>
                </c:pt>
                <c:pt idx="1">
                  <c:v>81.3</c:v>
                </c:pt>
                <c:pt idx="2">
                  <c:v>80.8</c:v>
                </c:pt>
                <c:pt idx="3">
                  <c:v>81.7</c:v>
                </c:pt>
                <c:pt idx="4">
                  <c:v>80.8</c:v>
                </c:pt>
                <c:pt idx="5">
                  <c:v>76.7</c:v>
                </c:pt>
                <c:pt idx="6">
                  <c:v>80.599999999999994</c:v>
                </c:pt>
                <c:pt idx="7">
                  <c:v>78.3</c:v>
                </c:pt>
                <c:pt idx="8">
                  <c:v>81.599999999999994</c:v>
                </c:pt>
                <c:pt idx="9">
                  <c:v>78.900000000000006</c:v>
                </c:pt>
                <c:pt idx="10">
                  <c:v>82</c:v>
                </c:pt>
                <c:pt idx="11">
                  <c:v>82.3</c:v>
                </c:pt>
                <c:pt idx="12">
                  <c:v>81.099999999999994</c:v>
                </c:pt>
                <c:pt idx="13">
                  <c:v>81.400000000000006</c:v>
                </c:pt>
                <c:pt idx="14">
                  <c:v>75.7</c:v>
                </c:pt>
                <c:pt idx="15">
                  <c:v>83.1</c:v>
                </c:pt>
                <c:pt idx="16">
                  <c:v>82.6</c:v>
                </c:pt>
                <c:pt idx="17">
                  <c:v>82.7</c:v>
                </c:pt>
                <c:pt idx="18">
                  <c:v>82.3</c:v>
                </c:pt>
                <c:pt idx="19">
                  <c:v>84.7</c:v>
                </c:pt>
                <c:pt idx="20">
                  <c:v>83.5</c:v>
                </c:pt>
                <c:pt idx="21">
                  <c:v>75.5</c:v>
                </c:pt>
                <c:pt idx="22">
                  <c:v>75.099999999999994</c:v>
                </c:pt>
                <c:pt idx="23">
                  <c:v>82.2</c:v>
                </c:pt>
                <c:pt idx="24">
                  <c:v>75.2</c:v>
                </c:pt>
                <c:pt idx="25">
                  <c:v>81.400000000000006</c:v>
                </c:pt>
                <c:pt idx="26">
                  <c:v>82.3</c:v>
                </c:pt>
                <c:pt idx="27">
                  <c:v>83.3</c:v>
                </c:pt>
                <c:pt idx="28">
                  <c:v>76.5</c:v>
                </c:pt>
                <c:pt idx="29">
                  <c:v>81.099999999999994</c:v>
                </c:pt>
                <c:pt idx="30">
                  <c:v>77</c:v>
                </c:pt>
                <c:pt idx="31">
                  <c:v>80.599999999999994</c:v>
                </c:pt>
                <c:pt idx="32">
                  <c:v>82.4</c:v>
                </c:pt>
                <c:pt idx="33">
                  <c:v>82.4</c:v>
                </c:pt>
                <c:pt idx="34">
                  <c:v>83.1</c:v>
                </c:pt>
                <c:pt idx="35">
                  <c:v>77.8</c:v>
                </c:pt>
                <c:pt idx="36">
                  <c:v>80.400000000000006</c:v>
                </c:pt>
                <c:pt idx="37">
                  <c:v>77</c:v>
                </c:pt>
                <c:pt idx="38">
                  <c:v>80.489473684210537</c:v>
                </c:pt>
              </c:numCache>
            </c:numRef>
          </c:yVal>
          <c:smooth val="0"/>
          <c:extLst>
            <c:ext xmlns:c15="http://schemas.microsoft.com/office/drawing/2012/chart" uri="{02D57815-91ED-43cb-92C2-25804820EDAC}">
              <c15:datalabelsRange>
                <c15:f>'D:\Users\ODBOR_Ekonomických_analýz\_VÝSTUPY\_HLAVNÍ ÚKOLY\HOSPODÁŘSKÁ STRATEGIE\_VONDRÁČKOVÁ_Veronika\VÝSTUP\Podklady\01_01_\[Tab_11_08_ivmgt9.xlsx]g11-8'!$A$26:$A$64</c15:f>
                <c15:dlblRangeCache>
                  <c:ptCount val="39"/>
                  <c:pt idx="0">
                    <c:v>AUS </c:v>
                  </c:pt>
                  <c:pt idx="1">
                    <c:v>AUT</c:v>
                  </c:pt>
                  <c:pt idx="2">
                    <c:v>BEL</c:v>
                  </c:pt>
                  <c:pt idx="3">
                    <c:v>CAN</c:v>
                  </c:pt>
                  <c:pt idx="4">
                    <c:v>CHL</c:v>
                  </c:pt>
                  <c:pt idx="5">
                    <c:v>COL</c:v>
                  </c:pt>
                  <c:pt idx="6">
                    <c:v>CRI</c:v>
                  </c:pt>
                  <c:pt idx="7">
                    <c:v>CZE</c:v>
                  </c:pt>
                  <c:pt idx="8">
                    <c:v>DNK</c:v>
                  </c:pt>
                  <c:pt idx="9">
                    <c:v>EST</c:v>
                  </c:pt>
                  <c:pt idx="10">
                    <c:v>FIN</c:v>
                  </c:pt>
                  <c:pt idx="11">
                    <c:v>FRA</c:v>
                  </c:pt>
                  <c:pt idx="12">
                    <c:v>GER</c:v>
                  </c:pt>
                  <c:pt idx="13">
                    <c:v>GRC</c:v>
                  </c:pt>
                  <c:pt idx="14">
                    <c:v>HUN</c:v>
                  </c:pt>
                  <c:pt idx="15">
                    <c:v>ISL</c:v>
                  </c:pt>
                  <c:pt idx="16">
                    <c:v>IRL</c:v>
                  </c:pt>
                  <c:pt idx="17">
                    <c:v>ISR</c:v>
                  </c:pt>
                  <c:pt idx="18">
                    <c:v>ITA</c:v>
                  </c:pt>
                  <c:pt idx="19">
                    <c:v>JPN</c:v>
                  </c:pt>
                  <c:pt idx="20">
                    <c:v>KOR</c:v>
                  </c:pt>
                  <c:pt idx="21">
                    <c:v>LVA</c:v>
                  </c:pt>
                  <c:pt idx="22">
                    <c:v>LTU</c:v>
                  </c:pt>
                  <c:pt idx="23">
                    <c:v>LUX</c:v>
                  </c:pt>
                  <c:pt idx="24">
                    <c:v>MEX</c:v>
                  </c:pt>
                  <c:pt idx="25">
                    <c:v>NLD</c:v>
                  </c:pt>
                  <c:pt idx="26">
                    <c:v>NZL</c:v>
                  </c:pt>
                  <c:pt idx="27">
                    <c:v>NOR</c:v>
                  </c:pt>
                  <c:pt idx="28">
                    <c:v>POL</c:v>
                  </c:pt>
                  <c:pt idx="29">
                    <c:v>PRT</c:v>
                  </c:pt>
                  <c:pt idx="30">
                    <c:v>SVK</c:v>
                  </c:pt>
                  <c:pt idx="31">
                    <c:v>SVN</c:v>
                  </c:pt>
                  <c:pt idx="32">
                    <c:v>ESP</c:v>
                  </c:pt>
                  <c:pt idx="33">
                    <c:v>SWE</c:v>
                  </c:pt>
                  <c:pt idx="34">
                    <c:v>CHE</c:v>
                  </c:pt>
                  <c:pt idx="35">
                    <c:v>TUR</c:v>
                  </c:pt>
                  <c:pt idx="36">
                    <c:v>GBR</c:v>
                  </c:pt>
                  <c:pt idx="37">
                    <c:v>USA</c:v>
                  </c:pt>
                  <c:pt idx="38">
                    <c:v>OECD</c:v>
                  </c:pt>
                </c15:dlblRangeCache>
              </c15:datalabelsRange>
            </c:ext>
            <c:ext xmlns:c16="http://schemas.microsoft.com/office/drawing/2014/chart" uri="{C3380CC4-5D6E-409C-BE32-E72D297353CC}">
              <c16:uniqueId val="{00000028-D1F1-4828-AC78-A458987DE114}"/>
            </c:ext>
          </c:extLst>
        </c:ser>
        <c:dLbls>
          <c:showLegendKey val="0"/>
          <c:showVal val="0"/>
          <c:showCatName val="0"/>
          <c:showSerName val="0"/>
          <c:showPercent val="0"/>
          <c:showBubbleSize val="0"/>
        </c:dLbls>
        <c:axId val="498281072"/>
        <c:axId val="498280656"/>
      </c:scatterChart>
      <c:valAx>
        <c:axId val="498281072"/>
        <c:scaling>
          <c:orientation val="minMax"/>
          <c:max val="12000"/>
        </c:scaling>
        <c:delete val="0"/>
        <c:axPos val="b"/>
        <c:majorGridlines>
          <c:spPr>
            <a:ln w="9525" cap="flat" cmpd="sng" algn="ctr">
              <a:solidFill>
                <a:srgbClr val="FFFFFF"/>
              </a:solidFill>
              <a:prstDash val="solid"/>
              <a:round/>
            </a:ln>
            <a:effectLst/>
          </c:spPr>
        </c:majorGridlines>
        <c:title>
          <c:tx>
            <c:rich>
              <a:bodyPr rot="0" spcFirstLastPara="1" vertOverflow="ellipsis" vert="horz" wrap="square" anchor="ctr" anchorCtr="1"/>
              <a:lstStyle/>
              <a:p>
                <a:pPr>
                  <a:defRPr sz="750" b="0" i="0" u="none" strike="noStrike" kern="1200" baseline="0">
                    <a:solidFill>
                      <a:srgbClr val="000000"/>
                    </a:solidFill>
                    <a:latin typeface="Arial Narrow" panose="020B0606020202030204" pitchFamily="34" charset="0"/>
                    <a:ea typeface="+mn-ea"/>
                    <a:cs typeface="+mn-cs"/>
                  </a:defRPr>
                </a:pPr>
                <a:r>
                  <a:rPr lang="en-GB" sz="700" b="0" i="0">
                    <a:solidFill>
                      <a:srgbClr val="000000"/>
                    </a:solidFill>
                    <a:latin typeface="+mn-lt"/>
                  </a:rPr>
                  <a:t>Celkové běžné výdaje na zdravotnictví na obyvatele</a:t>
                </a:r>
              </a:p>
            </c:rich>
          </c:tx>
          <c:layout>
            <c:manualLayout>
              <c:xMode val="edge"/>
              <c:yMode val="edge"/>
              <c:x val="0.30036059189520542"/>
              <c:y val="0.92793028851167259"/>
            </c:manualLayout>
          </c:layout>
          <c:overlay val="0"/>
          <c:spPr>
            <a:noFill/>
            <a:ln>
              <a:noFill/>
            </a:ln>
            <a:effectLst/>
          </c:spPr>
          <c:txPr>
            <a:bodyPr rot="0" spcFirstLastPara="1" vertOverflow="ellipsis" vert="horz" wrap="square" anchor="ctr" anchorCtr="1"/>
            <a:lstStyle/>
            <a:p>
              <a:pPr>
                <a:defRPr sz="750" b="0" i="0" u="none" strike="noStrike" kern="1200" baseline="0">
                  <a:solidFill>
                    <a:srgbClr val="000000"/>
                  </a:solidFill>
                  <a:latin typeface="Arial Narrow" panose="020B0606020202030204" pitchFamily="34" charset="0"/>
                  <a:ea typeface="+mn-ea"/>
                  <a:cs typeface="+mn-cs"/>
                </a:defRPr>
              </a:pPr>
              <a:endParaRPr lang="cs-CZ"/>
            </a:p>
          </c:txPr>
        </c:title>
        <c:numFmt formatCode="General" sourceLinked="0"/>
        <c:majorTickMark val="in"/>
        <c:minorTickMark val="none"/>
        <c:tickLblPos val="low"/>
        <c:spPr>
          <a:noFill/>
          <a:ln w="9525" cap="flat" cmpd="sng" algn="ctr">
            <a:solidFill>
              <a:srgbClr val="000000"/>
            </a:solidFill>
            <a:prstDash val="solid"/>
            <a:round/>
          </a:ln>
          <a:effectLst/>
          <a:extLst>
            <a:ext uri="{909E8E84-426E-40DD-AFC4-6F175D3DCCD1}">
              <a14:hiddenFill xmlns:a14="http://schemas.microsoft.com/office/drawing/2010/main">
                <a:noFill/>
              </a14:hiddenFill>
            </a:ext>
          </a:extLst>
        </c:spPr>
        <c:txPr>
          <a:bodyPr rot="-60000000" spcFirstLastPara="1" vertOverflow="ellipsis" vert="horz" wrap="square" anchor="ctr" anchorCtr="1"/>
          <a:lstStyle/>
          <a:p>
            <a:pPr>
              <a:defRPr sz="700" b="0" i="0" u="none" strike="noStrike" kern="1200" baseline="0">
                <a:solidFill>
                  <a:srgbClr val="000000"/>
                </a:solidFill>
                <a:latin typeface="+mn-lt"/>
                <a:ea typeface="Arial Narrow"/>
                <a:cs typeface="Arial Narrow"/>
              </a:defRPr>
            </a:pPr>
            <a:endParaRPr lang="cs-CZ"/>
          </a:p>
        </c:txPr>
        <c:crossAx val="498280656"/>
        <c:crosses val="autoZero"/>
        <c:crossBetween val="midCat"/>
      </c:valAx>
      <c:valAx>
        <c:axId val="498280656"/>
        <c:scaling>
          <c:orientation val="minMax"/>
          <c:min val="74"/>
        </c:scaling>
        <c:delete val="0"/>
        <c:axPos val="l"/>
        <c:majorGridlines>
          <c:spPr>
            <a:ln w="6350" cap="flat" cmpd="sng" algn="ctr">
              <a:solidFill>
                <a:schemeClr val="tx1"/>
              </a:solidFill>
              <a:prstDash val="dash"/>
              <a:round/>
            </a:ln>
            <a:effectLst/>
          </c:spPr>
        </c:majorGridlines>
        <c:title>
          <c:tx>
            <c:rich>
              <a:bodyPr rot="0" spcFirstLastPara="1" vertOverflow="ellipsis" wrap="square" anchor="t" anchorCtr="1"/>
              <a:lstStyle/>
              <a:p>
                <a:pPr>
                  <a:defRPr sz="750" b="0" i="0" u="none" strike="noStrike" kern="1200" baseline="0">
                    <a:solidFill>
                      <a:srgbClr val="000000"/>
                    </a:solidFill>
                    <a:latin typeface="Arial Narrow" panose="020B0606020202030204" pitchFamily="34" charset="0"/>
                    <a:ea typeface="+mn-ea"/>
                    <a:cs typeface="+mn-cs"/>
                  </a:defRPr>
                </a:pPr>
                <a:r>
                  <a:rPr lang="en-GB" sz="700" b="0" i="0">
                    <a:solidFill>
                      <a:srgbClr val="000000"/>
                    </a:solidFill>
                    <a:latin typeface="+mn-lt"/>
                  </a:rPr>
                  <a:t>Očekávaná délka života při narození</a:t>
                </a:r>
              </a:p>
            </c:rich>
          </c:tx>
          <c:layout>
            <c:manualLayout>
              <c:xMode val="edge"/>
              <c:yMode val="edge"/>
              <c:x val="6.8859611740872115E-2"/>
              <c:y val="1.352897345813955E-2"/>
            </c:manualLayout>
          </c:layout>
          <c:overlay val="0"/>
          <c:spPr>
            <a:noFill/>
            <a:ln>
              <a:noFill/>
            </a:ln>
            <a:effectLst/>
          </c:spPr>
          <c:txPr>
            <a:bodyPr rot="0" spcFirstLastPara="1" vertOverflow="ellipsis" wrap="square" anchor="t" anchorCtr="1"/>
            <a:lstStyle/>
            <a:p>
              <a:pPr>
                <a:defRPr sz="750" b="0" i="0" u="none" strike="noStrike" kern="1200" baseline="0">
                  <a:solidFill>
                    <a:srgbClr val="000000"/>
                  </a:solidFill>
                  <a:latin typeface="Arial Narrow" panose="020B0606020202030204" pitchFamily="34" charset="0"/>
                  <a:ea typeface="+mn-ea"/>
                  <a:cs typeface="+mn-cs"/>
                </a:defRPr>
              </a:pPr>
              <a:endParaRPr lang="cs-CZ"/>
            </a:p>
          </c:txPr>
        </c:title>
        <c:numFmt formatCode="General" sourceLinked="1"/>
        <c:majorTickMark val="in"/>
        <c:minorTickMark val="none"/>
        <c:tickLblPos val="nextTo"/>
        <c:spPr>
          <a:noFill/>
          <a:ln w="9525" cap="flat" cmpd="sng" algn="ctr">
            <a:solidFill>
              <a:srgbClr val="000000"/>
            </a:solidFill>
            <a:prstDash val="solid"/>
            <a:round/>
          </a:ln>
          <a:effectLst/>
          <a:extLst>
            <a:ext uri="{909E8E84-426E-40DD-AFC4-6F175D3DCCD1}">
              <a14:hiddenFill xmlns:a14="http://schemas.microsoft.com/office/drawing/2010/main">
                <a:noFill/>
              </a14:hiddenFill>
            </a:ext>
          </a:extLst>
        </c:spPr>
        <c:txPr>
          <a:bodyPr rot="-60000000" spcFirstLastPara="1" vertOverflow="ellipsis" vert="horz" wrap="square" anchor="ctr" anchorCtr="1"/>
          <a:lstStyle/>
          <a:p>
            <a:pPr>
              <a:defRPr sz="700" b="0" i="0" u="none" strike="noStrike" kern="1200" baseline="0">
                <a:solidFill>
                  <a:srgbClr val="000000"/>
                </a:solidFill>
                <a:latin typeface="+mn-lt"/>
                <a:ea typeface="Arial Narrow"/>
                <a:cs typeface="Arial Narrow"/>
              </a:defRPr>
            </a:pPr>
            <a:endParaRPr lang="cs-CZ"/>
          </a:p>
        </c:txPr>
        <c:crossAx val="498281072"/>
        <c:crosses val="autoZero"/>
        <c:crossBetween val="midCat"/>
      </c:valAx>
      <c:spPr>
        <a:noFill/>
        <a:ln w="9525">
          <a:noFill/>
        </a:ln>
        <a:effectLst/>
      </c:spPr>
    </c:plotArea>
    <c:plotVisOnly val="1"/>
    <c:dispBlanksAs val="gap"/>
    <c:showDLblsOverMax val="0"/>
  </c:chart>
  <c:spPr>
    <a:noFill/>
    <a:ln w="9525" cap="flat" cmpd="sng" algn="ctr">
      <a:noFill/>
      <a:round/>
    </a:ln>
    <a:effectLst/>
    <a:extLst>
      <a:ext uri="{909E8E84-426E-40DD-AFC4-6F175D3DCCD1}">
        <a14:hiddenFill xmlns:a14="http://schemas.microsoft.com/office/drawing/2010/main">
          <a:solidFill>
            <a:sysClr val="window" lastClr="FFFFFF"/>
          </a:solidFill>
        </a14:hiddenFill>
      </a:ext>
      <a:ext uri="{91240B29-F687-4F45-9708-019B960494DF}">
        <a14:hiddenLine xmlns:a14="http://schemas.microsoft.com/office/drawing/2010/main" w="9525" cap="flat" cmpd="sng" algn="ctr">
          <a:solidFill>
            <a:sysClr val="windowText" lastClr="000000">
              <a:lumMod val="15000"/>
              <a:lumOff val="85000"/>
            </a:sysClr>
          </a:solidFill>
          <a:round/>
        </a14:hiddenLine>
      </a:ext>
    </a:extLst>
  </c:spPr>
  <c:txPr>
    <a:bodyPr/>
    <a:lstStyle/>
    <a:p>
      <a:pPr>
        <a:defRPr/>
      </a:pPr>
      <a:endParaRPr lang="cs-CZ"/>
    </a:p>
  </c:txPr>
  <c:externalData r:id="rId3">
    <c:autoUpdate val="0"/>
  </c:externalData>
</c:chartSpace>
</file>

<file path=word/charts/chart3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8814914094112431E-2"/>
          <c:y val="0.13909673281505586"/>
          <c:w val="0.83407740388158291"/>
          <c:h val="0.68099235658883783"/>
        </c:manualLayout>
      </c:layout>
      <c:scatterChart>
        <c:scatterStyle val="lineMarker"/>
        <c:varyColors val="0"/>
        <c:ser>
          <c:idx val="0"/>
          <c:order val="0"/>
          <c:tx>
            <c:strRef>
              <c:f>'g11-9'!$C$24</c:f>
              <c:strCache>
                <c:ptCount val="1"/>
                <c:pt idx="0">
                  <c:v>PISA mathematics 2018 at age 15</c:v>
                </c:pt>
              </c:strCache>
            </c:strRef>
          </c:tx>
          <c:spPr>
            <a:ln w="25400" cap="rnd">
              <a:noFill/>
              <a:round/>
            </a:ln>
            <a:effectLst/>
          </c:spPr>
          <c:marker>
            <c:symbol val="diamond"/>
            <c:size val="5"/>
            <c:spPr>
              <a:solidFill>
                <a:srgbClr val="4F81BD"/>
              </a:solidFill>
              <a:ln w="9525">
                <a:solidFill>
                  <a:srgbClr val="4F81BD"/>
                </a:solidFill>
                <a:prstDash val="solid"/>
              </a:ln>
              <a:effectLst/>
            </c:spPr>
          </c:marker>
          <c:dPt>
            <c:idx val="20"/>
            <c:marker>
              <c:symbol val="diamond"/>
              <c:size val="5"/>
              <c:spPr>
                <a:solidFill>
                  <a:srgbClr val="4472C4"/>
                </a:solidFill>
                <a:ln w="9525">
                  <a:solidFill>
                    <a:srgbClr val="4F81BD"/>
                  </a:solidFill>
                  <a:prstDash val="solid"/>
                </a:ln>
                <a:effectLst/>
              </c:spPr>
            </c:marker>
            <c:bubble3D val="0"/>
            <c:extLst>
              <c:ext xmlns:c16="http://schemas.microsoft.com/office/drawing/2014/chart" uri="{C3380CC4-5D6E-409C-BE32-E72D297353CC}">
                <c16:uniqueId val="{00000000-0B65-45BD-BBD3-F6ABC2EC2FFA}"/>
              </c:ext>
            </c:extLst>
          </c:dPt>
          <c:dLbls>
            <c:dLbl>
              <c:idx val="0"/>
              <c:layout>
                <c:manualLayout>
                  <c:x val="6.5392010397335573E-3"/>
                  <c:y val="3.9496986026763971E-2"/>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r>
                      <a:rPr lang="en-US" sz="800" b="0" i="0">
                        <a:solidFill>
                          <a:srgbClr val="000000"/>
                        </a:solidFill>
                        <a:latin typeface="+mn-lt"/>
                      </a:rPr>
                      <a:t>AUS </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DataLabelsRange val="1"/>
                </c:ext>
                <c:ext xmlns:c16="http://schemas.microsoft.com/office/drawing/2014/chart" uri="{C3380CC4-5D6E-409C-BE32-E72D297353CC}">
                  <c16:uniqueId val="{00000001-0B65-45BD-BBD3-F6ABC2EC2FFA}"/>
                </c:ext>
              </c:extLst>
            </c:dLbl>
            <c:dLbl>
              <c:idx val="1"/>
              <c:layout>
                <c:manualLayout>
                  <c:x val="-3.9130361963971086E-2"/>
                  <c:y val="5.3245335450575623E-2"/>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r>
                      <a:rPr lang="en-US" sz="800" b="0" i="0">
                        <a:solidFill>
                          <a:srgbClr val="000000"/>
                        </a:solidFill>
                        <a:latin typeface="+mn-lt"/>
                      </a:rPr>
                      <a:t>AUT</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DataLabelsRange val="1"/>
                </c:ext>
                <c:ext xmlns:c16="http://schemas.microsoft.com/office/drawing/2014/chart" uri="{C3380CC4-5D6E-409C-BE32-E72D297353CC}">
                  <c16:uniqueId val="{00000002-0B65-45BD-BBD3-F6ABC2EC2FFA}"/>
                </c:ext>
              </c:extLst>
            </c:dLbl>
            <c:dLbl>
              <c:idx val="2"/>
              <c:layout>
                <c:manualLayout>
                  <c:x val="6.6447152456303718E-3"/>
                  <c:y val="-4.0031575628063636E-2"/>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r>
                      <a:rPr lang="en-US" sz="800" b="0" i="0">
                        <a:solidFill>
                          <a:srgbClr val="000000"/>
                        </a:solidFill>
                        <a:latin typeface="+mn-lt"/>
                      </a:rPr>
                      <a:t>BEL</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DataLabelsRange val="1"/>
                </c:ext>
                <c:ext xmlns:c16="http://schemas.microsoft.com/office/drawing/2014/chart" uri="{C3380CC4-5D6E-409C-BE32-E72D297353CC}">
                  <c16:uniqueId val="{00000003-0B65-45BD-BBD3-F6ABC2EC2FFA}"/>
                </c:ext>
              </c:extLst>
            </c:dLbl>
            <c:dLbl>
              <c:idx val="3"/>
              <c:layout>
                <c:manualLayout>
                  <c:x val="-6.5393198489468608E-3"/>
                  <c:y val="0"/>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r>
                      <a:rPr lang="en-US" sz="800" b="0" i="0">
                        <a:solidFill>
                          <a:srgbClr val="000000"/>
                        </a:solidFill>
                        <a:latin typeface="+mn-lt"/>
                      </a:rPr>
                      <a:t>CHL</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DataLabelsRange val="1"/>
                </c:ext>
                <c:ext xmlns:c16="http://schemas.microsoft.com/office/drawing/2014/chart" uri="{C3380CC4-5D6E-409C-BE32-E72D297353CC}">
                  <c16:uniqueId val="{00000004-0B65-45BD-BBD3-F6ABC2EC2FFA}"/>
                </c:ext>
              </c:extLst>
            </c:dLbl>
            <c:dLbl>
              <c:idx val="4"/>
              <c:layout>
                <c:manualLayout>
                  <c:x val="-1.2809564474807857E-2"/>
                  <c:y val="2.5316455696202531E-2"/>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r>
                      <a:rPr lang="en-US" sz="800" b="0" i="0">
                        <a:solidFill>
                          <a:srgbClr val="000000"/>
                        </a:solidFill>
                        <a:latin typeface="+mn-lt"/>
                      </a:rPr>
                      <a:t>COL</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DataLabelsRange val="1"/>
                </c:ext>
                <c:ext xmlns:c16="http://schemas.microsoft.com/office/drawing/2014/chart" uri="{C3380CC4-5D6E-409C-BE32-E72D297353CC}">
                  <c16:uniqueId val="{00000005-0B65-45BD-BBD3-F6ABC2EC2FFA}"/>
                </c:ext>
              </c:extLst>
            </c:dLbl>
            <c:dLbl>
              <c:idx val="5"/>
              <c:layout>
                <c:manualLayout>
                  <c:x val="-3.7056288117700058E-2"/>
                  <c:y val="-1.2085717133459583E-2"/>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r>
                      <a:rPr lang="en-US" sz="800" b="0" i="0">
                        <a:solidFill>
                          <a:schemeClr val="accent4"/>
                        </a:solidFill>
                        <a:latin typeface="+mn-lt"/>
                      </a:rPr>
                      <a:t>CZE</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DataLabelsRange val="1"/>
                </c:ext>
                <c:ext xmlns:c16="http://schemas.microsoft.com/office/drawing/2014/chart" uri="{C3380CC4-5D6E-409C-BE32-E72D297353CC}">
                  <c16:uniqueId val="{00000006-0B65-45BD-BBD3-F6ABC2EC2FFA}"/>
                </c:ext>
              </c:extLst>
            </c:dLbl>
            <c:dLbl>
              <c:idx val="6"/>
              <c:layout>
                <c:manualLayout>
                  <c:x val="-1.271979666077188E-2"/>
                  <c:y val="5.5385228745140572E-3"/>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r>
                      <a:rPr lang="en-US" sz="800" b="0" i="0">
                        <a:solidFill>
                          <a:srgbClr val="000000"/>
                        </a:solidFill>
                        <a:latin typeface="+mn-lt"/>
                      </a:rPr>
                      <a:t>DNK</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DataLabelsRange val="1"/>
                </c:ext>
                <c:ext xmlns:c16="http://schemas.microsoft.com/office/drawing/2014/chart" uri="{C3380CC4-5D6E-409C-BE32-E72D297353CC}">
                  <c16:uniqueId val="{00000007-0B65-45BD-BBD3-F6ABC2EC2FFA}"/>
                </c:ext>
              </c:extLst>
            </c:dLbl>
            <c:dLbl>
              <c:idx val="7"/>
              <c:layout>
                <c:manualLayout>
                  <c:x val="-9.0574715735255593E-2"/>
                  <c:y val="-4.4975979268414235E-2"/>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r>
                      <a:rPr lang="en-US" sz="800" b="0" i="0">
                        <a:solidFill>
                          <a:srgbClr val="000000"/>
                        </a:solidFill>
                        <a:latin typeface="+mn-lt"/>
                      </a:rPr>
                      <a:t>EST</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DataLabelsRange val="1"/>
                </c:ext>
                <c:ext xmlns:c16="http://schemas.microsoft.com/office/drawing/2014/chart" uri="{C3380CC4-5D6E-409C-BE32-E72D297353CC}">
                  <c16:uniqueId val="{00000008-0B65-45BD-BBD3-F6ABC2EC2FFA}"/>
                </c:ext>
              </c:extLst>
            </c:dLbl>
            <c:dLbl>
              <c:idx val="8"/>
              <c:layout>
                <c:manualLayout>
                  <c:x val="-1.5047330658073678E-2"/>
                  <c:y val="-9.7406870901714362E-2"/>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r>
                      <a:rPr lang="en-US" sz="800" b="0" i="0">
                        <a:solidFill>
                          <a:srgbClr val="000000"/>
                        </a:solidFill>
                        <a:latin typeface="+mn-lt"/>
                      </a:rPr>
                      <a:t>FIN</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DataLabelsRange val="1"/>
                </c:ext>
                <c:ext xmlns:c16="http://schemas.microsoft.com/office/drawing/2014/chart" uri="{C3380CC4-5D6E-409C-BE32-E72D297353CC}">
                  <c16:uniqueId val="{00000009-0B65-45BD-BBD3-F6ABC2EC2FFA}"/>
                </c:ext>
              </c:extLst>
            </c:dLbl>
            <c:dLbl>
              <c:idx val="9"/>
              <c:layout>
                <c:manualLayout>
                  <c:x val="-8.0860727947531744E-3"/>
                  <c:y val="6.5585592053584246E-2"/>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r>
                      <a:rPr lang="en-US" sz="800" b="0" i="0">
                        <a:solidFill>
                          <a:srgbClr val="000000"/>
                        </a:solidFill>
                        <a:latin typeface="+mn-lt"/>
                      </a:rPr>
                      <a:t>FRA</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DataLabelsRange val="1"/>
                </c:ext>
                <c:ext xmlns:c16="http://schemas.microsoft.com/office/drawing/2014/chart" uri="{C3380CC4-5D6E-409C-BE32-E72D297353CC}">
                  <c16:uniqueId val="{0000000A-0B65-45BD-BBD3-F6ABC2EC2FFA}"/>
                </c:ext>
              </c:extLst>
            </c:dLbl>
            <c:dLbl>
              <c:idx val="10"/>
              <c:layout>
                <c:manualLayout>
                  <c:x val="-8.0860727947531744E-3"/>
                  <c:y val="1.5011796868621132E-2"/>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r>
                      <a:rPr lang="en-US" sz="800" b="0" i="0">
                        <a:solidFill>
                          <a:srgbClr val="000000"/>
                        </a:solidFill>
                        <a:latin typeface="+mn-lt"/>
                      </a:rPr>
                      <a:t>GER</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DataLabelsRange val="1"/>
                </c:ext>
                <c:ext xmlns:c16="http://schemas.microsoft.com/office/drawing/2014/chart" uri="{C3380CC4-5D6E-409C-BE32-E72D297353CC}">
                  <c16:uniqueId val="{0000000B-0B65-45BD-BBD3-F6ABC2EC2FFA}"/>
                </c:ext>
              </c:extLst>
            </c:dLbl>
            <c:dLbl>
              <c:idx val="11"/>
              <c:layout>
                <c:manualLayout>
                  <c:x val="-7.2967784449659415E-2"/>
                  <c:y val="3.9972092096082927E-2"/>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r>
                      <a:rPr lang="en-US" sz="800" b="0" i="0">
                        <a:solidFill>
                          <a:srgbClr val="000000"/>
                        </a:solidFill>
                        <a:latin typeface="+mn-lt"/>
                      </a:rPr>
                      <a:t>GRC</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DataLabelsRange val="1"/>
                </c:ext>
                <c:ext xmlns:c16="http://schemas.microsoft.com/office/drawing/2014/chart" uri="{C3380CC4-5D6E-409C-BE32-E72D297353CC}">
                  <c16:uniqueId val="{0000000C-0B65-45BD-BBD3-F6ABC2EC2FFA}"/>
                </c:ext>
              </c:extLst>
            </c:dLbl>
            <c:dLbl>
              <c:idx val="12"/>
              <c:layout>
                <c:manualLayout>
                  <c:x val="-0.15472871125283885"/>
                  <c:y val="-5.0038149778000082E-3"/>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r>
                      <a:rPr lang="en-US" sz="800" b="0" i="0">
                        <a:solidFill>
                          <a:srgbClr val="000000"/>
                        </a:solidFill>
                        <a:latin typeface="+mn-lt"/>
                      </a:rPr>
                      <a:t>HUN</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DataLabelsRange val="1"/>
                </c:ext>
                <c:ext xmlns:c16="http://schemas.microsoft.com/office/drawing/2014/chart" uri="{C3380CC4-5D6E-409C-BE32-E72D297353CC}">
                  <c16:uniqueId val="{0000000D-0B65-45BD-BBD3-F6ABC2EC2FFA}"/>
                </c:ext>
              </c:extLst>
            </c:dLbl>
            <c:dLbl>
              <c:idx val="13"/>
              <c:layout>
                <c:manualLayout>
                  <c:x val="-1.7438316060267113E-2"/>
                  <c:y val="1.7149099468155495E-2"/>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r>
                      <a:rPr lang="en-US" sz="800" b="0" i="0">
                        <a:solidFill>
                          <a:srgbClr val="000000"/>
                        </a:solidFill>
                        <a:latin typeface="+mn-lt"/>
                      </a:rPr>
                      <a:t>ISL</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DataLabelsRange val="1"/>
                </c:ext>
                <c:ext xmlns:c16="http://schemas.microsoft.com/office/drawing/2014/chart" uri="{C3380CC4-5D6E-409C-BE32-E72D297353CC}">
                  <c16:uniqueId val="{0000000E-0B65-45BD-BBD3-F6ABC2EC2FFA}"/>
                </c:ext>
              </c:extLst>
            </c:dLbl>
            <c:dLbl>
              <c:idx val="14"/>
              <c:layout>
                <c:manualLayout>
                  <c:x val="-5.0134699690746812E-2"/>
                  <c:y val="-7.0055051134671226E-2"/>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r>
                      <a:rPr lang="en-US" sz="800" b="0" i="0">
                        <a:solidFill>
                          <a:srgbClr val="000000"/>
                        </a:solidFill>
                        <a:latin typeface="+mn-lt"/>
                      </a:rPr>
                      <a:t>IRL</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layout>
                    <c:manualLayout>
                      <c:w val="3.3939070016034203E-2"/>
                      <c:h val="5.8095653119538029E-2"/>
                    </c:manualLayout>
                  </c15:layout>
                  <c15:showDataLabelsRange val="1"/>
                </c:ext>
                <c:ext xmlns:c16="http://schemas.microsoft.com/office/drawing/2014/chart" uri="{C3380CC4-5D6E-409C-BE32-E72D297353CC}">
                  <c16:uniqueId val="{0000000F-0B65-45BD-BBD3-F6ABC2EC2FFA}"/>
                </c:ext>
              </c:extLst>
            </c:dLbl>
            <c:dLbl>
              <c:idx val="15"/>
              <c:layout>
                <c:manualLayout>
                  <c:x val="-3.8813988985791803E-2"/>
                  <c:y val="4.6994518090301959E-2"/>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r>
                      <a:rPr lang="en-US" sz="800" b="0" i="0">
                        <a:solidFill>
                          <a:srgbClr val="000000"/>
                        </a:solidFill>
                        <a:latin typeface="+mn-lt"/>
                      </a:rPr>
                      <a:t>ITA</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DataLabelsRange val="1"/>
                </c:ext>
                <c:ext xmlns:c16="http://schemas.microsoft.com/office/drawing/2014/chart" uri="{C3380CC4-5D6E-409C-BE32-E72D297353CC}">
                  <c16:uniqueId val="{00000010-0B65-45BD-BBD3-F6ABC2EC2FFA}"/>
                </c:ext>
              </c:extLst>
            </c:dLbl>
            <c:dLbl>
              <c:idx val="16"/>
              <c:layout>
                <c:manualLayout>
                  <c:x val="-7.3057366231434565E-2"/>
                  <c:y val="-8.6330413678736631E-2"/>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r>
                      <a:rPr lang="en-US" sz="800" b="0" i="0">
                        <a:solidFill>
                          <a:srgbClr val="000000"/>
                        </a:solidFill>
                        <a:latin typeface="+mn-lt"/>
                      </a:rPr>
                      <a:t>JPN</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DataLabelsRange val="1"/>
                </c:ext>
                <c:ext xmlns:c16="http://schemas.microsoft.com/office/drawing/2014/chart" uri="{C3380CC4-5D6E-409C-BE32-E72D297353CC}">
                  <c16:uniqueId val="{00000011-0B65-45BD-BBD3-F6ABC2EC2FFA}"/>
                </c:ext>
              </c:extLst>
            </c:dLbl>
            <c:dLbl>
              <c:idx val="17"/>
              <c:layout>
                <c:manualLayout>
                  <c:x val="3.82865832825302E-2"/>
                  <c:y val="-1.3408731935165086E-2"/>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r>
                      <a:rPr lang="en-US" sz="800" b="0" i="0">
                        <a:solidFill>
                          <a:srgbClr val="000000"/>
                        </a:solidFill>
                        <a:latin typeface="+mn-lt"/>
                      </a:rPr>
                      <a:t>KOR</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DataLabelsRange val="1"/>
                </c:ext>
                <c:ext xmlns:c16="http://schemas.microsoft.com/office/drawing/2014/chart" uri="{C3380CC4-5D6E-409C-BE32-E72D297353CC}">
                  <c16:uniqueId val="{00000012-0B65-45BD-BBD3-F6ABC2EC2FFA}"/>
                </c:ext>
              </c:extLst>
            </c:dLbl>
            <c:dLbl>
              <c:idx val="18"/>
              <c:layout>
                <c:manualLayout>
                  <c:x val="-0.11071464593825857"/>
                  <c:y val="-7.0055217781321635E-2"/>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r>
                      <a:rPr lang="en-US" sz="800" b="0" i="0">
                        <a:solidFill>
                          <a:srgbClr val="000000"/>
                        </a:solidFill>
                        <a:latin typeface="+mn-lt"/>
                      </a:rPr>
                      <a:t>LVA</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DataLabelsRange val="1"/>
                </c:ext>
                <c:ext xmlns:c16="http://schemas.microsoft.com/office/drawing/2014/chart" uri="{C3380CC4-5D6E-409C-BE32-E72D297353CC}">
                  <c16:uniqueId val="{00000013-0B65-45BD-BBD3-F6ABC2EC2FFA}"/>
                </c:ext>
              </c:extLst>
            </c:dLbl>
            <c:dLbl>
              <c:idx val="19"/>
              <c:layout>
                <c:manualLayout>
                  <c:x val="-0.11883277840676899"/>
                  <c:y val="-7.0055169365305939E-2"/>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r>
                      <a:rPr lang="en-US" sz="800" b="0" i="0">
                        <a:solidFill>
                          <a:srgbClr val="000000"/>
                        </a:solidFill>
                        <a:latin typeface="+mn-lt"/>
                      </a:rPr>
                      <a:t>LTU</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DataLabelsRange val="1"/>
                </c:ext>
                <c:ext xmlns:c16="http://schemas.microsoft.com/office/drawing/2014/chart" uri="{C3380CC4-5D6E-409C-BE32-E72D297353CC}">
                  <c16:uniqueId val="{00000014-0B65-45BD-BBD3-F6ABC2EC2FFA}"/>
                </c:ext>
              </c:extLst>
            </c:dLbl>
            <c:dLbl>
              <c:idx val="20"/>
              <c:layout>
                <c:manualLayout>
                  <c:x val="-4.3595465659645736E-3"/>
                  <c:y val="0"/>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r>
                      <a:rPr lang="en-US" sz="800" b="0" i="0">
                        <a:solidFill>
                          <a:srgbClr val="000000"/>
                        </a:solidFill>
                        <a:latin typeface="+mn-lt"/>
                      </a:rPr>
                      <a:t>LUX</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DataLabelsRange val="1"/>
                </c:ext>
                <c:ext xmlns:c16="http://schemas.microsoft.com/office/drawing/2014/chart" uri="{C3380CC4-5D6E-409C-BE32-E72D297353CC}">
                  <c16:uniqueId val="{00000000-0B65-45BD-BBD3-F6ABC2EC2FFA}"/>
                </c:ext>
              </c:extLst>
            </c:dLbl>
            <c:dLbl>
              <c:idx val="21"/>
              <c:layout>
                <c:manualLayout>
                  <c:x val="-6.5392010397336744E-3"/>
                  <c:y val="1.3263790686939031E-2"/>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r>
                      <a:rPr lang="en-US" sz="800" b="0" i="0">
                        <a:solidFill>
                          <a:srgbClr val="000000"/>
                        </a:solidFill>
                        <a:latin typeface="+mn-lt"/>
                      </a:rPr>
                      <a:t>MEX</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DataLabelsRange val="1"/>
                </c:ext>
                <c:ext xmlns:c16="http://schemas.microsoft.com/office/drawing/2014/chart" uri="{C3380CC4-5D6E-409C-BE32-E72D297353CC}">
                  <c16:uniqueId val="{00000015-0B65-45BD-BBD3-F6ABC2EC2FFA}"/>
                </c:ext>
              </c:extLst>
            </c:dLbl>
            <c:dLbl>
              <c:idx val="22"/>
              <c:layout>
                <c:manualLayout>
                  <c:x val="1.887967360938976E-2"/>
                  <c:y val="-9.6338043634336484E-2"/>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r>
                      <a:rPr lang="en-US" sz="800" b="0" i="0">
                        <a:solidFill>
                          <a:srgbClr val="000000"/>
                        </a:solidFill>
                        <a:latin typeface="+mn-lt"/>
                      </a:rPr>
                      <a:t>NLD</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DataLabelsRange val="1"/>
                </c:ext>
                <c:ext xmlns:c16="http://schemas.microsoft.com/office/drawing/2014/chart" uri="{C3380CC4-5D6E-409C-BE32-E72D297353CC}">
                  <c16:uniqueId val="{00000016-0B65-45BD-BBD3-F6ABC2EC2FFA}"/>
                </c:ext>
              </c:extLst>
            </c:dLbl>
            <c:dLbl>
              <c:idx val="23"/>
              <c:layout>
                <c:manualLayout>
                  <c:x val="-0.1279312385268665"/>
                  <c:y val="-0.11997568025515795"/>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r>
                      <a:rPr lang="en-US" sz="800" b="0" i="0">
                        <a:solidFill>
                          <a:srgbClr val="000000"/>
                        </a:solidFill>
                        <a:latin typeface="+mn-lt"/>
                      </a:rPr>
                      <a:t>NZL</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DataLabelsRange val="1"/>
                </c:ext>
                <c:ext xmlns:c16="http://schemas.microsoft.com/office/drawing/2014/chart" uri="{C3380CC4-5D6E-409C-BE32-E72D297353CC}">
                  <c16:uniqueId val="{00000017-0B65-45BD-BBD3-F6ABC2EC2FFA}"/>
                </c:ext>
              </c:extLst>
            </c:dLbl>
            <c:dLbl>
              <c:idx val="24"/>
              <c:layout>
                <c:manualLayout>
                  <c:x val="-6.5393198489468608E-3"/>
                  <c:y val="-1.5011796671715299E-2"/>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r>
                      <a:rPr lang="en-US" sz="800" b="0" i="0">
                        <a:solidFill>
                          <a:srgbClr val="000000"/>
                        </a:solidFill>
                        <a:latin typeface="+mn-lt"/>
                      </a:rPr>
                      <a:t>NOR</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DataLabelsRange val="1"/>
                </c:ext>
                <c:ext xmlns:c16="http://schemas.microsoft.com/office/drawing/2014/chart" uri="{C3380CC4-5D6E-409C-BE32-E72D297353CC}">
                  <c16:uniqueId val="{00000018-0B65-45BD-BBD3-F6ABC2EC2FFA}"/>
                </c:ext>
              </c:extLst>
            </c:dLbl>
            <c:dLbl>
              <c:idx val="25"/>
              <c:layout>
                <c:manualLayout>
                  <c:x val="-2.851052670509198E-4"/>
                  <c:y val="9.1020831256852383E-2"/>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r>
                      <a:rPr lang="en-US" sz="800" b="0" i="0">
                        <a:solidFill>
                          <a:srgbClr val="000000"/>
                        </a:solidFill>
                        <a:latin typeface="+mn-lt"/>
                      </a:rPr>
                      <a:t>OECD</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DataLabelsRange val="1"/>
                </c:ext>
                <c:ext xmlns:c16="http://schemas.microsoft.com/office/drawing/2014/chart" uri="{C3380CC4-5D6E-409C-BE32-E72D297353CC}">
                  <c16:uniqueId val="{00000019-0B65-45BD-BBD3-F6ABC2EC2FFA}"/>
                </c:ext>
              </c:extLst>
            </c:dLbl>
            <c:dLbl>
              <c:idx val="26"/>
              <c:layout>
                <c:manualLayout>
                  <c:x val="-8.4272688903925128E-2"/>
                  <c:y val="-0.10347951314689215"/>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r>
                      <a:rPr lang="en-US" sz="800" b="0" i="0">
                        <a:solidFill>
                          <a:srgbClr val="000000"/>
                        </a:solidFill>
                        <a:latin typeface="+mn-lt"/>
                      </a:rPr>
                      <a:t>POL</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DataLabelsRange val="1"/>
                </c:ext>
                <c:ext xmlns:c16="http://schemas.microsoft.com/office/drawing/2014/chart" uri="{C3380CC4-5D6E-409C-BE32-E72D297353CC}">
                  <c16:uniqueId val="{0000001A-0B65-45BD-BBD3-F6ABC2EC2FFA}"/>
                </c:ext>
              </c:extLst>
            </c:dLbl>
            <c:dLbl>
              <c:idx val="27"/>
              <c:layout>
                <c:manualLayout>
                  <c:x val="-3.6518017442525141E-2"/>
                  <c:y val="0.10943366889265424"/>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r>
                      <a:rPr lang="en-US" sz="800" b="0" i="0">
                        <a:solidFill>
                          <a:srgbClr val="000000"/>
                        </a:solidFill>
                        <a:latin typeface="+mn-lt"/>
                      </a:rPr>
                      <a:t>PRT</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DataLabelsRange val="1"/>
                </c:ext>
                <c:ext xmlns:c16="http://schemas.microsoft.com/office/drawing/2014/chart" uri="{C3380CC4-5D6E-409C-BE32-E72D297353CC}">
                  <c16:uniqueId val="{0000001B-0B65-45BD-BBD3-F6ABC2EC2FFA}"/>
                </c:ext>
              </c:extLst>
            </c:dLbl>
            <c:dLbl>
              <c:idx val="28"/>
              <c:layout>
                <c:manualLayout>
                  <c:x val="-5.3486823967670141E-2"/>
                  <c:y val="8.006299212598425E-2"/>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r>
                      <a:rPr lang="en-US" sz="800" b="0" i="0">
                        <a:solidFill>
                          <a:srgbClr val="000000"/>
                        </a:solidFill>
                        <a:latin typeface="+mn-lt"/>
                      </a:rPr>
                      <a:t>SVK</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DataLabelsRange val="1"/>
                </c:ext>
                <c:ext xmlns:c16="http://schemas.microsoft.com/office/drawing/2014/chart" uri="{C3380CC4-5D6E-409C-BE32-E72D297353CC}">
                  <c16:uniqueId val="{0000001C-0B65-45BD-BBD3-F6ABC2EC2FFA}"/>
                </c:ext>
              </c:extLst>
            </c:dLbl>
            <c:dLbl>
              <c:idx val="29"/>
              <c:layout>
                <c:manualLayout>
                  <c:x val="-4.4693948909674076E-2"/>
                  <c:y val="-0.12725246685936412"/>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r>
                      <a:rPr lang="en-US" sz="800" b="0" i="0">
                        <a:solidFill>
                          <a:srgbClr val="000000"/>
                        </a:solidFill>
                        <a:latin typeface="+mn-lt"/>
                      </a:rPr>
                      <a:t>SVN</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DataLabelsRange val="1"/>
                </c:ext>
                <c:ext xmlns:c16="http://schemas.microsoft.com/office/drawing/2014/chart" uri="{C3380CC4-5D6E-409C-BE32-E72D297353CC}">
                  <c16:uniqueId val="{0000001D-0B65-45BD-BBD3-F6ABC2EC2FFA}"/>
                </c:ext>
              </c:extLst>
            </c:dLbl>
            <c:dLbl>
              <c:idx val="30"/>
              <c:layout>
                <c:manualLayout>
                  <c:x val="-6.250664012856634E-2"/>
                  <c:y val="9.4778032492773751E-2"/>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r>
                      <a:rPr lang="en-US" sz="800" b="0" i="0">
                        <a:solidFill>
                          <a:srgbClr val="000000"/>
                        </a:solidFill>
                        <a:latin typeface="+mn-lt"/>
                      </a:rPr>
                      <a:t>ESP</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DataLabelsRange val="1"/>
                </c:ext>
                <c:ext xmlns:c16="http://schemas.microsoft.com/office/drawing/2014/chart" uri="{C3380CC4-5D6E-409C-BE32-E72D297353CC}">
                  <c16:uniqueId val="{0000001E-0B65-45BD-BBD3-F6ABC2EC2FFA}"/>
                </c:ext>
              </c:extLst>
            </c:dLbl>
            <c:dLbl>
              <c:idx val="31"/>
              <c:layout>
                <c:manualLayout>
                  <c:x val="-9.1022918355452231E-2"/>
                  <c:y val="3.6096235982420094E-2"/>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r>
                      <a:rPr lang="en-US" sz="800" b="0" i="0">
                        <a:solidFill>
                          <a:srgbClr val="000000"/>
                        </a:solidFill>
                        <a:latin typeface="+mn-lt"/>
                      </a:rPr>
                      <a:t>SWE</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DataLabelsRange val="1"/>
                </c:ext>
                <c:ext xmlns:c16="http://schemas.microsoft.com/office/drawing/2014/chart" uri="{C3380CC4-5D6E-409C-BE32-E72D297353CC}">
                  <c16:uniqueId val="{0000001F-0B65-45BD-BBD3-F6ABC2EC2FFA}"/>
                </c:ext>
              </c:extLst>
            </c:dLbl>
            <c:dLbl>
              <c:idx val="32"/>
              <c:layout>
                <c:manualLayout>
                  <c:x val="-8.9651903610260694E-2"/>
                  <c:y val="-3.8866039891633869E-2"/>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r>
                      <a:rPr lang="en-US" sz="800" b="0" i="0">
                        <a:solidFill>
                          <a:srgbClr val="000000"/>
                        </a:solidFill>
                        <a:latin typeface="+mn-lt"/>
                      </a:rPr>
                      <a:t>TUR</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DataLabelsRange val="1"/>
                </c:ext>
                <c:ext xmlns:c16="http://schemas.microsoft.com/office/drawing/2014/chart" uri="{C3380CC4-5D6E-409C-BE32-E72D297353CC}">
                  <c16:uniqueId val="{00000020-0B65-45BD-BBD3-F6ABC2EC2FFA}"/>
                </c:ext>
              </c:extLst>
            </c:dLbl>
            <c:dLbl>
              <c:idx val="33"/>
              <c:layout>
                <c:manualLayout>
                  <c:x val="-2.1797895075333792E-2"/>
                  <c:y val="-4.8436140650207404E-2"/>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r>
                      <a:rPr lang="en-US" sz="800" b="0" i="0">
                        <a:solidFill>
                          <a:srgbClr val="000000"/>
                        </a:solidFill>
                        <a:latin typeface="+mn-lt"/>
                      </a:rPr>
                      <a:t>GBR</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DataLabelsRange val="1"/>
                </c:ext>
                <c:ext xmlns:c16="http://schemas.microsoft.com/office/drawing/2014/chart" uri="{C3380CC4-5D6E-409C-BE32-E72D297353CC}">
                  <c16:uniqueId val="{00000021-0B65-45BD-BBD3-F6ABC2EC2FFA}"/>
                </c:ext>
              </c:extLst>
            </c:dLbl>
            <c:dLbl>
              <c:idx val="34"/>
              <c:layout>
                <c:manualLayout>
                  <c:x val="5.9064507700862202E-3"/>
                  <c:y val="5.3440307563228685E-2"/>
                </c:manualLayout>
              </c:layout>
              <c:tx>
                <c:rich>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r>
                      <a:rPr lang="en-US" sz="800" b="0" i="0">
                        <a:solidFill>
                          <a:srgbClr val="000000"/>
                        </a:solidFill>
                        <a:latin typeface="+mn-lt"/>
                      </a:rPr>
                      <a:t>USA</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rgbClr val="000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howDataLabelsRange val="1"/>
                </c:ext>
                <c:ext xmlns:c16="http://schemas.microsoft.com/office/drawing/2014/chart" uri="{C3380CC4-5D6E-409C-BE32-E72D297353CC}">
                  <c16:uniqueId val="{00000022-0B65-45BD-BBD3-F6ABC2EC2FFA}"/>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lumMod val="75000"/>
                        <a:lumOff val="25000"/>
                      </a:schemeClr>
                    </a:solidFill>
                    <a:latin typeface="+mn-lt"/>
                    <a:ea typeface="+mn-ea"/>
                    <a:cs typeface="+mn-cs"/>
                  </a:defRPr>
                </a:pPr>
                <a:endParaRPr lang="cs-CZ"/>
              </a:p>
            </c:txPr>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1"/>
                <c15:leaderLines>
                  <c:spPr>
                    <a:ln w="9525" cap="flat" cmpd="sng" algn="ctr">
                      <a:solidFill>
                        <a:schemeClr val="tx1">
                          <a:lumMod val="35000"/>
                          <a:lumOff val="65000"/>
                        </a:schemeClr>
                      </a:solidFill>
                      <a:round/>
                    </a:ln>
                    <a:effectLst/>
                  </c:spPr>
                </c15:leaderLines>
              </c:ext>
            </c:extLst>
          </c:dLbls>
          <c:trendline>
            <c:spPr>
              <a:ln w="12700" cap="rnd" cmpd="sng">
                <a:solidFill>
                  <a:schemeClr val="tx1"/>
                </a:solidFill>
                <a:prstDash val="solid"/>
              </a:ln>
              <a:effectLst/>
            </c:spPr>
            <c:trendlineType val="log"/>
            <c:dispRSqr val="1"/>
            <c:dispEq val="0"/>
            <c:trendlineLbl>
              <c:layout>
                <c:manualLayout>
                  <c:x val="0.16754910333048675"/>
                  <c:y val="5.6944084521080435E-2"/>
                </c:manualLayout>
              </c:layout>
              <c:numFmt formatCode="General" sourceLinked="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mn-lt"/>
                      <a:ea typeface="+mn-ea"/>
                      <a:cs typeface="+mn-cs"/>
                    </a:defRPr>
                  </a:pPr>
                  <a:endParaRPr lang="cs-CZ"/>
                </a:p>
              </c:txPr>
            </c:trendlineLbl>
          </c:trendline>
          <c:xVal>
            <c:numRef>
              <c:f>('g11-9'!$B$25:$B$27,'g11-9'!$B$28:$B$39,'g11-9'!$B$40:$B$59)</c:f>
              <c:numCache>
                <c:formatCode>General</c:formatCode>
                <c:ptCount val="35"/>
                <c:pt idx="0">
                  <c:v>126020.06</c:v>
                </c:pt>
                <c:pt idx="1">
                  <c:v>119570.6</c:v>
                </c:pt>
                <c:pt idx="2">
                  <c:v>100330.06</c:v>
                </c:pt>
                <c:pt idx="3">
                  <c:v>49127.917999999998</c:v>
                </c:pt>
                <c:pt idx="4">
                  <c:v>33478.733</c:v>
                </c:pt>
                <c:pt idx="5">
                  <c:v>89025.31</c:v>
                </c:pt>
                <c:pt idx="6">
                  <c:v>130685.34</c:v>
                </c:pt>
                <c:pt idx="7">
                  <c:v>85357.850999999995</c:v>
                </c:pt>
                <c:pt idx="8">
                  <c:v>114059.13</c:v>
                </c:pt>
                <c:pt idx="9">
                  <c:v>93859.485000000001</c:v>
                </c:pt>
                <c:pt idx="10">
                  <c:v>121061.54000000001</c:v>
                </c:pt>
                <c:pt idx="11">
                  <c:v>65213.595000000001</c:v>
                </c:pt>
                <c:pt idx="12">
                  <c:v>62222.62</c:v>
                </c:pt>
                <c:pt idx="13">
                  <c:v>149636.85999999999</c:v>
                </c:pt>
                <c:pt idx="14">
                  <c:v>84022.008000000002</c:v>
                </c:pt>
                <c:pt idx="15">
                  <c:v>84717.3</c:v>
                </c:pt>
                <c:pt idx="16">
                  <c:v>89520.960000000006</c:v>
                </c:pt>
                <c:pt idx="17">
                  <c:v>125694.72</c:v>
                </c:pt>
                <c:pt idx="18">
                  <c:v>69012.514999999999</c:v>
                </c:pt>
                <c:pt idx="19">
                  <c:v>63775.624000000003</c:v>
                </c:pt>
                <c:pt idx="20">
                  <c:v>208642.71000000002</c:v>
                </c:pt>
                <c:pt idx="21">
                  <c:v>25496.637000000002</c:v>
                </c:pt>
                <c:pt idx="22">
                  <c:v>104212.53</c:v>
                </c:pt>
                <c:pt idx="23">
                  <c:v>71972.154999999999</c:v>
                </c:pt>
                <c:pt idx="24">
                  <c:v>153335.4</c:v>
                </c:pt>
                <c:pt idx="25">
                  <c:v>93790.832254901907</c:v>
                </c:pt>
                <c:pt idx="26">
                  <c:v>71218.724000000002</c:v>
                </c:pt>
                <c:pt idx="27">
                  <c:v>87992.141999999993</c:v>
                </c:pt>
                <c:pt idx="28">
                  <c:v>67296.639999999999</c:v>
                </c:pt>
                <c:pt idx="29">
                  <c:v>93483.347999999998</c:v>
                </c:pt>
                <c:pt idx="30">
                  <c:v>81760.043999999994</c:v>
                </c:pt>
                <c:pt idx="31">
                  <c:v>118875.23999999999</c:v>
                </c:pt>
                <c:pt idx="32">
                  <c:v>34920.923999999999</c:v>
                </c:pt>
                <c:pt idx="33">
                  <c:v>96669.299999999988</c:v>
                </c:pt>
                <c:pt idx="34">
                  <c:v>127072.44</c:v>
                </c:pt>
              </c:numCache>
            </c:numRef>
          </c:xVal>
          <c:yVal>
            <c:numRef>
              <c:f>('g11-9'!$C$25:$C$27,'g11-9'!$C$28:$C$39,'g11-9'!$C$40:$C$59)</c:f>
              <c:numCache>
                <c:formatCode>General</c:formatCode>
                <c:ptCount val="35"/>
                <c:pt idx="0">
                  <c:v>491</c:v>
                </c:pt>
                <c:pt idx="1">
                  <c:v>499</c:v>
                </c:pt>
                <c:pt idx="2">
                  <c:v>508</c:v>
                </c:pt>
                <c:pt idx="3">
                  <c:v>417</c:v>
                </c:pt>
                <c:pt idx="4">
                  <c:v>391</c:v>
                </c:pt>
                <c:pt idx="5">
                  <c:v>499</c:v>
                </c:pt>
                <c:pt idx="6">
                  <c:v>509</c:v>
                </c:pt>
                <c:pt idx="7">
                  <c:v>523</c:v>
                </c:pt>
                <c:pt idx="8">
                  <c:v>507</c:v>
                </c:pt>
                <c:pt idx="9">
                  <c:v>495</c:v>
                </c:pt>
                <c:pt idx="10">
                  <c:v>500</c:v>
                </c:pt>
                <c:pt idx="11">
                  <c:v>451</c:v>
                </c:pt>
                <c:pt idx="12">
                  <c:v>481</c:v>
                </c:pt>
                <c:pt idx="13">
                  <c:v>495</c:v>
                </c:pt>
                <c:pt idx="14">
                  <c:v>500</c:v>
                </c:pt>
                <c:pt idx="15">
                  <c:v>487</c:v>
                </c:pt>
                <c:pt idx="16">
                  <c:v>527</c:v>
                </c:pt>
                <c:pt idx="17">
                  <c:v>526</c:v>
                </c:pt>
                <c:pt idx="18">
                  <c:v>496</c:v>
                </c:pt>
                <c:pt idx="19">
                  <c:v>481</c:v>
                </c:pt>
                <c:pt idx="20">
                  <c:v>483</c:v>
                </c:pt>
                <c:pt idx="21">
                  <c:v>409</c:v>
                </c:pt>
                <c:pt idx="22">
                  <c:v>519</c:v>
                </c:pt>
                <c:pt idx="23">
                  <c:v>494</c:v>
                </c:pt>
                <c:pt idx="24">
                  <c:v>501</c:v>
                </c:pt>
                <c:pt idx="25" formatCode="0">
                  <c:v>488.80555555555554</c:v>
                </c:pt>
                <c:pt idx="26">
                  <c:v>516</c:v>
                </c:pt>
                <c:pt idx="27">
                  <c:v>492</c:v>
                </c:pt>
                <c:pt idx="28">
                  <c:v>486</c:v>
                </c:pt>
                <c:pt idx="29">
                  <c:v>509</c:v>
                </c:pt>
                <c:pt idx="30">
                  <c:v>481</c:v>
                </c:pt>
                <c:pt idx="31">
                  <c:v>502</c:v>
                </c:pt>
                <c:pt idx="32">
                  <c:v>454</c:v>
                </c:pt>
                <c:pt idx="33">
                  <c:v>515</c:v>
                </c:pt>
                <c:pt idx="34">
                  <c:v>478</c:v>
                </c:pt>
              </c:numCache>
            </c:numRef>
          </c:yVal>
          <c:smooth val="0"/>
          <c:extLst>
            <c:ext xmlns:c15="http://schemas.microsoft.com/office/drawing/2012/chart" uri="{02D57815-91ED-43cb-92C2-25804820EDAC}">
              <c15:datalabelsRange>
                <c15:f>('g11-9'!$A$25:$A$27,'g11-9'!$A$28:$A$39,'g11-9'!$A$40:$A$59)</c15:f>
                <c15:dlblRangeCache>
                  <c:ptCount val="35"/>
                  <c:pt idx="0">
                    <c:v>AUS </c:v>
                  </c:pt>
                  <c:pt idx="1">
                    <c:v>AUT</c:v>
                  </c:pt>
                  <c:pt idx="2">
                    <c:v>BEL</c:v>
                  </c:pt>
                  <c:pt idx="3">
                    <c:v>CHL</c:v>
                  </c:pt>
                  <c:pt idx="4">
                    <c:v>COL</c:v>
                  </c:pt>
                  <c:pt idx="5">
                    <c:v>CZE</c:v>
                  </c:pt>
                  <c:pt idx="6">
                    <c:v>DNK</c:v>
                  </c:pt>
                  <c:pt idx="7">
                    <c:v>EST</c:v>
                  </c:pt>
                  <c:pt idx="8">
                    <c:v>FIN</c:v>
                  </c:pt>
                  <c:pt idx="9">
                    <c:v>FRA</c:v>
                  </c:pt>
                  <c:pt idx="10">
                    <c:v>GER</c:v>
                  </c:pt>
                  <c:pt idx="11">
                    <c:v>GRC</c:v>
                  </c:pt>
                  <c:pt idx="12">
                    <c:v>HUN</c:v>
                  </c:pt>
                  <c:pt idx="13">
                    <c:v>ISL</c:v>
                  </c:pt>
                  <c:pt idx="14">
                    <c:v>IRL</c:v>
                  </c:pt>
                  <c:pt idx="15">
                    <c:v>ITA</c:v>
                  </c:pt>
                  <c:pt idx="16">
                    <c:v>JPN</c:v>
                  </c:pt>
                  <c:pt idx="17">
                    <c:v>KOR</c:v>
                  </c:pt>
                  <c:pt idx="18">
                    <c:v>LVA</c:v>
                  </c:pt>
                  <c:pt idx="19">
                    <c:v>LTU</c:v>
                  </c:pt>
                  <c:pt idx="20">
                    <c:v>LUX</c:v>
                  </c:pt>
                  <c:pt idx="21">
                    <c:v>MEX</c:v>
                  </c:pt>
                  <c:pt idx="22">
                    <c:v>NLD</c:v>
                  </c:pt>
                  <c:pt idx="23">
                    <c:v>NZL</c:v>
                  </c:pt>
                  <c:pt idx="24">
                    <c:v>NOR</c:v>
                  </c:pt>
                  <c:pt idx="25">
                    <c:v>OECD</c:v>
                  </c:pt>
                  <c:pt idx="26">
                    <c:v>POL</c:v>
                  </c:pt>
                  <c:pt idx="27">
                    <c:v>PRT</c:v>
                  </c:pt>
                  <c:pt idx="28">
                    <c:v>SVK</c:v>
                  </c:pt>
                  <c:pt idx="29">
                    <c:v>SVN</c:v>
                  </c:pt>
                  <c:pt idx="30">
                    <c:v>ESP</c:v>
                  </c:pt>
                  <c:pt idx="31">
                    <c:v>SWE</c:v>
                  </c:pt>
                  <c:pt idx="32">
                    <c:v>TUR</c:v>
                  </c:pt>
                  <c:pt idx="33">
                    <c:v>GBR</c:v>
                  </c:pt>
                  <c:pt idx="34">
                    <c:v>USA</c:v>
                  </c:pt>
                </c15:dlblRangeCache>
              </c15:datalabelsRange>
            </c:ext>
            <c:ext xmlns:c16="http://schemas.microsoft.com/office/drawing/2014/chart" uri="{C3380CC4-5D6E-409C-BE32-E72D297353CC}">
              <c16:uniqueId val="{00000024-0B65-45BD-BBD3-F6ABC2EC2FFA}"/>
            </c:ext>
          </c:extLst>
        </c:ser>
        <c:dLbls>
          <c:showLegendKey val="0"/>
          <c:showVal val="0"/>
          <c:showCatName val="0"/>
          <c:showSerName val="0"/>
          <c:showPercent val="0"/>
          <c:showBubbleSize val="0"/>
        </c:dLbls>
        <c:axId val="1975064831"/>
        <c:axId val="1975065247"/>
      </c:scatterChart>
      <c:valAx>
        <c:axId val="1975064831"/>
        <c:scaling>
          <c:orientation val="minMax"/>
        </c:scaling>
        <c:delete val="0"/>
        <c:axPos val="b"/>
        <c:majorGridlines>
          <c:spPr>
            <a:ln w="6350" cap="flat" cmpd="sng" algn="ctr">
              <a:noFill/>
              <a:prstDash val="dash"/>
              <a:round/>
            </a:ln>
            <a:effectLst/>
          </c:spPr>
        </c:majorGridlines>
        <c:title>
          <c:tx>
            <c:rich>
              <a:bodyPr rot="0" spcFirstLastPara="1" vertOverflow="ellipsis" vert="horz" wrap="square" anchor="ctr" anchorCtr="1"/>
              <a:lstStyle/>
              <a:p>
                <a:pPr>
                  <a:defRPr sz="750" b="0" i="0" u="none" strike="noStrike" kern="1200" baseline="0">
                    <a:solidFill>
                      <a:srgbClr val="000000"/>
                    </a:solidFill>
                    <a:latin typeface="Arial Narrow" panose="020B0606020202030204" pitchFamily="34" charset="0"/>
                    <a:ea typeface="+mn-ea"/>
                    <a:cs typeface="+mn-cs"/>
                  </a:defRPr>
                </a:pPr>
                <a:r>
                  <a:rPr lang="cs-CZ" sz="700" b="0" i="0" u="none" strike="noStrike" baseline="0">
                    <a:solidFill>
                      <a:srgbClr val="000000"/>
                    </a:solidFill>
                    <a:effectLst/>
                    <a:latin typeface="+mn-lt"/>
                  </a:rPr>
                  <a:t>Kumulativní výdaje na studenta</a:t>
                </a:r>
                <a:r>
                  <a:rPr lang="en-GB" sz="700" b="0" i="0" u="none" strike="noStrike" baseline="0">
                    <a:solidFill>
                      <a:srgbClr val="000000"/>
                    </a:solidFill>
                    <a:effectLst/>
                    <a:latin typeface="+mn-lt"/>
                  </a:rPr>
                  <a:t> (</a:t>
                </a:r>
                <a:r>
                  <a:rPr lang="cs-CZ" sz="700" b="0" i="0" u="none" strike="noStrike" baseline="0">
                    <a:solidFill>
                      <a:srgbClr val="000000"/>
                    </a:solidFill>
                    <a:effectLst/>
                    <a:latin typeface="+mn-lt"/>
                  </a:rPr>
                  <a:t>současná parita kupní síly</a:t>
                </a:r>
                <a:r>
                  <a:rPr lang="cs-CZ" sz="700" b="0" i="0" u="none" strike="noStrike" baseline="0">
                    <a:solidFill>
                      <a:srgbClr val="000000"/>
                    </a:solidFill>
                    <a:effectLst/>
                    <a:latin typeface="Arial Narrow" panose="020B0606020202030204" pitchFamily="34" charset="0"/>
                  </a:rPr>
                  <a:t>)</a:t>
                </a:r>
                <a:br>
                  <a:rPr lang="en-GB" sz="700" b="0" i="0" u="none" strike="noStrike" baseline="0">
                    <a:solidFill>
                      <a:srgbClr val="000000"/>
                    </a:solidFill>
                    <a:effectLst/>
                    <a:latin typeface="Arial Narrow" panose="020B0606020202030204" pitchFamily="34" charset="0"/>
                  </a:rPr>
                </a:br>
                <a:endParaRPr lang="en-GB" sz="700" b="0" i="0">
                  <a:solidFill>
                    <a:srgbClr val="000000"/>
                  </a:solidFill>
                  <a:latin typeface="Arial Narrow" panose="020B0606020202030204" pitchFamily="34" charset="0"/>
                </a:endParaRPr>
              </a:p>
            </c:rich>
          </c:tx>
          <c:layout>
            <c:manualLayout>
              <c:xMode val="edge"/>
              <c:yMode val="edge"/>
              <c:x val="0.21978590208247881"/>
              <c:y val="0.89841722316356021"/>
            </c:manualLayout>
          </c:layout>
          <c:overlay val="0"/>
          <c:spPr>
            <a:noFill/>
            <a:ln>
              <a:noFill/>
            </a:ln>
            <a:effectLst/>
          </c:spPr>
          <c:txPr>
            <a:bodyPr rot="0" spcFirstLastPara="1" vertOverflow="ellipsis" vert="horz" wrap="square" anchor="ctr" anchorCtr="1"/>
            <a:lstStyle/>
            <a:p>
              <a:pPr>
                <a:defRPr sz="750" b="0" i="0" u="none" strike="noStrike" kern="1200" baseline="0">
                  <a:solidFill>
                    <a:srgbClr val="000000"/>
                  </a:solidFill>
                  <a:latin typeface="Arial Narrow" panose="020B0606020202030204" pitchFamily="34" charset="0"/>
                  <a:ea typeface="+mn-ea"/>
                  <a:cs typeface="+mn-cs"/>
                </a:defRPr>
              </a:pPr>
              <a:endParaRPr lang="cs-CZ"/>
            </a:p>
          </c:txPr>
        </c:title>
        <c:numFmt formatCode="General" sourceLinked="1"/>
        <c:majorTickMark val="in"/>
        <c:minorTickMark val="none"/>
        <c:tickLblPos val="low"/>
        <c:spPr>
          <a:noFill/>
          <a:ln w="9525" cap="flat" cmpd="sng" algn="ctr">
            <a:solidFill>
              <a:srgbClr val="000000"/>
            </a:solidFill>
            <a:prstDash val="solid"/>
            <a:round/>
          </a:ln>
          <a:effectLst/>
          <a:extLst>
            <a:ext uri="{909E8E84-426E-40DD-AFC4-6F175D3DCCD1}">
              <a14:hiddenFill xmlns:a14="http://schemas.microsoft.com/office/drawing/2010/main">
                <a:noFill/>
              </a14:hiddenFill>
            </a:ext>
          </a:extLst>
        </c:spPr>
        <c:txPr>
          <a:bodyPr rot="-60000000" spcFirstLastPara="1" vertOverflow="ellipsis" vert="horz" wrap="square" anchor="ctr" anchorCtr="1"/>
          <a:lstStyle/>
          <a:p>
            <a:pPr>
              <a:defRPr sz="700" b="0" i="0" u="none" strike="noStrike" kern="1200" baseline="0">
                <a:solidFill>
                  <a:srgbClr val="000000"/>
                </a:solidFill>
                <a:latin typeface="+mn-lt"/>
                <a:ea typeface="Arial Narrow"/>
                <a:cs typeface="Arial Narrow"/>
              </a:defRPr>
            </a:pPr>
            <a:endParaRPr lang="cs-CZ"/>
          </a:p>
        </c:txPr>
        <c:crossAx val="1975065247"/>
        <c:crosses val="autoZero"/>
        <c:crossBetween val="midCat"/>
      </c:valAx>
      <c:valAx>
        <c:axId val="1975065247"/>
        <c:scaling>
          <c:orientation val="minMax"/>
          <c:min val="370"/>
        </c:scaling>
        <c:delete val="0"/>
        <c:axPos val="l"/>
        <c:majorGridlines>
          <c:spPr>
            <a:ln w="6350" cap="flat" cmpd="sng" algn="ctr">
              <a:solidFill>
                <a:schemeClr val="tx1"/>
              </a:solidFill>
              <a:prstDash val="dash"/>
              <a:round/>
            </a:ln>
            <a:effectLst/>
          </c:spPr>
        </c:majorGridlines>
        <c:title>
          <c:tx>
            <c:rich>
              <a:bodyPr rot="0" spcFirstLastPara="1" vertOverflow="ellipsis" wrap="square" anchor="t" anchorCtr="0"/>
              <a:lstStyle/>
              <a:p>
                <a:pPr>
                  <a:defRPr sz="750" b="0" i="0" u="none" strike="noStrike" kern="1200" baseline="0">
                    <a:solidFill>
                      <a:srgbClr val="000000"/>
                    </a:solidFill>
                    <a:latin typeface="Arial Narrow" panose="020B0606020202030204" pitchFamily="34" charset="0"/>
                    <a:ea typeface="+mn-ea"/>
                    <a:cs typeface="+mn-cs"/>
                  </a:defRPr>
                </a:pPr>
                <a:r>
                  <a:rPr lang="en-GB" sz="700" b="0" i="0">
                    <a:solidFill>
                      <a:srgbClr val="000000"/>
                    </a:solidFill>
                    <a:latin typeface="+mn-lt"/>
                  </a:rPr>
                  <a:t>PISA</a:t>
                </a:r>
                <a:r>
                  <a:rPr lang="en-GB" sz="700" b="0" i="0" baseline="0">
                    <a:solidFill>
                      <a:srgbClr val="000000"/>
                    </a:solidFill>
                    <a:latin typeface="+mn-lt"/>
                  </a:rPr>
                  <a:t> mat</a:t>
                </a:r>
                <a:r>
                  <a:rPr lang="cs-CZ" sz="700" b="0" i="0" baseline="0">
                    <a:solidFill>
                      <a:srgbClr val="000000"/>
                    </a:solidFill>
                    <a:latin typeface="+mn-lt"/>
                  </a:rPr>
                  <a:t>ematika</a:t>
                </a:r>
                <a:endParaRPr lang="en-GB" sz="700" b="0" i="0">
                  <a:solidFill>
                    <a:srgbClr val="000000"/>
                  </a:solidFill>
                  <a:latin typeface="+mn-lt"/>
                </a:endParaRPr>
              </a:p>
            </c:rich>
          </c:tx>
          <c:layout>
            <c:manualLayout>
              <c:xMode val="edge"/>
              <c:yMode val="edge"/>
              <c:x val="7.6444185937048215E-2"/>
              <c:y val="1.72949267417522E-3"/>
            </c:manualLayout>
          </c:layout>
          <c:overlay val="0"/>
          <c:spPr>
            <a:noFill/>
            <a:ln>
              <a:noFill/>
            </a:ln>
            <a:effectLst/>
          </c:spPr>
          <c:txPr>
            <a:bodyPr rot="0" spcFirstLastPara="1" vertOverflow="ellipsis" wrap="square" anchor="t" anchorCtr="0"/>
            <a:lstStyle/>
            <a:p>
              <a:pPr>
                <a:defRPr sz="750" b="0" i="0" u="none" strike="noStrike" kern="1200" baseline="0">
                  <a:solidFill>
                    <a:srgbClr val="000000"/>
                  </a:solidFill>
                  <a:latin typeface="Arial Narrow" panose="020B0606020202030204" pitchFamily="34" charset="0"/>
                  <a:ea typeface="+mn-ea"/>
                  <a:cs typeface="+mn-cs"/>
                </a:defRPr>
              </a:pPr>
              <a:endParaRPr lang="cs-CZ"/>
            </a:p>
          </c:txPr>
        </c:title>
        <c:numFmt formatCode="General" sourceLinked="1"/>
        <c:majorTickMark val="in"/>
        <c:minorTickMark val="none"/>
        <c:tickLblPos val="nextTo"/>
        <c:spPr>
          <a:noFill/>
          <a:ln w="9525" cap="flat" cmpd="sng" algn="ctr">
            <a:solidFill>
              <a:srgbClr val="000000"/>
            </a:solidFill>
            <a:prstDash val="solid"/>
            <a:round/>
          </a:ln>
          <a:effectLst/>
          <a:extLst>
            <a:ext uri="{909E8E84-426E-40DD-AFC4-6F175D3DCCD1}">
              <a14:hiddenFill xmlns:a14="http://schemas.microsoft.com/office/drawing/2010/main">
                <a:noFill/>
              </a14:hiddenFill>
            </a:ext>
          </a:extLst>
        </c:spPr>
        <c:txPr>
          <a:bodyPr rot="-60000000" spcFirstLastPara="1" vertOverflow="ellipsis" vert="horz" wrap="square" anchor="ctr" anchorCtr="1"/>
          <a:lstStyle/>
          <a:p>
            <a:pPr>
              <a:defRPr sz="700" b="0" i="0" u="none" strike="noStrike" kern="1200" baseline="0">
                <a:solidFill>
                  <a:srgbClr val="000000"/>
                </a:solidFill>
                <a:latin typeface="+mn-lt"/>
                <a:ea typeface="Arial Narrow"/>
                <a:cs typeface="Arial Narrow"/>
              </a:defRPr>
            </a:pPr>
            <a:endParaRPr lang="cs-CZ"/>
          </a:p>
        </c:txPr>
        <c:crossAx val="1975064831"/>
        <c:crosses val="autoZero"/>
        <c:crossBetween val="midCat"/>
      </c:valAx>
      <c:spPr>
        <a:noFill/>
        <a:ln w="25400">
          <a:noFill/>
        </a:ln>
        <a:effectLst/>
      </c:spPr>
    </c:plotArea>
    <c:plotVisOnly val="1"/>
    <c:dispBlanksAs val="gap"/>
    <c:showDLblsOverMax val="0"/>
  </c:chart>
  <c:spPr>
    <a:noFill/>
    <a:ln w="9525" cap="flat" cmpd="sng" algn="ctr">
      <a:noFill/>
      <a:round/>
    </a:ln>
    <a:effectLst/>
    <a:extLst>
      <a:ext uri="{909E8E84-426E-40DD-AFC4-6F175D3DCCD1}">
        <a14:hiddenFill xmlns:a14="http://schemas.microsoft.com/office/drawing/2010/main">
          <a:solidFill>
            <a:sysClr val="window" lastClr="FFFFFF"/>
          </a:solidFill>
        </a14:hiddenFill>
      </a:ext>
      <a:ext uri="{91240B29-F687-4F45-9708-019B960494DF}">
        <a14:hiddenLine xmlns:a14="http://schemas.microsoft.com/office/drawing/2010/main" w="9525" cap="flat" cmpd="sng" algn="ctr">
          <a:solidFill>
            <a:sysClr val="windowText" lastClr="000000">
              <a:lumMod val="15000"/>
              <a:lumOff val="85000"/>
            </a:sysClr>
          </a:solidFill>
          <a:round/>
        </a14:hiddenLine>
      </a:ext>
    </a:extLst>
  </c:spPr>
  <c:txPr>
    <a:bodyPr/>
    <a:lstStyle/>
    <a:p>
      <a:pPr>
        <a:defRPr/>
      </a:pPr>
      <a:endParaRPr lang="cs-CZ"/>
    </a:p>
  </c:txPr>
  <c:externalData r:id="rId3">
    <c:autoUpdate val="0"/>
  </c:externalData>
</c:chartSpace>
</file>

<file path=word/charts/chartEx1.xml><?xml version="1.0" encoding="utf-8"?>
<cx:chartSpace xmlns:a="http://schemas.openxmlformats.org/drawingml/2006/main" xmlns:r="http://schemas.openxmlformats.org/officeDocument/2006/relationships" xmlns:cx="http://schemas.microsoft.com/office/drawing/2014/chartex">
  <cx:chartData>
    <cx:externalData r:id="rId1" cx:autoUpdate="0"/>
    <cx:data id="0">
      <cx:strDim type="cat">
        <cx:f>List3!$A$4:$A$45</cx:f>
        <cx:nf>List3!$A$3</cx:nf>
        <cx:lvl ptCount="42" name="TIME">
          <cx:pt idx="0">Türkiye</cx:pt>
          <cx:pt idx="1">Romania</cx:pt>
          <cx:pt idx="2">Montenegro</cx:pt>
          <cx:pt idx="3">Serbia</cx:pt>
          <cx:pt idx="4">Belgium</cx:pt>
          <cx:pt idx="5">Croatia</cx:pt>
          <cx:pt idx="6">Iceland</cx:pt>
          <cx:pt idx="7">North Macedonia</cx:pt>
          <cx:pt idx="8">Hungary</cx:pt>
          <cx:pt idx="9">Spain</cx:pt>
          <cx:pt idx="10">Austria</cx:pt>
          <cx:pt idx="11">Norway</cx:pt>
          <cx:pt idx="12">Greece</cx:pt>
          <cx:pt idx="13">Czechia</cx:pt>
          <cx:pt idx="14">Estonia</cx:pt>
          <cx:pt idx="15">Luxembourg</cx:pt>
          <cx:pt idx="16">Poland</cx:pt>
          <cx:pt idx="17">Slovenia</cx:pt>
          <cx:pt idx="18">Netherlands</cx:pt>
          <cx:pt idx="19">Bulgaria</cx:pt>
          <cx:pt idx="20">Germany</cx:pt>
          <cx:pt idx="21">France</cx:pt>
          <cx:pt idx="22">Malta</cx:pt>
          <cx:pt idx="23">Slovakia</cx:pt>
          <cx:pt idx="24">Sweden</cx:pt>
          <cx:pt idx="25">Portugal</cx:pt>
          <cx:pt idx="26">Albania</cx:pt>
          <cx:pt idx="27">Cyprus</cx:pt>
          <cx:pt idx="28">Ireland</cx:pt>
          <cx:pt idx="29">Switzerland</cx:pt>
          <cx:pt idx="30">Latvia</cx:pt>
          <cx:pt idx="31">Italy</cx:pt>
          <cx:pt idx="32">Finland</cx:pt>
          <cx:pt idx="33">Denmark</cx:pt>
          <cx:pt idx="34">Lithuania</cx:pt>
          <cx:pt idx="35">United Kingdom</cx:pt>
          <cx:pt idx="36">Kosovo</cx:pt>
          <cx:pt idx="37">Ukraine</cx:pt>
          <cx:pt idx="38">Moldova</cx:pt>
          <cx:pt idx="39">Belarus</cx:pt>
          <cx:pt idx="40">Liechtenstein</cx:pt>
          <cx:pt idx="41">Bosnia and Herzegovina</cx:pt>
        </cx:lvl>
      </cx:strDim>
      <cx:numDim type="colorVal">
        <cx:f>List3!$B$4:$B$45</cx:f>
        <cx:nf>List3!$B$3</cx:nf>
        <cx:lvl ptCount="42" formatCode="# ##0,00" name="EUR/KWh">
          <cx:pt idx="0">0.087599999999999997</cx:pt>
          <cx:pt idx="1">0.15260000000000001</cx:pt>
          <cx:pt idx="3">0.12</cx:pt>
          <cx:pt idx="4">0.1542</cx:pt>
          <cx:pt idx="5">0.21049999999999999</cx:pt>
          <cx:pt idx="7">0.12889999999999999</cx:pt>
          <cx:pt idx="8">0.23069999999999999</cx:pt>
          <cx:pt idx="9">0.1434</cx:pt>
          <cx:pt idx="10">0.21629999999999999</cx:pt>
          <cx:pt idx="11">0.055899999999999998</cx:pt>
          <cx:pt idx="12">0.14560000000000001</cx:pt>
          <cx:pt idx="13">0.19170000000000001</cx:pt>
          <cx:pt idx="14">0.1429</cx:pt>
          <cx:pt idx="15">0.18479999999999999</cx:pt>
          <cx:pt idx="16">0.14829999999999999</cx:pt>
          <cx:pt idx="17">0.19170000000000001</cx:pt>
          <cx:pt idx="18">0.21279999999999999</cx:pt>
          <cx:pt idx="19">0.12959999999999999</cx:pt>
          <cx:pt idx="20">0.1784</cx:pt>
          <cx:pt idx="21">0.19389999999999999</cx:pt>
          <cx:pt idx="23">0.21079999999999999</cx:pt>
          <cx:pt idx="24">0.083299999999999999</cx:pt>
          <cx:pt idx="25">0.1394</cx:pt>
          <cx:pt idx="26">0.12230000000000001</cx:pt>
          <cx:pt idx="27">0.19950000000000001</cx:pt>
          <cx:pt idx="28">0.24859999999999999</cx:pt>
          <cx:pt idx="29">0.19869999999999999</cx:pt>
          <cx:pt idx="31">0.191</cx:pt>
          <cx:pt idx="32">0.085300000000000001</cx:pt>
          <cx:pt idx="33">0.1207</cx:pt>
          <cx:pt idx="41">0.095399999999999999</cx:pt>
        </cx:lvl>
      </cx:numDim>
    </cx:data>
  </cx:chartData>
  <cx:chart>
    <cx:plotArea>
      <cx:plotAreaRegion>
        <cx:series layoutId="regionMap" uniqueId="{0777E575-F08D-4715-B4D0-09AA3131B4F7}">
          <cx:tx>
            <cx:txData>
              <cx:f>List3!$B$3</cx:f>
              <cx:v>EUR/KWh</cx:v>
            </cx:txData>
          </cx:tx>
          <cx:dataPt idx="0">
            <cx:spPr>
              <a:solidFill>
                <a:sysClr val="window" lastClr="FFFFFF">
                  <a:lumMod val="85000"/>
                </a:sysClr>
              </a:solidFill>
            </cx:spPr>
          </cx:dataPt>
          <cx:dataPt idx="35">
            <cx:spPr>
              <a:solidFill>
                <a:sysClr val="window" lastClr="FFFFFF">
                  <a:lumMod val="85000"/>
                </a:sysClr>
              </a:solidFill>
            </cx:spPr>
          </cx:dataPt>
          <cx:dataPt idx="36">
            <cx:spPr>
              <a:solidFill>
                <a:sysClr val="window" lastClr="FFFFFF">
                  <a:lumMod val="85000"/>
                </a:sysClr>
              </a:solidFill>
            </cx:spPr>
          </cx:dataPt>
          <cx:dataPt idx="37">
            <cx:spPr>
              <a:solidFill>
                <a:sysClr val="window" lastClr="FFFFFF">
                  <a:lumMod val="85000"/>
                </a:sysClr>
              </a:solidFill>
            </cx:spPr>
          </cx:dataPt>
          <cx:dataPt idx="38">
            <cx:spPr>
              <a:solidFill>
                <a:sysClr val="window" lastClr="FFFFFF">
                  <a:lumMod val="85000"/>
                </a:sysClr>
              </a:solidFill>
            </cx:spPr>
          </cx:dataPt>
          <cx:dataPt idx="39">
            <cx:spPr>
              <a:solidFill>
                <a:sysClr val="window" lastClr="FFFFFF">
                  <a:lumMod val="85000"/>
                </a:sysClr>
              </a:solidFill>
            </cx:spPr>
          </cx:dataPt>
          <cx:dataPt idx="40">
            <cx:spPr>
              <a:solidFill>
                <a:sysClr val="window" lastClr="FFFFFF">
                  <a:lumMod val="85000"/>
                </a:sysClr>
              </a:solidFill>
            </cx:spPr>
          </cx:dataPt>
          <cx:dataPt idx="41">
            <cx:spPr>
              <a:solidFill>
                <a:sysClr val="window" lastClr="FFFFFF">
                  <a:lumMod val="85000"/>
                </a:sysClr>
              </a:solidFill>
            </cx:spPr>
          </cx:dataPt>
          <cx:dataId val="0"/>
          <cx:layoutPr>
            <cx:geography projectionType="miller" viewedRegionType="dataOnly" cultureLanguage="cs-CZ" cultureRegion="CZ" attribution="Používá technologii Bing.">
              <cx:geoCache provider="{E9337A44-BEBE-4D9F-B70C-5C5E7DAFC167}">
                <cx:binary>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</cx:binary>
              </cx:geoCache>
            </cx:geography>
          </cx:layoutPr>
          <cx:valueColors>
            <cx:minColor>
              <a:schemeClr val="accent2"/>
            </cx:minColor>
            <cx:midColor>
              <a:schemeClr val="bg1"/>
            </cx:midColor>
            <cx:maxColor>
              <a:schemeClr val="accent1"/>
            </cx:maxColor>
          </cx:valueColors>
          <cx:valueColorPositions count="3"/>
        </cx:series>
      </cx:plotAreaRegion>
    </cx:plotArea>
    <cx:legend pos="l" align="ctr" overlay="1"/>
  </cx:chart>
  <cx:spPr>
    <a:ln>
      <a:noFill/>
    </a:ln>
  </cx:spPr>
</cx: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2.xml><?xml version="1.0" encoding="utf-8"?>
<cs:colorStyle xmlns:cs="http://schemas.microsoft.com/office/drawing/2012/chartStyle" xmlns:a="http://schemas.openxmlformats.org/drawingml/2006/main" meth="withinLinearReversed" id="24">
  <a:schemeClr val="accent4"/>
</cs:colorStyle>
</file>

<file path=word/charts/colors3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366">
  <cs:axisTitle>
    <cs:lnRef idx="0"/>
    <cs:fillRef idx="0"/>
    <cs:effectRef idx="0"/>
    <cs:fontRef idx="minor">
      <a:schemeClr val="tx1">
        <a:lumMod val="65000"/>
        <a:lumOff val="35000"/>
      </a:schemeClr>
    </cs:fontRef>
    <cs:defRPr sz="9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cs:chartArea>
  <cs:dataLabel>
    <cs:lnRef idx="0"/>
    <cs:fillRef idx="0"/>
    <cs:effectRef idx="0"/>
    <cs:fontRef idx="minor">
      <a:schemeClr val="tx1">
        <a:lumMod val="65000"/>
        <a:lumOff val="35000"/>
      </a:schemeClr>
    </cs:fontRef>
    <cs:defRPr sz="9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solidFill>
        <a:schemeClr val="phClr"/>
      </a:solidFill>
    </cs:spPr>
  </cs:dataPoint>
  <cs:dataPoint3D>
    <cs:lnRef idx="0"/>
    <cs:fillRef idx="0">
      <cs:styleClr val="auto"/>
    </cs:fillRef>
    <cs:effectRef idx="0"/>
    <cs:fontRef idx="minor">
      <a:schemeClr val="tx1"/>
    </cs:fontRef>
    <cs:spPr>
      <a:solidFill>
        <a:schemeClr val="phClr"/>
      </a:solidFill>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fillRef idx="0">
      <cs:styleClr val="auto"/>
    </cs:fillRef>
    <cs:effectRef idx="0"/>
    <cs:fontRef idx="minor">
      <a:schemeClr val="tx1"/>
    </cs:fontRef>
    <cs:spPr>
      <a:solidFill>
        <a:schemeClr val="phClr"/>
      </a:solidFill>
      <a:ln w="9525">
        <a:solidFill>
          <a:schemeClr val="lt1"/>
        </a:solidFill>
      </a:ln>
    </cs:spPr>
  </cs:dataPointMarker>
  <cs:dataPointMarkerLayout symbol="circle" size="5"/>
  <cs:dataPointWireframe>
    <cs:lnRef idx="0">
      <cs:styleClr val="auto"/>
    </cs:lnRef>
    <cs:fillRef idx="0"/>
    <cs:effectRef idx="0"/>
    <cs:fontRef idx="minor">
      <a:schemeClr val="tx1"/>
    </cs:fontRef>
    <cs:spPr>
      <a:ln w="2857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15000"/>
            <a:lumOff val="8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cs:seriesAxis>
  <cs:seriesLine>
    <cs:lnRef idx="0"/>
    <cs:fillRef idx="0"/>
    <cs:effectRef idx="0"/>
    <cs:fontRef idx="minor">
      <a:schemeClr val="tx1"/>
    </cs:fontRef>
    <cs:spPr>
      <a:ln w="9525" cap="flat">
        <a:solidFill>
          <a:srgbClr val="D9D9D9"/>
        </a:solidFill>
        <a:round/>
      </a:ln>
    </cs:spPr>
  </cs:seriesLine>
  <cs:title>
    <cs:lnRef idx="0"/>
    <cs:fillRef idx="0"/>
    <cs:effectRef idx="0"/>
    <cs:fontRef idx="minor">
      <a:schemeClr val="tx1">
        <a:lumMod val="65000"/>
        <a:lumOff val="35000"/>
      </a:schemeClr>
    </cs:fontRef>
    <cs:defRPr sz="140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cs:valueAxis>
  <cs:wall>
    <cs:lnRef idx="0"/>
    <cs:fillRef idx="0"/>
    <cs:effectRef idx="0"/>
    <cs:fontRef idx="minor">
      <a:schemeClr val="tx1"/>
    </cs:fontRef>
  </cs:wall>
</cs:chartStyle>
</file>

<file path=word/charts/style12.xml><?xml version="1.0" encoding="utf-8"?>
<cs:chartStyle xmlns:cs="http://schemas.microsoft.com/office/drawing/2012/chartStyle" xmlns:a="http://schemas.openxmlformats.org/drawingml/2006/main" id="366">
  <cs:axisTitle>
    <cs:lnRef idx="0"/>
    <cs:fillRef idx="0"/>
    <cs:effectRef idx="0"/>
    <cs:fontRef idx="minor">
      <a:schemeClr val="tx1">
        <a:lumMod val="65000"/>
        <a:lumOff val="35000"/>
      </a:schemeClr>
    </cs:fontRef>
    <cs:defRPr sz="9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cs:chartArea>
  <cs:dataLabel>
    <cs:lnRef idx="0"/>
    <cs:fillRef idx="0"/>
    <cs:effectRef idx="0"/>
    <cs:fontRef idx="minor">
      <a:schemeClr val="tx1">
        <a:lumMod val="65000"/>
        <a:lumOff val="35000"/>
      </a:schemeClr>
    </cs:fontRef>
    <cs:defRPr sz="9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solidFill>
        <a:schemeClr val="phClr"/>
      </a:solidFill>
    </cs:spPr>
  </cs:dataPoint>
  <cs:dataPoint3D>
    <cs:lnRef idx="0"/>
    <cs:fillRef idx="0">
      <cs:styleClr val="auto"/>
    </cs:fillRef>
    <cs:effectRef idx="0"/>
    <cs:fontRef idx="minor">
      <a:schemeClr val="tx1"/>
    </cs:fontRef>
    <cs:spPr>
      <a:solidFill>
        <a:schemeClr val="phClr"/>
      </a:solidFill>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fillRef idx="0">
      <cs:styleClr val="auto"/>
    </cs:fillRef>
    <cs:effectRef idx="0"/>
    <cs:fontRef idx="minor">
      <a:schemeClr val="tx1"/>
    </cs:fontRef>
    <cs:spPr>
      <a:solidFill>
        <a:schemeClr val="phClr"/>
      </a:solidFill>
      <a:ln w="9525">
        <a:solidFill>
          <a:schemeClr val="lt1"/>
        </a:solidFill>
      </a:ln>
    </cs:spPr>
  </cs:dataPointMarker>
  <cs:dataPointMarkerLayout symbol="circle" size="5"/>
  <cs:dataPointWireframe>
    <cs:lnRef idx="0">
      <cs:styleClr val="auto"/>
    </cs:lnRef>
    <cs:fillRef idx="0"/>
    <cs:effectRef idx="0"/>
    <cs:fontRef idx="minor">
      <a:schemeClr val="tx1"/>
    </cs:fontRef>
    <cs:spPr>
      <a:ln w="2857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15000"/>
            <a:lumOff val="8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cs:seriesAxis>
  <cs:seriesLine>
    <cs:lnRef idx="0"/>
    <cs:fillRef idx="0"/>
    <cs:effectRef idx="0"/>
    <cs:fontRef idx="minor">
      <a:schemeClr val="tx1"/>
    </cs:fontRef>
    <cs:spPr>
      <a:ln w="9525" cap="flat">
        <a:solidFill>
          <a:srgbClr val="D9D9D9"/>
        </a:solidFill>
        <a:round/>
      </a:ln>
    </cs:spPr>
  </cs:seriesLine>
  <cs:title>
    <cs:lnRef idx="0"/>
    <cs:fillRef idx="0"/>
    <cs:effectRef idx="0"/>
    <cs:fontRef idx="minor">
      <a:schemeClr val="tx1">
        <a:lumMod val="65000"/>
        <a:lumOff val="35000"/>
      </a:schemeClr>
    </cs:fontRef>
    <cs:defRPr sz="140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cs:valueAxis>
  <cs:wall>
    <cs:lnRef idx="0"/>
    <cs:fillRef idx="0"/>
    <cs:effectRef idx="0"/>
    <cs:fontRef idx="minor">
      <a:schemeClr val="tx1"/>
    </cs:fontRef>
  </cs:wall>
</cs:chartStyle>
</file>

<file path=word/charts/style1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4.xml><?xml version="1.0" encoding="utf-8"?>
<cs:chartStyle xmlns:cs="http://schemas.microsoft.com/office/drawing/2012/chartStyle" xmlns:a="http://schemas.openxmlformats.org/drawingml/2006/main" id="27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ln w="9525" cap="flat" cmpd="sng" algn="ctr">
        <a:solidFill>
          <a:schemeClr val="tx1">
            <a:lumMod val="15000"/>
            <a:lumOff val="85000"/>
          </a:schemeClr>
        </a:solidFill>
        <a:round/>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5.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6.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7.xml><?xml version="1.0" encoding="utf-8"?>
<cs:chartStyle xmlns:cs="http://schemas.microsoft.com/office/drawing/2012/chartStyle" xmlns:a="http://schemas.openxmlformats.org/drawingml/2006/main" id="494">
  <cs:axisTitle>
    <cs:lnRef idx="0"/>
    <cs:fillRef idx="0"/>
    <cs:effectRef idx="0"/>
    <cs:fontRef idx="minor">
      <a:schemeClr val="tx1">
        <a:lumMod val="65000"/>
        <a:lumOff val="35000"/>
      </a:schemeClr>
    </cs:fontRef>
    <cs:defRPr sz="9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cs:chartArea>
  <cs:dataLabel>
    <cs:lnRef idx="0"/>
    <cs:fillRef idx="0"/>
    <cs:effectRef idx="0"/>
    <cs:fontRef idx="minor">
      <a:schemeClr val="tx1">
        <a:lumMod val="65000"/>
        <a:lumOff val="35000"/>
      </a:schemeClr>
    </cs:fontRef>
    <cs:defRPr sz="85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solidFill>
        <a:schemeClr val="phClr"/>
      </a:solidFill>
      <a:ln w="3175">
        <a:solidFill>
          <a:schemeClr val="bg1"/>
        </a:solidFill>
      </a:ln>
    </cs:spPr>
  </cs:dataPoint>
  <cs:dataPoint3D>
    <cs:lnRef idx="0"/>
    <cs:fillRef idx="0">
      <cs:styleClr val="auto"/>
    </cs:fillRef>
    <cs:effectRef idx="0"/>
    <cs:fontRef idx="minor">
      <a:schemeClr val="tx1"/>
    </cs:fontRef>
    <cs:spPr>
      <a:solidFill>
        <a:schemeClr val="phClr"/>
      </a:solidFill>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fillRef idx="0">
      <cs:styleClr val="auto"/>
    </cs:fillRef>
    <cs:effectRef idx="0"/>
    <cs:fontRef idx="minor">
      <a:schemeClr val="tx1"/>
    </cs:fontRef>
    <cs:spPr>
      <a:solidFill>
        <a:schemeClr val="phClr"/>
      </a:solidFill>
      <a:ln w="9525">
        <a:solidFill>
          <a:schemeClr val="lt1"/>
        </a:solidFill>
      </a:ln>
    </cs:spPr>
  </cs:dataPointMarker>
  <cs:dataPointMarkerLayout symbol="circle" size="5"/>
  <cs:dataPointWireframe>
    <cs:lnRef idx="0">
      <cs:styleClr val="auto"/>
    </cs:lnRef>
    <cs:fillRef idx="0"/>
    <cs:effectRef idx="0"/>
    <cs:fontRef idx="minor">
      <a:schemeClr val="tx1"/>
    </cs:fontRef>
    <cs:spPr>
      <a:ln w="2857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15000"/>
            <a:lumOff val="8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cs:seriesAxis>
  <cs:seriesLine>
    <cs:lnRef idx="0"/>
    <cs:fillRef idx="0"/>
    <cs:effectRef idx="0"/>
    <cs:fontRef idx="minor">
      <a:schemeClr val="tx1"/>
    </cs:fontRef>
    <cs:spPr>
      <a:ln w="9525" cap="flat">
        <a:solidFill>
          <a:srgbClr val="D9D9D9"/>
        </a:solidFill>
        <a:round/>
      </a:ln>
    </cs:spPr>
  </cs:seriesLine>
  <cs:title>
    <cs:lnRef idx="0"/>
    <cs:fillRef idx="0"/>
    <cs:effectRef idx="0"/>
    <cs:fontRef idx="minor">
      <a:schemeClr val="tx1">
        <a:lumMod val="65000"/>
        <a:lumOff val="35000"/>
      </a:schemeClr>
    </cs:fontRef>
    <cs:defRPr sz="140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cs:valueAxis>
  <cs:wall>
    <cs:lnRef idx="0"/>
    <cs:fillRef idx="0"/>
    <cs:effectRef idx="0"/>
    <cs:fontRef idx="minor">
      <a:schemeClr val="tx1"/>
    </cs:fontRef>
  </cs:wall>
</cs:chartStyle>
</file>

<file path=word/charts/style18.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9.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0.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3.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4.xml><?xml version="1.0" encoding="utf-8"?>
<cs:chartStyle xmlns:cs="http://schemas.microsoft.com/office/drawing/2012/chartStyle" xmlns:a="http://schemas.openxmlformats.org/drawingml/2006/main" id="31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5.xml><?xml version="1.0" encoding="utf-8"?>
<cs:chartStyle xmlns:cs="http://schemas.microsoft.com/office/drawing/2012/chartStyle" xmlns:a="http://schemas.openxmlformats.org/drawingml/2006/main" id="31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6.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8.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9.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0.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3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3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0.80789</cdr:x>
      <cdr:y>0.03674</cdr:y>
    </cdr:from>
    <cdr:to>
      <cdr:x>0.99183</cdr:x>
      <cdr:y>0.20159</cdr:y>
    </cdr:to>
    <cdr:sp macro="" textlink="">
      <cdr:nvSpPr>
        <cdr:cNvPr id="2" name="TextovéPole 1">
          <a:extLst xmlns:a="http://schemas.openxmlformats.org/drawingml/2006/main">
            <a:ext uri="{FF2B5EF4-FFF2-40B4-BE49-F238E27FC236}">
              <a16:creationId xmlns:a16="http://schemas.microsoft.com/office/drawing/2014/main" id="{6D7E2A06-00B3-476C-A4B5-488756AB3B6B}"/>
            </a:ext>
          </a:extLst>
        </cdr:cNvPr>
        <cdr:cNvSpPr txBox="1"/>
      </cdr:nvSpPr>
      <cdr:spPr>
        <a:xfrm xmlns:a="http://schemas.openxmlformats.org/drawingml/2006/main">
          <a:off x="5060601" y="92574"/>
          <a:ext cx="1152239" cy="415422"/>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cs-CZ" sz="1000"/>
            <a:t>Příznivé události</a:t>
          </a:r>
        </a:p>
        <a:p xmlns:a="http://schemas.openxmlformats.org/drawingml/2006/main">
          <a:r>
            <a:rPr lang="cs-CZ" sz="1000"/>
            <a:t>Nepříznivé</a:t>
          </a:r>
          <a:r>
            <a:rPr lang="cs-CZ" sz="1000" baseline="0"/>
            <a:t> události</a:t>
          </a:r>
          <a:endParaRPr lang="cs-CZ" sz="1000"/>
        </a:p>
      </cdr:txBody>
    </cdr:sp>
  </cdr:relSizeAnchor>
  <cdr:relSizeAnchor xmlns:cdr="http://schemas.openxmlformats.org/drawingml/2006/chartDrawing">
    <cdr:from>
      <cdr:x>0.79828</cdr:x>
      <cdr:y>0.12485</cdr:y>
    </cdr:from>
    <cdr:to>
      <cdr:x>0.8153</cdr:x>
      <cdr:y>0.1677</cdr:y>
    </cdr:to>
    <cdr:sp macro="" textlink="">
      <cdr:nvSpPr>
        <cdr:cNvPr id="3" name="Vývojový diagram: spojnice 2">
          <a:extLst xmlns:a="http://schemas.openxmlformats.org/drawingml/2006/main">
            <a:ext uri="{FF2B5EF4-FFF2-40B4-BE49-F238E27FC236}">
              <a16:creationId xmlns:a16="http://schemas.microsoft.com/office/drawing/2014/main" id="{ACC39638-1A4C-45D0-B67E-CFB7EA293AB5}"/>
            </a:ext>
          </a:extLst>
        </cdr:cNvPr>
        <cdr:cNvSpPr/>
      </cdr:nvSpPr>
      <cdr:spPr>
        <a:xfrm xmlns:a="http://schemas.openxmlformats.org/drawingml/2006/main">
          <a:off x="5000403" y="314610"/>
          <a:ext cx="106645" cy="108000"/>
        </a:xfrm>
        <a:prstGeom xmlns:a="http://schemas.openxmlformats.org/drawingml/2006/main" prst="flowChartConnector">
          <a:avLst/>
        </a:prstGeom>
        <a:solidFill xmlns:a="http://schemas.openxmlformats.org/drawingml/2006/main">
          <a:schemeClr val="accent1">
            <a:lumMod val="40000"/>
            <a:lumOff val="60000"/>
          </a:schemeClr>
        </a:solidFill>
        <a:ln xmlns:a="http://schemas.openxmlformats.org/drawingml/2006/main">
          <a:solidFill>
            <a:schemeClr val="accent1"/>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cs-CZ"/>
        </a:p>
      </cdr:txBody>
    </cdr:sp>
  </cdr:relSizeAnchor>
  <cdr:relSizeAnchor xmlns:cdr="http://schemas.openxmlformats.org/drawingml/2006/chartDrawing">
    <cdr:from>
      <cdr:x>0.79828</cdr:x>
      <cdr:y>0.06801</cdr:y>
    </cdr:from>
    <cdr:to>
      <cdr:x>0.8153</cdr:x>
      <cdr:y>0.11086</cdr:y>
    </cdr:to>
    <cdr:sp macro="" textlink="">
      <cdr:nvSpPr>
        <cdr:cNvPr id="4" name="Vývojový diagram: spojnice 3">
          <a:extLst xmlns:a="http://schemas.openxmlformats.org/drawingml/2006/main">
            <a:ext uri="{FF2B5EF4-FFF2-40B4-BE49-F238E27FC236}">
              <a16:creationId xmlns:a16="http://schemas.microsoft.com/office/drawing/2014/main" id="{EB89C0ED-631A-4545-8ABB-755BC34FA728}"/>
            </a:ext>
          </a:extLst>
        </cdr:cNvPr>
        <cdr:cNvSpPr/>
      </cdr:nvSpPr>
      <cdr:spPr>
        <a:xfrm xmlns:a="http://schemas.openxmlformats.org/drawingml/2006/main">
          <a:off x="5000403" y="171373"/>
          <a:ext cx="106645" cy="108000"/>
        </a:xfrm>
        <a:prstGeom xmlns:a="http://schemas.openxmlformats.org/drawingml/2006/main" prst="flowChartConnector">
          <a:avLst/>
        </a:prstGeom>
        <a:solidFill xmlns:a="http://schemas.openxmlformats.org/drawingml/2006/main">
          <a:schemeClr val="tx2">
            <a:lumMod val="40000"/>
            <a:lumOff val="60000"/>
          </a:schemeClr>
        </a:solidFill>
        <a:ln xmlns:a="http://schemas.openxmlformats.org/drawingml/2006/main">
          <a:solidFill>
            <a:schemeClr val="tx2"/>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cs-CZ"/>
        </a:p>
      </cdr:txBody>
    </cdr:sp>
  </cdr:relSizeAnchor>
</c:userShapes>
</file>

<file path=word/theme/theme1.xml><?xml version="1.0" encoding="utf-8"?>
<a:theme xmlns:a="http://schemas.openxmlformats.org/drawingml/2006/main" name="Motiv Office">
  <a:themeElements>
    <a:clrScheme name="MPO colors">
      <a:dk1>
        <a:srgbClr val="000000"/>
      </a:dk1>
      <a:lt1>
        <a:sysClr val="window" lastClr="FFFFFF"/>
      </a:lt1>
      <a:dk2>
        <a:srgbClr val="004B8D"/>
      </a:dk2>
      <a:lt2>
        <a:srgbClr val="B9E0F7"/>
      </a:lt2>
      <a:accent1>
        <a:srgbClr val="E31B23"/>
      </a:accent1>
      <a:accent2>
        <a:srgbClr val="004B8D"/>
      </a:accent2>
      <a:accent3>
        <a:srgbClr val="0096D6"/>
      </a:accent3>
      <a:accent4>
        <a:srgbClr val="B5121B"/>
      </a:accent4>
      <a:accent5>
        <a:srgbClr val="B9E0F7"/>
      </a:accent5>
      <a:accent6>
        <a:srgbClr val="13B5EA"/>
      </a:accent6>
      <a:hlink>
        <a:srgbClr val="004B8D"/>
      </a:hlink>
      <a:folHlink>
        <a:srgbClr val="B5121B"/>
      </a:folHlink>
    </a:clrScheme>
    <a:fontScheme name="MPO fonts">
      <a:majorFont>
        <a:latin typeface="Calibri"/>
        <a:ea typeface=""/>
        <a:cs typeface=""/>
      </a:majorFont>
      <a:minorFont>
        <a:latin typeface="Calibri"/>
        <a:ea typeface=""/>
        <a:cs typeface=""/>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MPOw">
    <a:dk1>
      <a:srgbClr val="000000"/>
    </a:dk1>
    <a:lt1>
      <a:sysClr val="window" lastClr="FFFFFF"/>
    </a:lt1>
    <a:dk2>
      <a:srgbClr val="004B8D"/>
    </a:dk2>
    <a:lt2>
      <a:srgbClr val="B9E0F7"/>
    </a:lt2>
    <a:accent1>
      <a:srgbClr val="E31B23"/>
    </a:accent1>
    <a:accent2>
      <a:srgbClr val="004B8D"/>
    </a:accent2>
    <a:accent3>
      <a:srgbClr val="0096D6"/>
    </a:accent3>
    <a:accent4>
      <a:srgbClr val="B5121B"/>
    </a:accent4>
    <a:accent5>
      <a:srgbClr val="B9E0F7"/>
    </a:accent5>
    <a:accent6>
      <a:srgbClr val="13B5EA"/>
    </a:accent6>
    <a:hlink>
      <a:srgbClr val="004B8D"/>
    </a:hlink>
    <a:folHlink>
      <a:srgbClr val="B5121B"/>
    </a:folHlink>
  </a:clrScheme>
  <a:fontScheme name="Kancelář">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MPOw">
    <a:dk1>
      <a:srgbClr val="000000"/>
    </a:dk1>
    <a:lt1>
      <a:sysClr val="window" lastClr="FFFFFF"/>
    </a:lt1>
    <a:dk2>
      <a:srgbClr val="004B8D"/>
    </a:dk2>
    <a:lt2>
      <a:srgbClr val="B9E0F7"/>
    </a:lt2>
    <a:accent1>
      <a:srgbClr val="E31B23"/>
    </a:accent1>
    <a:accent2>
      <a:srgbClr val="004B8D"/>
    </a:accent2>
    <a:accent3>
      <a:srgbClr val="0096D6"/>
    </a:accent3>
    <a:accent4>
      <a:srgbClr val="B5121B"/>
    </a:accent4>
    <a:accent5>
      <a:srgbClr val="B9E0F7"/>
    </a:accent5>
    <a:accent6>
      <a:srgbClr val="13B5EA"/>
    </a:accent6>
    <a:hlink>
      <a:srgbClr val="004B8D"/>
    </a:hlink>
    <a:folHlink>
      <a:srgbClr val="B5121B"/>
    </a:folHlink>
  </a:clrScheme>
  <a:fontScheme name="Kancelář">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MPOw">
    <a:dk1>
      <a:srgbClr val="000000"/>
    </a:dk1>
    <a:lt1>
      <a:sysClr val="window" lastClr="FFFFFF"/>
    </a:lt1>
    <a:dk2>
      <a:srgbClr val="004B8D"/>
    </a:dk2>
    <a:lt2>
      <a:srgbClr val="B9E0F7"/>
    </a:lt2>
    <a:accent1>
      <a:srgbClr val="E31B23"/>
    </a:accent1>
    <a:accent2>
      <a:srgbClr val="004B8D"/>
    </a:accent2>
    <a:accent3>
      <a:srgbClr val="0096D6"/>
    </a:accent3>
    <a:accent4>
      <a:srgbClr val="B5121B"/>
    </a:accent4>
    <a:accent5>
      <a:srgbClr val="B9E0F7"/>
    </a:accent5>
    <a:accent6>
      <a:srgbClr val="13B5EA"/>
    </a:accent6>
    <a:hlink>
      <a:srgbClr val="004B8D"/>
    </a:hlink>
    <a:folHlink>
      <a:srgbClr val="B5121B"/>
    </a:folHlink>
  </a:clrScheme>
  <a:fontScheme name="Kancelář">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MPO colors">
    <a:dk1>
      <a:srgbClr val="000000"/>
    </a:dk1>
    <a:lt1>
      <a:sysClr val="window" lastClr="FFFFFF"/>
    </a:lt1>
    <a:dk2>
      <a:srgbClr val="004B8D"/>
    </a:dk2>
    <a:lt2>
      <a:srgbClr val="B9E0F7"/>
    </a:lt2>
    <a:accent1>
      <a:srgbClr val="E31B23"/>
    </a:accent1>
    <a:accent2>
      <a:srgbClr val="004B8D"/>
    </a:accent2>
    <a:accent3>
      <a:srgbClr val="0096D6"/>
    </a:accent3>
    <a:accent4>
      <a:srgbClr val="B5121B"/>
    </a:accent4>
    <a:accent5>
      <a:srgbClr val="B9E0F7"/>
    </a:accent5>
    <a:accent6>
      <a:srgbClr val="13B5EA"/>
    </a:accent6>
    <a:hlink>
      <a:srgbClr val="004B8D"/>
    </a:hlink>
    <a:folHlink>
      <a:srgbClr val="B5121B"/>
    </a:folHlink>
  </a:clrScheme>
  <a:fontScheme name="MPO fonts">
    <a:majorFont>
      <a:latin typeface="Calibri"/>
      <a:ea typeface=""/>
      <a:cs typeface=""/>
    </a:majorFont>
    <a:minorFont>
      <a:latin typeface="Calibri"/>
      <a:ea typeface=""/>
      <a:cs typeface=""/>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91F3126-103D-45DF-86EC-F6908149B9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76</Pages>
  <Words>32768</Words>
  <Characters>193338</Characters>
  <Application>Microsoft Office Word</Application>
  <DocSecurity>0</DocSecurity>
  <Lines>1611</Lines>
  <Paragraphs>451</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225655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2024-08-16T09:27:00Z</dcterms:created>
  <dcterms:modified xsi:type="dcterms:W3CDTF">2024-08-16T11:52:00Z</dcterms:modified>
</cp:coreProperties>
</file>