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563" w:rsidRPr="004E072B" w:rsidRDefault="00C16563" w:rsidP="00C16563">
      <w:pPr>
        <w:pStyle w:val="TabReport"/>
        <w:tabs>
          <w:tab w:val="left" w:pos="3518"/>
          <w:tab w:val="left" w:pos="3885"/>
        </w:tabs>
      </w:pPr>
      <w:r>
        <w:rPr>
          <w:noProof/>
        </w:rPr>
        <mc:AlternateContent>
          <mc:Choice Requires="wps">
            <w:drawing>
              <wp:anchor distT="0" distB="0" distL="114300" distR="114300" simplePos="0" relativeHeight="251661312" behindDoc="0" locked="0" layoutInCell="1" allowOverlap="1" wp14:anchorId="5BC7C22E" wp14:editId="1971387A">
                <wp:simplePos x="0" y="0"/>
                <wp:positionH relativeFrom="column">
                  <wp:posOffset>-292578</wp:posOffset>
                </wp:positionH>
                <wp:positionV relativeFrom="paragraph">
                  <wp:posOffset>503068</wp:posOffset>
                </wp:positionV>
                <wp:extent cx="5854535" cy="215265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535" cy="2152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6563" w:rsidRDefault="00C16563" w:rsidP="00C16563">
                            <w:pPr>
                              <w:spacing w:line="660" w:lineRule="exact"/>
                              <w:ind w:right="572"/>
                              <w:rPr>
                                <w:rFonts w:ascii="Arial" w:hAnsi="Arial" w:cs="Arial"/>
                                <w:color w:val="34943E"/>
                                <w:sz w:val="48"/>
                                <w:szCs w:val="48"/>
                              </w:rPr>
                            </w:pPr>
                          </w:p>
                          <w:p w:rsidR="00C16563" w:rsidRDefault="00C16563" w:rsidP="00C16563">
                            <w:pPr>
                              <w:spacing w:line="660" w:lineRule="exact"/>
                              <w:ind w:right="572"/>
                              <w:rPr>
                                <w:rFonts w:ascii="Arial" w:hAnsi="Arial" w:cs="Arial"/>
                                <w:color w:val="34943E"/>
                                <w:sz w:val="48"/>
                                <w:szCs w:val="48"/>
                              </w:rPr>
                            </w:pPr>
                          </w:p>
                          <w:p w:rsidR="00C16563" w:rsidRDefault="00C16563" w:rsidP="00C16563">
                            <w:pPr>
                              <w:spacing w:line="660" w:lineRule="exact"/>
                              <w:ind w:right="572"/>
                              <w:rPr>
                                <w:rFonts w:ascii="Arial" w:hAnsi="Arial" w:cs="Arial"/>
                                <w:color w:val="34943E"/>
                                <w:sz w:val="48"/>
                                <w:szCs w:val="48"/>
                              </w:rPr>
                            </w:pPr>
                            <w:r w:rsidRPr="00C16563">
                              <w:rPr>
                                <w:rFonts w:ascii="Arial" w:hAnsi="Arial" w:cs="Arial"/>
                                <w:color w:val="34943E"/>
                                <w:sz w:val="48"/>
                                <w:szCs w:val="48"/>
                              </w:rPr>
                              <w:t>Udržitelnost center výzkumu a vývoje podpořených z Operačního programu Výzkum a vývoj pro inovace</w:t>
                            </w:r>
                          </w:p>
                          <w:p w:rsidR="00C16563" w:rsidRPr="00F77425" w:rsidRDefault="00C16563" w:rsidP="00C16563">
                            <w:pPr>
                              <w:spacing w:line="660" w:lineRule="exact"/>
                              <w:ind w:right="572"/>
                              <w:rPr>
                                <w:rFonts w:ascii="Arial" w:hAnsi="Arial" w:cs="Arial"/>
                                <w:color w:val="34943E"/>
                                <w:sz w:val="48"/>
                                <w:szCs w:val="4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3.05pt;margin-top:39.6pt;width:461pt;height:1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" stroked="f">
                <v:textbox>
                  <w:txbxContent>
                    <w:p w:rsidR="00C16563" w:rsidRDefault="00C16563" w:rsidP="00C16563">
                      <w:pPr>
                        <w:spacing w:line="660" w:lineRule="exact"/>
                        <w:ind w:right="572"/>
                        <w:rPr>
                          <w:rFonts w:ascii="Arial" w:hAnsi="Arial" w:cs="Arial"/>
                          <w:color w:val="34943E"/>
                          <w:sz w:val="48"/>
                          <w:szCs w:val="48"/>
                        </w:rPr>
                      </w:pPr>
                    </w:p>
                    <w:p w:rsidR="00C16563" w:rsidRDefault="00C16563" w:rsidP="00C16563">
                      <w:pPr>
                        <w:spacing w:line="660" w:lineRule="exact"/>
                        <w:ind w:right="572"/>
                        <w:rPr>
                          <w:rFonts w:ascii="Arial" w:hAnsi="Arial" w:cs="Arial"/>
                          <w:color w:val="34943E"/>
                          <w:sz w:val="48"/>
                          <w:szCs w:val="48"/>
                        </w:rPr>
                      </w:pPr>
                    </w:p>
                    <w:p w:rsidR="00C16563" w:rsidRDefault="00C16563" w:rsidP="00C16563">
                      <w:pPr>
                        <w:spacing w:line="660" w:lineRule="exact"/>
                        <w:ind w:right="572"/>
                        <w:rPr>
                          <w:rFonts w:ascii="Arial" w:hAnsi="Arial" w:cs="Arial"/>
                          <w:color w:val="34943E"/>
                          <w:sz w:val="48"/>
                          <w:szCs w:val="48"/>
                        </w:rPr>
                      </w:pPr>
                      <w:r w:rsidRPr="00C16563">
                        <w:rPr>
                          <w:rFonts w:ascii="Arial" w:hAnsi="Arial" w:cs="Arial"/>
                          <w:color w:val="34943E"/>
                          <w:sz w:val="48"/>
                          <w:szCs w:val="48"/>
                        </w:rPr>
                        <w:t>Udržitelnost center výzkumu a vývoje podpořených z Operačního programu Výzkum a vývoj pro inovace</w:t>
                      </w:r>
                    </w:p>
                    <w:p w:rsidR="00C16563" w:rsidRPr="00F77425" w:rsidRDefault="00C16563" w:rsidP="00C16563">
                      <w:pPr>
                        <w:spacing w:line="660" w:lineRule="exact"/>
                        <w:ind w:right="572"/>
                        <w:rPr>
                          <w:rFonts w:ascii="Arial" w:hAnsi="Arial" w:cs="Arial"/>
                          <w:color w:val="34943E"/>
                          <w:sz w:val="48"/>
                          <w:szCs w:val="48"/>
                        </w:rPr>
                      </w:pPr>
                    </w:p>
                  </w:txbxContent>
                </v:textbox>
              </v:shape>
            </w:pict>
          </mc:Fallback>
        </mc:AlternateContent>
      </w:r>
      <w:r>
        <w:rPr>
          <w:noProof/>
        </w:rPr>
        <w:drawing>
          <wp:anchor distT="0" distB="0" distL="114300" distR="114300" simplePos="0" relativeHeight="251662336" behindDoc="1" locked="0" layoutInCell="1" allowOverlap="1" wp14:anchorId="3A7136B9" wp14:editId="244D19E5">
            <wp:simplePos x="0" y="0"/>
            <wp:positionH relativeFrom="column">
              <wp:posOffset>-332740</wp:posOffset>
            </wp:positionH>
            <wp:positionV relativeFrom="paragraph">
              <wp:posOffset>-810260</wp:posOffset>
            </wp:positionV>
            <wp:extent cx="6922135" cy="10471785"/>
            <wp:effectExtent l="0" t="0" r="0" b="5715"/>
            <wp:wrapTight wrapText="bothSides">
              <wp:wrapPolygon edited="0">
                <wp:start x="0" y="0"/>
                <wp:lineTo x="0" y="21572"/>
                <wp:lineTo x="21519" y="21572"/>
                <wp:lineTo x="21519" y="0"/>
                <wp:lineTo x="0" y="0"/>
              </wp:wrapPolygon>
            </wp:wrapTight>
            <wp:docPr id="4" name="Obrázek 4" descr="C:\Users\dvorak\Desktop\podklady pro sablony_MSMT\priruc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dvorak\Desktop\podklady pro sablony_MSMT\prirucka.jpg"/>
                    <pic:cNvPicPr>
                      <a:picLocks noChangeAspect="1" noChangeArrowheads="1"/>
                    </pic:cNvPicPr>
                  </pic:nvPicPr>
                  <pic:blipFill>
                    <a:blip r:embed="rId9">
                      <a:extLst>
                        <a:ext uri="{28A0092B-C50C-407E-A947-70E740481C1C}">
                          <a14:useLocalDpi xmlns:a14="http://schemas.microsoft.com/office/drawing/2010/main" val="0"/>
                        </a:ext>
                      </a:extLst>
                    </a:blip>
                    <a:srcRect l="3381" r="1904"/>
                    <a:stretch>
                      <a:fillRect/>
                    </a:stretch>
                  </pic:blipFill>
                  <pic:spPr bwMode="auto">
                    <a:xfrm>
                      <a:off x="0" y="0"/>
                      <a:ext cx="6922135" cy="10471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CE732FE" wp14:editId="0C9C1B16">
            <wp:simplePos x="0" y="0"/>
            <wp:positionH relativeFrom="column">
              <wp:posOffset>-332740</wp:posOffset>
            </wp:positionH>
            <wp:positionV relativeFrom="paragraph">
              <wp:posOffset>-810260</wp:posOffset>
            </wp:positionV>
            <wp:extent cx="6318250" cy="10471785"/>
            <wp:effectExtent l="0" t="0" r="6350" b="5715"/>
            <wp:wrapTight wrapText="bothSides">
              <wp:wrapPolygon edited="0">
                <wp:start x="0" y="0"/>
                <wp:lineTo x="0" y="21572"/>
                <wp:lineTo x="21557" y="21572"/>
                <wp:lineTo x="21557" y="0"/>
                <wp:lineTo x="0" y="0"/>
              </wp:wrapPolygon>
            </wp:wrapTight>
            <wp:docPr id="3" name="Obrázek 3" descr="C:\Users\dvorak\Desktop\podklady pro sablony_MSMT\priruc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dvorak\Desktop\podklady pro sablony_MSMT\prirucka.jpg"/>
                    <pic:cNvPicPr>
                      <a:picLocks noChangeAspect="1" noChangeArrowheads="1"/>
                    </pic:cNvPicPr>
                  </pic:nvPicPr>
                  <pic:blipFill>
                    <a:blip r:embed="rId9">
                      <a:extLst>
                        <a:ext uri="{28A0092B-C50C-407E-A947-70E740481C1C}">
                          <a14:useLocalDpi xmlns:a14="http://schemas.microsoft.com/office/drawing/2010/main" val="0"/>
                        </a:ext>
                      </a:extLst>
                    </a:blip>
                    <a:srcRect l="3381" r="1904"/>
                    <a:stretch>
                      <a:fillRect/>
                    </a:stretch>
                  </pic:blipFill>
                  <pic:spPr bwMode="auto">
                    <a:xfrm>
                      <a:off x="0" y="0"/>
                      <a:ext cx="6318250" cy="10471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simplePos x="0" y="0"/>
                <wp:positionH relativeFrom="column">
                  <wp:posOffset>608330</wp:posOffset>
                </wp:positionH>
                <wp:positionV relativeFrom="paragraph">
                  <wp:posOffset>-8033385</wp:posOffset>
                </wp:positionV>
                <wp:extent cx="4363085" cy="2152650"/>
                <wp:effectExtent l="0" t="0" r="0" b="0"/>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3085" cy="2152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6563" w:rsidRDefault="00C16563" w:rsidP="00C16563">
                            <w:pPr>
                              <w:spacing w:line="660" w:lineRule="exact"/>
                              <w:ind w:right="572"/>
                              <w:rPr>
                                <w:rFonts w:ascii="Arial" w:hAnsi="Arial" w:cs="Arial"/>
                                <w:color w:val="34943E"/>
                                <w:sz w:val="48"/>
                                <w:szCs w:val="48"/>
                              </w:rPr>
                            </w:pPr>
                            <w:r>
                              <w:rPr>
                                <w:rFonts w:ascii="Arial" w:hAnsi="Arial" w:cs="Arial"/>
                                <w:color w:val="34943E"/>
                                <w:sz w:val="48"/>
                                <w:szCs w:val="48"/>
                              </w:rPr>
                              <w:t>Strategie dočerpání finančních prostředků</w:t>
                            </w:r>
                            <w:r>
                              <w:rPr>
                                <w:rFonts w:ascii="Arial" w:hAnsi="Arial" w:cs="Arial"/>
                                <w:color w:val="34943E"/>
                                <w:sz w:val="48"/>
                                <w:szCs w:val="48"/>
                              </w:rPr>
                              <w:br/>
                            </w:r>
                            <w:r w:rsidRPr="00F74778">
                              <w:rPr>
                                <w:rFonts w:ascii="Arial" w:hAnsi="Arial" w:cs="Arial"/>
                                <w:color w:val="34943E"/>
                                <w:sz w:val="48"/>
                                <w:szCs w:val="48"/>
                              </w:rPr>
                              <w:t>Operačního programu Výzkum a vývoj pro inovace</w:t>
                            </w:r>
                          </w:p>
                          <w:p w:rsidR="00C16563" w:rsidRPr="00F77425" w:rsidRDefault="00C16563" w:rsidP="00C16563">
                            <w:pPr>
                              <w:spacing w:line="660" w:lineRule="exact"/>
                              <w:ind w:right="572"/>
                              <w:rPr>
                                <w:rFonts w:ascii="Arial" w:hAnsi="Arial" w:cs="Arial"/>
                                <w:color w:val="34943E"/>
                                <w:sz w:val="48"/>
                                <w:szCs w:val="4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27" type="#_x0000_t202" style="position:absolute;margin-left:47.9pt;margin-top:-632.55pt;width:343.55pt;height:1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" stroked="f">
                <v:textbox>
                  <w:txbxContent>
                    <w:p w:rsidR="00C16563" w:rsidRDefault="00C16563" w:rsidP="00C16563">
                      <w:pPr>
                        <w:spacing w:line="660" w:lineRule="exact"/>
                        <w:ind w:right="572"/>
                        <w:rPr>
                          <w:rFonts w:ascii="Arial" w:hAnsi="Arial" w:cs="Arial"/>
                          <w:color w:val="34943E"/>
                          <w:sz w:val="48"/>
                          <w:szCs w:val="48"/>
                        </w:rPr>
                      </w:pPr>
                      <w:r>
                        <w:rPr>
                          <w:rFonts w:ascii="Arial" w:hAnsi="Arial" w:cs="Arial"/>
                          <w:color w:val="34943E"/>
                          <w:sz w:val="48"/>
                          <w:szCs w:val="48"/>
                        </w:rPr>
                        <w:t>Strategie dočerpání finančních prostředků</w:t>
                      </w:r>
                      <w:r>
                        <w:rPr>
                          <w:rFonts w:ascii="Arial" w:hAnsi="Arial" w:cs="Arial"/>
                          <w:color w:val="34943E"/>
                          <w:sz w:val="48"/>
                          <w:szCs w:val="48"/>
                        </w:rPr>
                        <w:br/>
                      </w:r>
                      <w:r w:rsidRPr="00F74778">
                        <w:rPr>
                          <w:rFonts w:ascii="Arial" w:hAnsi="Arial" w:cs="Arial"/>
                          <w:color w:val="34943E"/>
                          <w:sz w:val="48"/>
                          <w:szCs w:val="48"/>
                        </w:rPr>
                        <w:t>Operačního programu Výzkum a vývoj pro inovace</w:t>
                      </w:r>
                    </w:p>
                    <w:p w:rsidR="00C16563" w:rsidRPr="00F77425" w:rsidRDefault="00C16563" w:rsidP="00C16563">
                      <w:pPr>
                        <w:spacing w:line="660" w:lineRule="exact"/>
                        <w:ind w:right="572"/>
                        <w:rPr>
                          <w:rFonts w:ascii="Arial" w:hAnsi="Arial" w:cs="Arial"/>
                          <w:color w:val="34943E"/>
                          <w:sz w:val="48"/>
                          <w:szCs w:val="48"/>
                        </w:rPr>
                      </w:pPr>
                    </w:p>
                  </w:txbxContent>
                </v:textbox>
              </v:shape>
            </w:pict>
          </mc:Fallback>
        </mc:AlternateContent>
      </w:r>
      <w:r>
        <w:tab/>
      </w:r>
    </w:p>
    <w:p w:rsidR="00545EBA" w:rsidRPr="00115A45" w:rsidRDefault="00545EBA" w:rsidP="00252827">
      <w:pPr>
        <w:pStyle w:val="Nadpis1"/>
        <w:numPr>
          <w:ilvl w:val="0"/>
          <w:numId w:val="0"/>
        </w:numPr>
        <w:ind w:left="432"/>
        <w:jc w:val="center"/>
        <w:rPr>
          <w:rFonts w:ascii="Times New Roman" w:hAnsi="Times New Roman" w:cs="Times New Roman"/>
          <w:b w:val="0"/>
          <w:color w:val="000000" w:themeColor="text1"/>
          <w:szCs w:val="28"/>
        </w:rPr>
      </w:pPr>
      <w:r w:rsidRPr="00115A45">
        <w:rPr>
          <w:rFonts w:ascii="Times New Roman" w:hAnsi="Times New Roman" w:cs="Times New Roman"/>
          <w:b w:val="0"/>
          <w:color w:val="000000" w:themeColor="text1"/>
          <w:szCs w:val="28"/>
        </w:rPr>
        <w:t>Udržitelnost center výzkumu a vývoje</w:t>
      </w:r>
      <w:r w:rsidR="00197945" w:rsidRPr="00115A45">
        <w:rPr>
          <w:rFonts w:ascii="Times New Roman" w:hAnsi="Times New Roman" w:cs="Times New Roman"/>
          <w:b w:val="0"/>
          <w:color w:val="000000" w:themeColor="text1"/>
          <w:szCs w:val="28"/>
        </w:rPr>
        <w:t xml:space="preserve"> podpořených z Operačního programu Výzkum a vývoj pro inovace</w:t>
      </w:r>
    </w:p>
    <w:p w:rsidR="00DE7229" w:rsidRPr="003527C4" w:rsidRDefault="00DE7229" w:rsidP="00CE5357">
      <w:pPr>
        <w:pStyle w:val="Nadpis1"/>
        <w:numPr>
          <w:ilvl w:val="0"/>
          <w:numId w:val="2"/>
        </w:numPr>
        <w:rPr>
          <w:rFonts w:ascii="Arial" w:hAnsi="Arial" w:cs="Arial"/>
          <w:color w:val="000000" w:themeColor="text1"/>
          <w:sz w:val="20"/>
          <w:szCs w:val="20"/>
        </w:rPr>
      </w:pPr>
      <w:r w:rsidRPr="003527C4">
        <w:rPr>
          <w:rFonts w:ascii="Arial" w:hAnsi="Arial" w:cs="Arial"/>
          <w:color w:val="000000" w:themeColor="text1"/>
          <w:sz w:val="20"/>
          <w:szCs w:val="20"/>
        </w:rPr>
        <w:t>Úvod</w:t>
      </w:r>
    </w:p>
    <w:p w:rsidR="006F415B" w:rsidRPr="003527C4" w:rsidRDefault="006F415B" w:rsidP="006F415B"/>
    <w:p w:rsidR="00381916" w:rsidRPr="003527C4" w:rsidRDefault="008176A7" w:rsidP="009A5A42">
      <w:pPr>
        <w:pStyle w:val="Default"/>
        <w:jc w:val="both"/>
        <w:rPr>
          <w:rFonts w:ascii="Times New Roman" w:eastAsia="Times New Roman" w:hAnsi="Times New Roman" w:cs="Tahoma"/>
        </w:rPr>
      </w:pPr>
      <w:r w:rsidRPr="003527C4">
        <w:rPr>
          <w:rFonts w:ascii="Times New Roman" w:eastAsia="Times New Roman" w:hAnsi="Times New Roman" w:cs="Tahoma"/>
        </w:rPr>
        <w:t xml:space="preserve">Operační program Výzkum a vývoj pro inovace (dále jen „OP </w:t>
      </w:r>
      <w:proofErr w:type="spellStart"/>
      <w:r w:rsidRPr="003527C4">
        <w:rPr>
          <w:rFonts w:ascii="Times New Roman" w:eastAsia="Times New Roman" w:hAnsi="Times New Roman" w:cs="Tahoma"/>
        </w:rPr>
        <w:t>VaVpI</w:t>
      </w:r>
      <w:proofErr w:type="spellEnd"/>
      <w:r w:rsidRPr="003527C4">
        <w:rPr>
          <w:rFonts w:ascii="Times New Roman" w:eastAsia="Times New Roman" w:hAnsi="Times New Roman" w:cs="Tahoma"/>
        </w:rPr>
        <w:t>“) je s celkovou alokací 2,4mld. EUR</w:t>
      </w:r>
      <w:r w:rsidR="00B63156" w:rsidRPr="003527C4">
        <w:rPr>
          <w:rStyle w:val="Znakapoznpodarou"/>
          <w:rFonts w:ascii="Times New Roman" w:eastAsia="Times New Roman" w:hAnsi="Times New Roman" w:cs="Tahoma"/>
        </w:rPr>
        <w:footnoteReference w:id="1"/>
      </w:r>
      <w:r w:rsidRPr="003527C4">
        <w:rPr>
          <w:rFonts w:ascii="Times New Roman" w:eastAsia="Times New Roman" w:hAnsi="Times New Roman" w:cs="Tahoma"/>
        </w:rPr>
        <w:t xml:space="preserve"> čtvrtým největším operačním programem realizovaným v </w:t>
      </w:r>
      <w:r w:rsidR="007305AF" w:rsidRPr="003527C4">
        <w:rPr>
          <w:rFonts w:ascii="Times New Roman" w:eastAsia="Times New Roman" w:hAnsi="Times New Roman" w:cs="Tahoma"/>
        </w:rPr>
        <w:t>Česk</w:t>
      </w:r>
      <w:r w:rsidRPr="003527C4">
        <w:rPr>
          <w:rFonts w:ascii="Times New Roman" w:eastAsia="Times New Roman" w:hAnsi="Times New Roman" w:cs="Tahoma"/>
        </w:rPr>
        <w:t>é</w:t>
      </w:r>
      <w:r w:rsidR="007305AF" w:rsidRPr="003527C4">
        <w:rPr>
          <w:rFonts w:ascii="Times New Roman" w:eastAsia="Times New Roman" w:hAnsi="Times New Roman" w:cs="Tahoma"/>
        </w:rPr>
        <w:t xml:space="preserve"> republi</w:t>
      </w:r>
      <w:r w:rsidRPr="003527C4">
        <w:rPr>
          <w:rFonts w:ascii="Times New Roman" w:eastAsia="Times New Roman" w:hAnsi="Times New Roman" w:cs="Tahoma"/>
        </w:rPr>
        <w:t xml:space="preserve">ce. </w:t>
      </w:r>
    </w:p>
    <w:p w:rsidR="00381916" w:rsidRPr="003527C4" w:rsidRDefault="00381916" w:rsidP="009A5A42">
      <w:pPr>
        <w:pStyle w:val="Default"/>
        <w:jc w:val="both"/>
        <w:rPr>
          <w:rFonts w:ascii="Times New Roman" w:eastAsia="Times New Roman" w:hAnsi="Times New Roman" w:cs="Tahoma"/>
        </w:rPr>
      </w:pPr>
    </w:p>
    <w:p w:rsidR="008176A7" w:rsidRPr="003527C4" w:rsidRDefault="008176A7" w:rsidP="009A5A42">
      <w:pPr>
        <w:pStyle w:val="Default"/>
        <w:jc w:val="both"/>
        <w:rPr>
          <w:rFonts w:ascii="Times New Roman" w:eastAsia="Times New Roman" w:hAnsi="Times New Roman" w:cs="Tahoma"/>
        </w:rPr>
      </w:pPr>
      <w:r w:rsidRPr="003527C4">
        <w:rPr>
          <w:rFonts w:ascii="Times New Roman" w:eastAsia="Times New Roman" w:hAnsi="Times New Roman" w:cs="Tahoma"/>
        </w:rPr>
        <w:t xml:space="preserve">OP </w:t>
      </w:r>
      <w:proofErr w:type="spellStart"/>
      <w:r w:rsidRPr="003527C4">
        <w:rPr>
          <w:rFonts w:ascii="Times New Roman" w:eastAsia="Times New Roman" w:hAnsi="Times New Roman" w:cs="Tahoma"/>
        </w:rPr>
        <w:t>VaVpI</w:t>
      </w:r>
      <w:proofErr w:type="spellEnd"/>
      <w:r w:rsidRPr="003527C4">
        <w:rPr>
          <w:rFonts w:ascii="Times New Roman" w:eastAsia="Times New Roman" w:hAnsi="Times New Roman" w:cs="Tahoma"/>
        </w:rPr>
        <w:t xml:space="preserve"> je zaměřen na budování špičkového výzkumu a vývoje prostřednictví podpory:</w:t>
      </w:r>
    </w:p>
    <w:p w:rsidR="00FC4F25" w:rsidRPr="003527C4" w:rsidRDefault="008176A7" w:rsidP="00CE5357">
      <w:pPr>
        <w:pStyle w:val="Default"/>
        <w:numPr>
          <w:ilvl w:val="0"/>
          <w:numId w:val="5"/>
        </w:numPr>
        <w:jc w:val="both"/>
        <w:rPr>
          <w:rFonts w:ascii="Times New Roman" w:eastAsia="Times New Roman" w:hAnsi="Times New Roman" w:cs="Tahoma"/>
        </w:rPr>
      </w:pPr>
      <w:r w:rsidRPr="003527C4">
        <w:rPr>
          <w:rFonts w:ascii="Times New Roman" w:eastAsia="Times New Roman" w:hAnsi="Times New Roman" w:cs="Tahoma"/>
        </w:rPr>
        <w:t>Center excelence (</w:t>
      </w:r>
      <w:r w:rsidR="00FC4F25" w:rsidRPr="003527C4">
        <w:rPr>
          <w:rFonts w:ascii="Times New Roman" w:eastAsia="Times New Roman" w:hAnsi="Times New Roman" w:cs="Tahoma"/>
        </w:rPr>
        <w:t>prioritní osa</w:t>
      </w:r>
      <w:r w:rsidR="00836126" w:rsidRPr="003527C4">
        <w:rPr>
          <w:rFonts w:ascii="Times New Roman" w:eastAsia="Times New Roman" w:hAnsi="Times New Roman" w:cs="Tahoma"/>
        </w:rPr>
        <w:t xml:space="preserve"> 1 - dále jen „PO“</w:t>
      </w:r>
      <w:r w:rsidR="00FC4F25" w:rsidRPr="003527C4">
        <w:rPr>
          <w:rFonts w:ascii="Times New Roman" w:eastAsia="Times New Roman" w:hAnsi="Times New Roman" w:cs="Tahoma"/>
        </w:rPr>
        <w:t>)</w:t>
      </w:r>
    </w:p>
    <w:p w:rsidR="00FC4F25" w:rsidRPr="003527C4" w:rsidRDefault="00FC4F25" w:rsidP="00CE5357">
      <w:pPr>
        <w:pStyle w:val="Default"/>
        <w:numPr>
          <w:ilvl w:val="0"/>
          <w:numId w:val="5"/>
        </w:numPr>
        <w:jc w:val="both"/>
        <w:rPr>
          <w:rFonts w:ascii="Times New Roman" w:eastAsia="Times New Roman" w:hAnsi="Times New Roman" w:cs="Tahoma"/>
        </w:rPr>
      </w:pPr>
      <w:r w:rsidRPr="003527C4">
        <w:rPr>
          <w:rFonts w:ascii="Times New Roman" w:eastAsia="Times New Roman" w:hAnsi="Times New Roman" w:cs="Tahoma"/>
        </w:rPr>
        <w:t>Regionálních center</w:t>
      </w:r>
      <w:r w:rsidR="00135436" w:rsidRPr="003527C4">
        <w:rPr>
          <w:rFonts w:ascii="Times New Roman" w:eastAsia="Times New Roman" w:hAnsi="Times New Roman" w:cs="Tahoma"/>
        </w:rPr>
        <w:t xml:space="preserve"> výzkumu a vývoje (</w:t>
      </w:r>
      <w:r w:rsidR="00836126" w:rsidRPr="003527C4">
        <w:rPr>
          <w:rFonts w:ascii="Times New Roman" w:eastAsia="Times New Roman" w:hAnsi="Times New Roman" w:cs="Tahoma"/>
        </w:rPr>
        <w:t>PO 2)</w:t>
      </w:r>
    </w:p>
    <w:p w:rsidR="00FC4F25" w:rsidRPr="003527C4" w:rsidRDefault="00FC4F25" w:rsidP="00CE5357">
      <w:pPr>
        <w:pStyle w:val="Default"/>
        <w:numPr>
          <w:ilvl w:val="0"/>
          <w:numId w:val="5"/>
        </w:numPr>
        <w:jc w:val="both"/>
        <w:rPr>
          <w:rFonts w:ascii="Times New Roman" w:eastAsia="Times New Roman" w:hAnsi="Times New Roman" w:cs="Tahoma"/>
        </w:rPr>
      </w:pPr>
      <w:r w:rsidRPr="003527C4">
        <w:rPr>
          <w:rFonts w:ascii="Times New Roman" w:eastAsia="Times New Roman" w:hAnsi="Times New Roman" w:cs="Tahoma"/>
        </w:rPr>
        <w:t xml:space="preserve">Komercializace a popularizace </w:t>
      </w:r>
      <w:r w:rsidR="00836126" w:rsidRPr="003527C4">
        <w:rPr>
          <w:rFonts w:ascii="Times New Roman" w:eastAsia="Times New Roman" w:hAnsi="Times New Roman" w:cs="Tahoma"/>
        </w:rPr>
        <w:t>(PO 3)</w:t>
      </w:r>
    </w:p>
    <w:p w:rsidR="00FC4F25" w:rsidRPr="003527C4" w:rsidRDefault="00FC4F25" w:rsidP="00CE5357">
      <w:pPr>
        <w:pStyle w:val="Default"/>
        <w:numPr>
          <w:ilvl w:val="0"/>
          <w:numId w:val="5"/>
        </w:numPr>
        <w:jc w:val="both"/>
        <w:rPr>
          <w:rFonts w:ascii="Times New Roman" w:eastAsia="Times New Roman" w:hAnsi="Times New Roman" w:cs="Tahoma"/>
        </w:rPr>
      </w:pPr>
      <w:r w:rsidRPr="003527C4">
        <w:rPr>
          <w:rFonts w:ascii="Times New Roman" w:eastAsia="Times New Roman" w:hAnsi="Times New Roman" w:cs="Tahoma"/>
        </w:rPr>
        <w:t xml:space="preserve">Infrastruktury vysokých škol </w:t>
      </w:r>
      <w:r w:rsidR="00836126" w:rsidRPr="003527C4">
        <w:rPr>
          <w:rFonts w:ascii="Times New Roman" w:eastAsia="Times New Roman" w:hAnsi="Times New Roman" w:cs="Tahoma"/>
        </w:rPr>
        <w:t>(PO 4)</w:t>
      </w:r>
    </w:p>
    <w:p w:rsidR="00836126" w:rsidRPr="003527C4" w:rsidRDefault="00836126" w:rsidP="00836126">
      <w:pPr>
        <w:pStyle w:val="Default"/>
        <w:ind w:left="720"/>
        <w:jc w:val="both"/>
        <w:rPr>
          <w:rFonts w:ascii="Times New Roman" w:eastAsia="Times New Roman" w:hAnsi="Times New Roman" w:cs="Tahoma"/>
        </w:rPr>
      </w:pPr>
    </w:p>
    <w:p w:rsidR="000C019B" w:rsidRPr="003527C4" w:rsidRDefault="000C019B" w:rsidP="009A5A42">
      <w:pPr>
        <w:jc w:val="both"/>
      </w:pPr>
      <w:r w:rsidRPr="003527C4">
        <w:rPr>
          <w:rFonts w:eastAsia="Times New Roman" w:cs="Tahoma"/>
          <w:color w:val="000000"/>
        </w:rPr>
        <w:t>Výzkumné p</w:t>
      </w:r>
      <w:r w:rsidRPr="003527C4">
        <w:rPr>
          <w:color w:val="000000" w:themeColor="text1"/>
        </w:rPr>
        <w:t>rojekty obdobného</w:t>
      </w:r>
      <w:r w:rsidR="00381916" w:rsidRPr="003527C4">
        <w:rPr>
          <w:color w:val="000000" w:themeColor="text1"/>
        </w:rPr>
        <w:t xml:space="preserve"> fina</w:t>
      </w:r>
      <w:r w:rsidR="00D038AE" w:rsidRPr="003527C4">
        <w:rPr>
          <w:color w:val="000000" w:themeColor="text1"/>
        </w:rPr>
        <w:t>n</w:t>
      </w:r>
      <w:r w:rsidR="00381916" w:rsidRPr="003527C4">
        <w:rPr>
          <w:color w:val="000000" w:themeColor="text1"/>
        </w:rPr>
        <w:t>čního</w:t>
      </w:r>
      <w:r w:rsidRPr="003527C4">
        <w:rPr>
          <w:color w:val="000000" w:themeColor="text1"/>
        </w:rPr>
        <w:t xml:space="preserve"> rozsahu u nás nebyly dosud nikdy realizovány, představují pro ČR velkou příležitost</w:t>
      </w:r>
      <w:r w:rsidR="00AD7F5E" w:rsidRPr="003527C4">
        <w:rPr>
          <w:color w:val="000000" w:themeColor="text1"/>
        </w:rPr>
        <w:t xml:space="preserve"> významným způsobem </w:t>
      </w:r>
      <w:r w:rsidR="00AD7F5E" w:rsidRPr="003527C4">
        <w:t>posílit orientaci na znalostní ekonomiku,</w:t>
      </w:r>
      <w:r w:rsidR="00AD7F5E" w:rsidRPr="003527C4">
        <w:rPr>
          <w:rFonts w:eastAsia="Times New Roman" w:cs="Tahoma"/>
        </w:rPr>
        <w:t xml:space="preserve"> </w:t>
      </w:r>
      <w:r w:rsidR="005E6544" w:rsidRPr="003527C4">
        <w:rPr>
          <w:rFonts w:eastAsia="Times New Roman" w:cs="Tahoma"/>
        </w:rPr>
        <w:t>přispět k růstu, konkurenceschopnosti a k vytváření vysoce kvalifikovaných pracovních míst</w:t>
      </w:r>
      <w:r w:rsidRPr="003527C4">
        <w:rPr>
          <w:rFonts w:eastAsia="Times New Roman" w:cs="Tahoma"/>
        </w:rPr>
        <w:t>.</w:t>
      </w:r>
      <w:r w:rsidR="00381916" w:rsidRPr="003527C4">
        <w:t xml:space="preserve"> Díky prostředkům ze strukturálních fondů bylo možné </w:t>
      </w:r>
      <w:r w:rsidR="003610B4" w:rsidRPr="003527C4">
        <w:t>centra výzkumu a vývoje (dále jen „</w:t>
      </w:r>
      <w:proofErr w:type="spellStart"/>
      <w:r w:rsidR="003610B4" w:rsidRPr="003527C4">
        <w:t>VaV</w:t>
      </w:r>
      <w:proofErr w:type="spellEnd"/>
      <w:r w:rsidR="003610B4" w:rsidRPr="003527C4">
        <w:t xml:space="preserve"> centra</w:t>
      </w:r>
      <w:r w:rsidR="00AE4230" w:rsidRPr="003527C4">
        <w:rPr>
          <w:rStyle w:val="Znakapoznpodarou"/>
        </w:rPr>
        <w:footnoteReference w:id="2"/>
      </w:r>
      <w:r w:rsidR="003610B4" w:rsidRPr="003527C4">
        <w:t>“</w:t>
      </w:r>
      <w:r w:rsidR="00AE4230" w:rsidRPr="003527C4">
        <w:t>)</w:t>
      </w:r>
      <w:r w:rsidR="003610B4" w:rsidRPr="003527C4">
        <w:t xml:space="preserve"> </w:t>
      </w:r>
      <w:r w:rsidR="004D0EAE" w:rsidRPr="003527C4">
        <w:t>vybudovat</w:t>
      </w:r>
      <w:r w:rsidR="005E6544" w:rsidRPr="003527C4">
        <w:t>, nicméně</w:t>
      </w:r>
      <w:r w:rsidR="00AD7F5E" w:rsidRPr="003527C4">
        <w:t xml:space="preserve"> </w:t>
      </w:r>
      <w:r w:rsidR="00E9402C" w:rsidRPr="003527C4">
        <w:t>je nezbytné</w:t>
      </w:r>
      <w:r w:rsidR="00BA57D4" w:rsidRPr="003527C4">
        <w:t xml:space="preserve"> efektivně zajistit jejich střednědobou existenci. </w:t>
      </w:r>
    </w:p>
    <w:p w:rsidR="00135436" w:rsidRPr="003527C4" w:rsidRDefault="00135436" w:rsidP="009A5A42">
      <w:pPr>
        <w:jc w:val="both"/>
      </w:pPr>
    </w:p>
    <w:p w:rsidR="00AE4230" w:rsidRPr="003527C4" w:rsidRDefault="00692F48" w:rsidP="009A5A42">
      <w:pPr>
        <w:jc w:val="both"/>
      </w:pPr>
      <w:r w:rsidRPr="003527C4">
        <w:t>Vzhledem k tomu, že se Česká republika zavázala k zajištění udržitelnosti podpořených center a daná centra sama nejsou schopna svůj provoz pokrýt z vlastních zdrojů, předpokládá se, že významnou část nákladů na provoz pokryjí prostředky ze státního rozpočtu.</w:t>
      </w:r>
    </w:p>
    <w:p w:rsidR="00DF1996" w:rsidRPr="003527C4" w:rsidRDefault="00F05733" w:rsidP="00CE5357">
      <w:pPr>
        <w:pStyle w:val="Nadpis1"/>
        <w:numPr>
          <w:ilvl w:val="0"/>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Udržitelnost </w:t>
      </w:r>
      <w:r w:rsidR="00C452DE" w:rsidRPr="003527C4">
        <w:rPr>
          <w:rFonts w:ascii="Arial" w:hAnsi="Arial" w:cs="Arial"/>
          <w:color w:val="000000" w:themeColor="text1"/>
          <w:sz w:val="20"/>
          <w:szCs w:val="20"/>
        </w:rPr>
        <w:t>projektů</w:t>
      </w:r>
      <w:r w:rsidRPr="003527C4">
        <w:rPr>
          <w:rFonts w:ascii="Arial" w:hAnsi="Arial" w:cs="Arial"/>
          <w:color w:val="000000" w:themeColor="text1"/>
          <w:sz w:val="20"/>
          <w:szCs w:val="20"/>
        </w:rPr>
        <w:t xml:space="preserve"> </w:t>
      </w:r>
      <w:r w:rsidR="00997E5D" w:rsidRPr="003527C4">
        <w:rPr>
          <w:rFonts w:ascii="Arial" w:hAnsi="Arial" w:cs="Arial"/>
          <w:color w:val="000000" w:themeColor="text1"/>
          <w:sz w:val="20"/>
          <w:szCs w:val="20"/>
        </w:rPr>
        <w:t xml:space="preserve">financovaných z </w:t>
      </w:r>
      <w:proofErr w:type="gramStart"/>
      <w:r w:rsidR="00997E5D" w:rsidRPr="003527C4">
        <w:rPr>
          <w:rFonts w:ascii="Arial" w:hAnsi="Arial" w:cs="Arial"/>
          <w:color w:val="000000" w:themeColor="text1"/>
          <w:sz w:val="20"/>
          <w:szCs w:val="20"/>
        </w:rPr>
        <w:t>OP</w:t>
      </w:r>
      <w:proofErr w:type="gramEnd"/>
      <w:r w:rsidR="00997E5D" w:rsidRPr="003527C4">
        <w:rPr>
          <w:rFonts w:ascii="Arial" w:hAnsi="Arial" w:cs="Arial"/>
          <w:color w:val="000000" w:themeColor="text1"/>
          <w:sz w:val="20"/>
          <w:szCs w:val="20"/>
        </w:rPr>
        <w:t xml:space="preserve"> </w:t>
      </w:r>
      <w:proofErr w:type="spellStart"/>
      <w:r w:rsidR="00997E5D" w:rsidRPr="003527C4">
        <w:rPr>
          <w:rFonts w:ascii="Arial" w:hAnsi="Arial" w:cs="Arial"/>
          <w:color w:val="000000" w:themeColor="text1"/>
          <w:sz w:val="20"/>
          <w:szCs w:val="20"/>
        </w:rPr>
        <w:t>VaVpI</w:t>
      </w:r>
      <w:proofErr w:type="spellEnd"/>
      <w:r w:rsidR="00BC0130" w:rsidRPr="003527C4">
        <w:rPr>
          <w:rFonts w:ascii="Arial" w:hAnsi="Arial" w:cs="Arial"/>
          <w:color w:val="000000" w:themeColor="text1"/>
          <w:sz w:val="20"/>
          <w:szCs w:val="20"/>
        </w:rPr>
        <w:t xml:space="preserve"> </w:t>
      </w:r>
    </w:p>
    <w:p w:rsidR="006F415B" w:rsidRPr="003527C4" w:rsidRDefault="006F415B" w:rsidP="006F415B"/>
    <w:p w:rsidR="00976154" w:rsidRPr="003527C4" w:rsidRDefault="001A4E6C" w:rsidP="00135436">
      <w:pPr>
        <w:widowControl/>
        <w:suppressAutoHyphens w:val="0"/>
        <w:autoSpaceDE w:val="0"/>
        <w:adjustRightInd w:val="0"/>
        <w:jc w:val="both"/>
        <w:textAlignment w:val="auto"/>
        <w:rPr>
          <w:rFonts w:eastAsia="Times New Roman" w:cs="Tahoma"/>
          <w:color w:val="000000"/>
        </w:rPr>
      </w:pPr>
      <w:r w:rsidRPr="003527C4">
        <w:rPr>
          <w:color w:val="000000" w:themeColor="text1"/>
        </w:rPr>
        <w:t>Příjemc</w:t>
      </w:r>
      <w:r w:rsidR="004F6AB0" w:rsidRPr="003527C4">
        <w:rPr>
          <w:color w:val="000000" w:themeColor="text1"/>
        </w:rPr>
        <w:t xml:space="preserve">i projektů </w:t>
      </w:r>
      <w:r w:rsidRPr="003527C4">
        <w:rPr>
          <w:color w:val="000000" w:themeColor="text1"/>
        </w:rPr>
        <w:t>se v souladu s nařízeními Evropské komise zavázal</w:t>
      </w:r>
      <w:r w:rsidR="004F6AB0" w:rsidRPr="003527C4">
        <w:rPr>
          <w:color w:val="000000" w:themeColor="text1"/>
        </w:rPr>
        <w:t>i</w:t>
      </w:r>
      <w:r w:rsidRPr="003527C4">
        <w:rPr>
          <w:color w:val="000000" w:themeColor="text1"/>
        </w:rPr>
        <w:t xml:space="preserve"> zajistit</w:t>
      </w:r>
      <w:r w:rsidR="00BA57D4" w:rsidRPr="003527C4">
        <w:rPr>
          <w:color w:val="000000" w:themeColor="text1"/>
        </w:rPr>
        <w:t xml:space="preserve"> kontinuitu</w:t>
      </w:r>
      <w:r w:rsidRPr="003527C4">
        <w:rPr>
          <w:color w:val="000000" w:themeColor="text1"/>
        </w:rPr>
        <w:t xml:space="preserve"> činnost</w:t>
      </w:r>
      <w:r w:rsidR="00BA57D4" w:rsidRPr="003527C4">
        <w:rPr>
          <w:color w:val="000000" w:themeColor="text1"/>
        </w:rPr>
        <w:t xml:space="preserve">í centra </w:t>
      </w:r>
      <w:r w:rsidRPr="003527C4">
        <w:rPr>
          <w:color w:val="000000" w:themeColor="text1"/>
        </w:rPr>
        <w:t xml:space="preserve">po dobu </w:t>
      </w:r>
      <w:r w:rsidR="004F6AB0" w:rsidRPr="003527C4">
        <w:rPr>
          <w:color w:val="000000" w:themeColor="text1"/>
        </w:rPr>
        <w:t>5</w:t>
      </w:r>
      <w:r w:rsidRPr="003527C4">
        <w:rPr>
          <w:color w:val="000000" w:themeColor="text1"/>
        </w:rPr>
        <w:t xml:space="preserve"> let</w:t>
      </w:r>
      <w:r w:rsidR="004F6AB0" w:rsidRPr="003527C4">
        <w:rPr>
          <w:rStyle w:val="Znakapoznpodarou"/>
          <w:color w:val="000000" w:themeColor="text1"/>
        </w:rPr>
        <w:footnoteReference w:id="3"/>
      </w:r>
      <w:r w:rsidRPr="003527C4">
        <w:rPr>
          <w:color w:val="000000" w:themeColor="text1"/>
        </w:rPr>
        <w:t xml:space="preserve"> po ukončení podpory z </w:t>
      </w:r>
      <w:proofErr w:type="gramStart"/>
      <w:r w:rsidRPr="003527C4">
        <w:rPr>
          <w:color w:val="000000" w:themeColor="text1"/>
        </w:rPr>
        <w:t>OP</w:t>
      </w:r>
      <w:proofErr w:type="gramEnd"/>
      <w:r w:rsidRPr="003527C4">
        <w:rPr>
          <w:color w:val="000000" w:themeColor="text1"/>
        </w:rPr>
        <w:t xml:space="preserve"> </w:t>
      </w:r>
      <w:proofErr w:type="spellStart"/>
      <w:r w:rsidR="00E82D78" w:rsidRPr="003527C4">
        <w:rPr>
          <w:color w:val="000000" w:themeColor="text1"/>
        </w:rPr>
        <w:t>VaVpI</w:t>
      </w:r>
      <w:proofErr w:type="spellEnd"/>
      <w:r w:rsidR="00E82D78" w:rsidRPr="003527C4">
        <w:rPr>
          <w:color w:val="000000" w:themeColor="text1"/>
        </w:rPr>
        <w:t>, v tzv. fázi udržitelnosti.</w:t>
      </w:r>
    </w:p>
    <w:p w:rsidR="00E91249" w:rsidRPr="003527C4" w:rsidRDefault="00E91249" w:rsidP="00135436">
      <w:pPr>
        <w:widowControl/>
        <w:suppressAutoHyphens w:val="0"/>
        <w:autoSpaceDE w:val="0"/>
        <w:adjustRightInd w:val="0"/>
        <w:jc w:val="both"/>
        <w:textAlignment w:val="auto"/>
        <w:rPr>
          <w:rFonts w:eastAsia="Times New Roman" w:cs="Tahoma"/>
          <w:color w:val="000000"/>
        </w:rPr>
      </w:pPr>
    </w:p>
    <w:p w:rsidR="00E91249" w:rsidRPr="003527C4" w:rsidRDefault="00E82D78" w:rsidP="00135436">
      <w:pPr>
        <w:widowControl/>
        <w:suppressAutoHyphens w:val="0"/>
        <w:autoSpaceDE w:val="0"/>
        <w:adjustRightInd w:val="0"/>
        <w:jc w:val="both"/>
        <w:textAlignment w:val="auto"/>
        <w:rPr>
          <w:rFonts w:eastAsia="Times New Roman" w:cs="Tahoma"/>
          <w:color w:val="000000"/>
        </w:rPr>
      </w:pPr>
      <w:r w:rsidRPr="003527C4">
        <w:rPr>
          <w:rFonts w:eastAsia="Times New Roman" w:cs="Tahoma"/>
          <w:color w:val="000000"/>
        </w:rPr>
        <w:t xml:space="preserve">Fáze udržitelnosti </w:t>
      </w:r>
      <w:proofErr w:type="spellStart"/>
      <w:r w:rsidRPr="003527C4">
        <w:rPr>
          <w:rFonts w:eastAsia="Times New Roman" w:cs="Tahoma"/>
          <w:color w:val="000000"/>
        </w:rPr>
        <w:t>VaV</w:t>
      </w:r>
      <w:proofErr w:type="spellEnd"/>
      <w:r w:rsidRPr="003527C4">
        <w:rPr>
          <w:rFonts w:eastAsia="Times New Roman" w:cs="Tahoma"/>
          <w:color w:val="000000"/>
        </w:rPr>
        <w:t xml:space="preserve"> center je ovlivněna řadou faktorů.</w:t>
      </w:r>
      <w:r w:rsidR="00E91249" w:rsidRPr="003527C4">
        <w:rPr>
          <w:rFonts w:eastAsia="Times New Roman" w:cs="Tahoma"/>
          <w:color w:val="000000"/>
        </w:rPr>
        <w:t xml:space="preserve"> Tyto faktory mohou být v projektu jak vnitřního (strategické směřování, </w:t>
      </w:r>
      <w:r w:rsidRPr="003527C4">
        <w:rPr>
          <w:rFonts w:eastAsia="Times New Roman" w:cs="Tahoma"/>
          <w:color w:val="000000"/>
        </w:rPr>
        <w:t xml:space="preserve">mobilita </w:t>
      </w:r>
      <w:r w:rsidR="00E91249" w:rsidRPr="003527C4">
        <w:rPr>
          <w:rFonts w:eastAsia="Times New Roman" w:cs="Tahoma"/>
          <w:color w:val="000000"/>
        </w:rPr>
        <w:t>zaměstnanců, finanční toky), tak i vnějšího charakteru (veřejné politiky, právní rámec, existence mezinárodních programů atp.)</w:t>
      </w:r>
      <w:r w:rsidR="00EC4BD2" w:rsidRPr="003527C4">
        <w:rPr>
          <w:rFonts w:eastAsia="Times New Roman" w:cs="Tahoma"/>
          <w:color w:val="000000"/>
        </w:rPr>
        <w:t xml:space="preserve"> </w:t>
      </w:r>
    </w:p>
    <w:p w:rsidR="00B620F4" w:rsidRPr="003527C4" w:rsidRDefault="00B620F4" w:rsidP="00BA57D4">
      <w:pPr>
        <w:widowControl/>
        <w:suppressAutoHyphens w:val="0"/>
        <w:autoSpaceDE w:val="0"/>
        <w:adjustRightInd w:val="0"/>
        <w:jc w:val="both"/>
        <w:textAlignment w:val="auto"/>
        <w:rPr>
          <w:rFonts w:eastAsia="Times New Roman" w:cs="Tahoma"/>
          <w:color w:val="000000"/>
        </w:rPr>
      </w:pPr>
    </w:p>
    <w:p w:rsidR="00B73E0E" w:rsidRPr="003527C4" w:rsidRDefault="00B73E0E" w:rsidP="00CE5357">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Požadavky na udržitelnost – závazky plynoucí z</w:t>
      </w:r>
      <w:r w:rsidR="009B6E8F" w:rsidRPr="003527C4">
        <w:rPr>
          <w:rFonts w:ascii="Arial" w:hAnsi="Arial" w:cs="Arial"/>
          <w:color w:val="000000" w:themeColor="text1"/>
          <w:sz w:val="20"/>
          <w:szCs w:val="20"/>
        </w:rPr>
        <w:t xml:space="preserve"> Obecného nařízení a </w:t>
      </w:r>
      <w:proofErr w:type="spellStart"/>
      <w:r w:rsidRPr="003527C4">
        <w:rPr>
          <w:rFonts w:ascii="Arial" w:hAnsi="Arial" w:cs="Arial"/>
          <w:color w:val="000000" w:themeColor="text1"/>
          <w:sz w:val="20"/>
          <w:szCs w:val="20"/>
        </w:rPr>
        <w:t>RoPD</w:t>
      </w:r>
      <w:proofErr w:type="spellEnd"/>
    </w:p>
    <w:p w:rsidR="009B6E8F" w:rsidRPr="003527C4" w:rsidRDefault="009B6E8F" w:rsidP="009B6E8F">
      <w:pPr>
        <w:jc w:val="both"/>
        <w:rPr>
          <w:b/>
        </w:rPr>
      </w:pPr>
    </w:p>
    <w:p w:rsidR="009B6E8F" w:rsidRPr="003527C4" w:rsidRDefault="009B6E8F" w:rsidP="00135436">
      <w:pPr>
        <w:widowControl/>
        <w:suppressAutoHyphens w:val="0"/>
        <w:autoSpaceDE w:val="0"/>
        <w:adjustRightInd w:val="0"/>
        <w:jc w:val="both"/>
        <w:textAlignment w:val="auto"/>
        <w:rPr>
          <w:rFonts w:eastAsia="Times New Roman" w:cs="Tahoma"/>
          <w:color w:val="000000"/>
        </w:rPr>
      </w:pPr>
      <w:r w:rsidRPr="003527C4">
        <w:rPr>
          <w:rFonts w:eastAsia="Times New Roman" w:cs="Tahoma"/>
          <w:color w:val="000000"/>
        </w:rPr>
        <w:t>Článek 57 Obecného nařízení</w:t>
      </w:r>
      <w:r w:rsidRPr="003527C4">
        <w:rPr>
          <w:rStyle w:val="Znakapoznpodarou"/>
          <w:rFonts w:eastAsia="Times New Roman" w:cs="Tahoma"/>
          <w:color w:val="000000"/>
        </w:rPr>
        <w:footnoteReference w:id="4"/>
      </w:r>
      <w:r w:rsidRPr="003527C4">
        <w:rPr>
          <w:rFonts w:eastAsia="Times New Roman" w:cs="Tahoma"/>
          <w:color w:val="000000"/>
        </w:rPr>
        <w:t xml:space="preserve"> vymezuje udržitelnost jako „stálost operací“, investice musí být po dobu 5 let od ukončení realizace zachována ke stanovenému účelu, nesmí dojít ke změně činnosti nebo k provádění aktivit, které by zakládaly nepovolenou veřejnou podporu. </w:t>
      </w:r>
      <w:r w:rsidR="00795AB9" w:rsidRPr="003527C4">
        <w:rPr>
          <w:rFonts w:eastAsia="Times New Roman" w:cs="Tahoma"/>
          <w:color w:val="000000"/>
        </w:rPr>
        <w:t>Rovněž n</w:t>
      </w:r>
      <w:r w:rsidRPr="003527C4">
        <w:rPr>
          <w:rFonts w:eastAsia="Times New Roman" w:cs="Tahoma"/>
          <w:color w:val="000000"/>
        </w:rPr>
        <w:t xml:space="preserve">esmí dojít ke změně formy vlastnictví infrastruktury pořízené z dotace. </w:t>
      </w:r>
    </w:p>
    <w:p w:rsidR="009B6E8F" w:rsidRPr="003527C4" w:rsidRDefault="009B6E8F" w:rsidP="00135436">
      <w:pPr>
        <w:jc w:val="both"/>
        <w:rPr>
          <w:b/>
        </w:rPr>
      </w:pPr>
    </w:p>
    <w:p w:rsidR="00B73E0E" w:rsidRPr="003527C4" w:rsidRDefault="00B73E0E" w:rsidP="00135436">
      <w:pPr>
        <w:jc w:val="both"/>
        <w:rPr>
          <w:rFonts w:eastAsia="Times New Roman" w:cs="Tahoma"/>
          <w:color w:val="000000"/>
        </w:rPr>
      </w:pPr>
      <w:r w:rsidRPr="003527C4">
        <w:rPr>
          <w:rFonts w:eastAsia="Times New Roman" w:cs="Tahoma"/>
          <w:color w:val="000000"/>
        </w:rPr>
        <w:t>Povinnosti příjemce v době udržitelnosti stanoví Rozhodnutí o poskytnutí dotace</w:t>
      </w:r>
      <w:r w:rsidR="00BC1F11" w:rsidRPr="003527C4">
        <w:rPr>
          <w:rFonts w:eastAsia="Times New Roman" w:cs="Tahoma"/>
          <w:color w:val="000000"/>
        </w:rPr>
        <w:t xml:space="preserve"> (dále jen „</w:t>
      </w:r>
      <w:proofErr w:type="spellStart"/>
      <w:r w:rsidR="00BC1F11" w:rsidRPr="003527C4">
        <w:rPr>
          <w:rFonts w:eastAsia="Times New Roman" w:cs="Tahoma"/>
          <w:color w:val="000000"/>
        </w:rPr>
        <w:t>RoPD</w:t>
      </w:r>
      <w:proofErr w:type="spellEnd"/>
      <w:r w:rsidR="00BC1F11" w:rsidRPr="003527C4">
        <w:rPr>
          <w:rFonts w:eastAsia="Times New Roman" w:cs="Tahoma"/>
          <w:color w:val="000000"/>
        </w:rPr>
        <w:t>)</w:t>
      </w:r>
      <w:r w:rsidR="00EC4BD2" w:rsidRPr="003527C4">
        <w:rPr>
          <w:rFonts w:eastAsia="Times New Roman" w:cs="Tahoma"/>
          <w:color w:val="000000"/>
        </w:rPr>
        <w:t>;</w:t>
      </w:r>
      <w:r w:rsidRPr="003527C4">
        <w:rPr>
          <w:rFonts w:eastAsia="Times New Roman" w:cs="Tahoma"/>
          <w:color w:val="000000"/>
        </w:rPr>
        <w:t xml:space="preserve"> </w:t>
      </w:r>
      <w:r w:rsidR="003C4E65" w:rsidRPr="003527C4">
        <w:rPr>
          <w:rFonts w:eastAsia="Times New Roman" w:cs="Tahoma"/>
          <w:color w:val="000000"/>
        </w:rPr>
        <w:t xml:space="preserve">jejich </w:t>
      </w:r>
      <w:r w:rsidRPr="003527C4">
        <w:rPr>
          <w:rFonts w:eastAsia="Times New Roman" w:cs="Tahoma"/>
          <w:color w:val="000000"/>
        </w:rPr>
        <w:t xml:space="preserve">detailní přehled </w:t>
      </w:r>
      <w:r w:rsidR="003C4E65" w:rsidRPr="003527C4">
        <w:rPr>
          <w:rFonts w:eastAsia="Times New Roman" w:cs="Tahoma"/>
          <w:color w:val="000000"/>
        </w:rPr>
        <w:t>je uveden</w:t>
      </w:r>
      <w:r w:rsidRPr="003527C4">
        <w:rPr>
          <w:rFonts w:eastAsia="Times New Roman" w:cs="Tahoma"/>
          <w:color w:val="000000"/>
        </w:rPr>
        <w:t xml:space="preserve"> v Příloze 1 </w:t>
      </w:r>
      <w:r w:rsidR="00605571">
        <w:rPr>
          <w:rFonts w:eastAsia="Times New Roman" w:cs="Tahoma"/>
          <w:color w:val="000000"/>
        </w:rPr>
        <w:t>„</w:t>
      </w:r>
      <w:r w:rsidRPr="003527C4">
        <w:rPr>
          <w:rFonts w:eastAsia="Times New Roman" w:cs="Tahoma"/>
          <w:color w:val="000000"/>
        </w:rPr>
        <w:t xml:space="preserve">Vzor </w:t>
      </w:r>
      <w:proofErr w:type="spellStart"/>
      <w:r w:rsidRPr="003527C4">
        <w:rPr>
          <w:rFonts w:eastAsia="Times New Roman" w:cs="Tahoma"/>
          <w:color w:val="000000"/>
        </w:rPr>
        <w:t>RoPD</w:t>
      </w:r>
      <w:proofErr w:type="spellEnd"/>
      <w:r w:rsidR="00605571">
        <w:rPr>
          <w:rFonts w:eastAsia="Times New Roman" w:cs="Tahoma"/>
          <w:color w:val="000000"/>
        </w:rPr>
        <w:t>“</w:t>
      </w:r>
      <w:r w:rsidRPr="003527C4">
        <w:rPr>
          <w:rFonts w:eastAsia="Times New Roman" w:cs="Tahoma"/>
          <w:color w:val="000000"/>
        </w:rPr>
        <w:t xml:space="preserve"> tohoto materiálu.</w:t>
      </w:r>
    </w:p>
    <w:p w:rsidR="00B73E0E" w:rsidRPr="003527C4" w:rsidRDefault="00B73E0E" w:rsidP="00B73E0E">
      <w:pPr>
        <w:ind w:firstLine="426"/>
        <w:jc w:val="both"/>
        <w:rPr>
          <w:rFonts w:eastAsia="Times New Roman" w:cs="Tahoma"/>
          <w:color w:val="000000"/>
        </w:rPr>
      </w:pPr>
    </w:p>
    <w:p w:rsidR="00B73E0E" w:rsidRPr="003527C4" w:rsidRDefault="00B73E0E" w:rsidP="00E94061">
      <w:pPr>
        <w:jc w:val="both"/>
        <w:rPr>
          <w:rFonts w:eastAsia="Times New Roman" w:cs="Tahoma"/>
          <w:color w:val="000000"/>
        </w:rPr>
      </w:pPr>
      <w:r w:rsidRPr="003527C4">
        <w:rPr>
          <w:rFonts w:eastAsia="Times New Roman" w:cs="Tahoma"/>
          <w:color w:val="000000"/>
        </w:rPr>
        <w:t xml:space="preserve">Příjemce je povinen po celou dobu udržitelnosti </w:t>
      </w:r>
      <w:r w:rsidR="00E94061" w:rsidRPr="003527C4">
        <w:rPr>
          <w:rFonts w:eastAsia="Times New Roman" w:cs="Tahoma"/>
          <w:color w:val="000000"/>
        </w:rPr>
        <w:t>p</w:t>
      </w:r>
      <w:r w:rsidRPr="003527C4">
        <w:rPr>
          <w:rFonts w:eastAsia="Times New Roman" w:cs="Tahoma"/>
          <w:color w:val="000000"/>
        </w:rPr>
        <w:t>rojektu</w:t>
      </w:r>
      <w:r w:rsidR="00E94061" w:rsidRPr="003527C4">
        <w:rPr>
          <w:rFonts w:eastAsia="Times New Roman" w:cs="Tahoma"/>
          <w:color w:val="000000"/>
        </w:rPr>
        <w:t xml:space="preserve"> zachovat p</w:t>
      </w:r>
      <w:r w:rsidRPr="003527C4">
        <w:rPr>
          <w:rFonts w:eastAsia="Times New Roman" w:cs="Tahoma"/>
          <w:color w:val="000000"/>
        </w:rPr>
        <w:t xml:space="preserve">rojekt ke stanovenému účelu, zajistit, že projekt neprojde ve lhůtě 5 let od ukončení realizace projektu podstatnou změnou definovanou v čl. 57 odst. 1 Obecného nařízení, a zajistit jeho dopad v regionech způsobilých pro podporu v rámci OP </w:t>
      </w:r>
      <w:proofErr w:type="spellStart"/>
      <w:r w:rsidRPr="003527C4">
        <w:rPr>
          <w:rFonts w:eastAsia="Times New Roman" w:cs="Tahoma"/>
          <w:color w:val="000000"/>
        </w:rPr>
        <w:t>VaVpI</w:t>
      </w:r>
      <w:proofErr w:type="spellEnd"/>
      <w:r w:rsidRPr="003527C4">
        <w:rPr>
          <w:rFonts w:eastAsia="Times New Roman" w:cs="Tahoma"/>
          <w:color w:val="000000"/>
        </w:rPr>
        <w:t>.</w:t>
      </w:r>
    </w:p>
    <w:p w:rsidR="00B73E0E" w:rsidRPr="003527C4" w:rsidRDefault="00B73E0E" w:rsidP="00135436">
      <w:pPr>
        <w:jc w:val="both"/>
        <w:rPr>
          <w:rFonts w:eastAsia="Times New Roman" w:cs="Tahoma"/>
          <w:color w:val="000000"/>
        </w:rPr>
      </w:pPr>
      <w:r w:rsidRPr="003527C4">
        <w:rPr>
          <w:rFonts w:eastAsia="Times New Roman" w:cs="Tahoma"/>
          <w:color w:val="000000"/>
        </w:rPr>
        <w:t xml:space="preserve">Příjemce je dále povinen zacházet s majetkem </w:t>
      </w:r>
      <w:r w:rsidR="00E94061" w:rsidRPr="003527C4">
        <w:rPr>
          <w:rFonts w:eastAsia="Times New Roman" w:cs="Tahoma"/>
          <w:color w:val="000000"/>
        </w:rPr>
        <w:t>pořízeným z dotace a s výstupy p</w:t>
      </w:r>
      <w:r w:rsidRPr="003527C4">
        <w:rPr>
          <w:rFonts w:eastAsia="Times New Roman" w:cs="Tahoma"/>
          <w:color w:val="000000"/>
        </w:rPr>
        <w:t>rojektu při jeho realizaci a v době udržitelnosti s péčí řádného hospodáře.</w:t>
      </w:r>
    </w:p>
    <w:p w:rsidR="00B73E0E" w:rsidRPr="003527C4" w:rsidRDefault="00B73E0E" w:rsidP="00135436">
      <w:pPr>
        <w:jc w:val="both"/>
        <w:rPr>
          <w:rFonts w:eastAsia="Times New Roman" w:cs="Tahoma"/>
          <w:color w:val="000000"/>
        </w:rPr>
      </w:pPr>
      <w:r w:rsidRPr="003527C4">
        <w:rPr>
          <w:rFonts w:eastAsia="Times New Roman" w:cs="Tahoma"/>
          <w:color w:val="000000"/>
        </w:rPr>
        <w:t xml:space="preserve">Dlouhodobý hmotný a nehmotný majetek, u něhož jsou výdaje na pořízení </w:t>
      </w:r>
      <w:r w:rsidR="00E94061" w:rsidRPr="003527C4">
        <w:rPr>
          <w:rFonts w:eastAsia="Times New Roman" w:cs="Tahoma"/>
          <w:color w:val="000000"/>
        </w:rPr>
        <w:t>zahrnuty do způsobilých výdajů p</w:t>
      </w:r>
      <w:r w:rsidRPr="003527C4">
        <w:rPr>
          <w:rFonts w:eastAsia="Times New Roman" w:cs="Tahoma"/>
          <w:color w:val="000000"/>
        </w:rPr>
        <w:t>rojektu, nesmí příjem</w:t>
      </w:r>
      <w:r w:rsidR="00E94061" w:rsidRPr="003527C4">
        <w:rPr>
          <w:rFonts w:eastAsia="Times New Roman" w:cs="Tahoma"/>
          <w:color w:val="000000"/>
        </w:rPr>
        <w:t>ce po celou dobu udržitelnosti p</w:t>
      </w:r>
      <w:r w:rsidRPr="003527C4">
        <w:rPr>
          <w:rFonts w:eastAsia="Times New Roman" w:cs="Tahoma"/>
          <w:color w:val="000000"/>
        </w:rPr>
        <w:t xml:space="preserve">rojektu prodat ani jinak zcizit. Tímto není dotčena prostá obměna majetku, zejména v souvislosti s technologickým rozvojem, kdy se druhově stejný majetek nahrazuje technologicky rozvinutějším.  </w:t>
      </w:r>
    </w:p>
    <w:p w:rsidR="00B73E0E" w:rsidRPr="003527C4" w:rsidRDefault="00B73E0E" w:rsidP="00135436">
      <w:pPr>
        <w:jc w:val="both"/>
        <w:rPr>
          <w:rFonts w:eastAsia="Times New Roman" w:cs="Tahoma"/>
          <w:color w:val="000000"/>
        </w:rPr>
      </w:pPr>
      <w:r w:rsidRPr="003527C4">
        <w:rPr>
          <w:rFonts w:eastAsia="Times New Roman" w:cs="Tahoma"/>
          <w:color w:val="000000"/>
        </w:rPr>
        <w:t xml:space="preserve">Příjemce a jeho partneři jsou povinni mít účetně odděleny hospodářské a </w:t>
      </w:r>
      <w:proofErr w:type="spellStart"/>
      <w:r w:rsidRPr="003527C4">
        <w:rPr>
          <w:rFonts w:eastAsia="Times New Roman" w:cs="Tahoma"/>
          <w:color w:val="000000"/>
        </w:rPr>
        <w:t>nehospodářské</w:t>
      </w:r>
      <w:proofErr w:type="spellEnd"/>
      <w:r w:rsidRPr="003527C4">
        <w:rPr>
          <w:rFonts w:eastAsia="Times New Roman" w:cs="Tahoma"/>
          <w:color w:val="000000"/>
        </w:rPr>
        <w:t xml:space="preserve"> činnosti. Tato povinnost zůstává zakotvena ve vnitřních předpisech příjemce po celou dobu trvání Projektu</w:t>
      </w:r>
      <w:r w:rsidR="00E94061" w:rsidRPr="003527C4">
        <w:rPr>
          <w:rFonts w:eastAsia="Times New Roman" w:cs="Tahoma"/>
          <w:color w:val="000000"/>
        </w:rPr>
        <w:t xml:space="preserve"> i sledované udržitelnosti p</w:t>
      </w:r>
      <w:r w:rsidRPr="003527C4">
        <w:rPr>
          <w:rFonts w:eastAsia="Times New Roman" w:cs="Tahoma"/>
          <w:color w:val="000000"/>
        </w:rPr>
        <w:t>rojektu.</w:t>
      </w:r>
      <w:r w:rsidRPr="003527C4">
        <w:rPr>
          <w:rStyle w:val="Znakapoznpodarou"/>
          <w:rFonts w:eastAsia="Times New Roman" w:cs="Tahoma"/>
          <w:color w:val="000000"/>
        </w:rPr>
        <w:footnoteReference w:id="5"/>
      </w:r>
      <w:r w:rsidRPr="003527C4">
        <w:rPr>
          <w:rStyle w:val="Znakapoznpodarou"/>
        </w:rPr>
        <w:t xml:space="preserve"> </w:t>
      </w:r>
    </w:p>
    <w:p w:rsidR="006F415B" w:rsidRPr="003527C4" w:rsidRDefault="006F415B" w:rsidP="006F415B"/>
    <w:p w:rsidR="0011273F" w:rsidRPr="003527C4" w:rsidRDefault="00BC1F11" w:rsidP="00CE5357">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Současná situace projektů OP </w:t>
      </w:r>
      <w:proofErr w:type="spellStart"/>
      <w:r w:rsidRPr="003527C4">
        <w:rPr>
          <w:rFonts w:ascii="Arial" w:hAnsi="Arial" w:cs="Arial"/>
          <w:color w:val="000000" w:themeColor="text1"/>
          <w:sz w:val="20"/>
          <w:szCs w:val="20"/>
        </w:rPr>
        <w:t>VaVpI</w:t>
      </w:r>
      <w:proofErr w:type="spellEnd"/>
    </w:p>
    <w:p w:rsidR="009A7798" w:rsidRPr="003527C4" w:rsidRDefault="009A7798" w:rsidP="009A7798">
      <w:pPr>
        <w:jc w:val="both"/>
        <w:rPr>
          <w:rFonts w:eastAsia="Times New Roman" w:cs="Tahoma"/>
          <w:color w:val="000000"/>
        </w:rPr>
      </w:pPr>
    </w:p>
    <w:p w:rsidR="0076059B" w:rsidRPr="003527C4" w:rsidRDefault="0076059B" w:rsidP="00135436">
      <w:pPr>
        <w:jc w:val="both"/>
        <w:rPr>
          <w:rFonts w:eastAsia="Times New Roman" w:cs="Tahoma"/>
          <w:color w:val="000000"/>
        </w:rPr>
      </w:pPr>
      <w:r w:rsidRPr="003527C4">
        <w:rPr>
          <w:rFonts w:eastAsia="Times New Roman" w:cs="Tahoma"/>
          <w:color w:val="000000"/>
        </w:rPr>
        <w:t>Ke dni </w:t>
      </w:r>
      <w:proofErr w:type="gramStart"/>
      <w:r w:rsidRPr="003527C4">
        <w:rPr>
          <w:rFonts w:eastAsia="Times New Roman" w:cs="Tahoma"/>
          <w:color w:val="000000"/>
        </w:rPr>
        <w:t>18.6.2014</w:t>
      </w:r>
      <w:proofErr w:type="gramEnd"/>
      <w:r w:rsidRPr="003527C4">
        <w:rPr>
          <w:rFonts w:eastAsia="Times New Roman" w:cs="Tahoma"/>
          <w:color w:val="000000"/>
        </w:rPr>
        <w:t xml:space="preserve"> je evidováno v </w:t>
      </w:r>
      <w:r w:rsidR="00AB10CD" w:rsidRPr="003527C4">
        <w:rPr>
          <w:rFonts w:eastAsia="Times New Roman" w:cs="Tahoma"/>
          <w:color w:val="000000"/>
        </w:rPr>
        <w:t>PO 1, 2, 3 a 4</w:t>
      </w:r>
      <w:r w:rsidRPr="003527C4">
        <w:rPr>
          <w:rFonts w:eastAsia="Times New Roman" w:cs="Tahoma"/>
          <w:color w:val="000000"/>
        </w:rPr>
        <w:t xml:space="preserve"> celkem 176 projektů, z nichž 33 projektů je již ve fázi udržitelnosti, viz</w:t>
      </w:r>
      <w:r w:rsidR="00605571">
        <w:rPr>
          <w:rFonts w:eastAsia="Times New Roman" w:cs="Tahoma"/>
          <w:color w:val="000000"/>
        </w:rPr>
        <w:t xml:space="preserve"> T</w:t>
      </w:r>
      <w:r w:rsidR="00134054" w:rsidRPr="003527C4">
        <w:rPr>
          <w:rFonts w:eastAsia="Times New Roman" w:cs="Tahoma"/>
          <w:color w:val="000000"/>
        </w:rPr>
        <w:t>abulka 1</w:t>
      </w:r>
      <w:r w:rsidR="00AB10CD" w:rsidRPr="003527C4">
        <w:rPr>
          <w:rFonts w:eastAsia="Times New Roman" w:cs="Tahoma"/>
          <w:color w:val="000000"/>
        </w:rPr>
        <w:t xml:space="preserve">, Obrázek 1 </w:t>
      </w:r>
      <w:r w:rsidR="00D038AE" w:rsidRPr="003527C4">
        <w:rPr>
          <w:rFonts w:eastAsia="Times New Roman" w:cs="Tahoma"/>
          <w:color w:val="000000"/>
        </w:rPr>
        <w:t>níže</w:t>
      </w:r>
      <w:r w:rsidR="00134054" w:rsidRPr="003527C4">
        <w:rPr>
          <w:rFonts w:eastAsia="Times New Roman" w:cs="Tahoma"/>
          <w:color w:val="000000"/>
        </w:rPr>
        <w:t xml:space="preserve"> a</w:t>
      </w:r>
      <w:r w:rsidRPr="003527C4">
        <w:rPr>
          <w:rFonts w:eastAsia="Times New Roman" w:cs="Tahoma"/>
          <w:color w:val="000000"/>
        </w:rPr>
        <w:t xml:space="preserve"> Příloha 2 – Projekty OP </w:t>
      </w:r>
      <w:proofErr w:type="spellStart"/>
      <w:r w:rsidRPr="003527C4">
        <w:rPr>
          <w:rFonts w:eastAsia="Times New Roman" w:cs="Tahoma"/>
          <w:color w:val="000000"/>
        </w:rPr>
        <w:t>VaVpI</w:t>
      </w:r>
      <w:proofErr w:type="spellEnd"/>
      <w:r w:rsidRPr="003527C4">
        <w:rPr>
          <w:rFonts w:eastAsia="Times New Roman" w:cs="Tahoma"/>
          <w:color w:val="000000"/>
        </w:rPr>
        <w:t xml:space="preserve">. </w:t>
      </w:r>
    </w:p>
    <w:p w:rsidR="00836126" w:rsidRDefault="00836126" w:rsidP="0076059B">
      <w:pPr>
        <w:ind w:firstLine="426"/>
        <w:jc w:val="both"/>
        <w:rPr>
          <w:rFonts w:eastAsia="Times New Roman" w:cs="Tahoma"/>
          <w:color w:val="000000"/>
        </w:rPr>
      </w:pPr>
    </w:p>
    <w:p w:rsidR="004610A6" w:rsidRPr="003527C4" w:rsidRDefault="004610A6" w:rsidP="0076059B">
      <w:pPr>
        <w:ind w:firstLine="426"/>
        <w:jc w:val="both"/>
        <w:rPr>
          <w:rFonts w:eastAsia="Times New Roman" w:cs="Tahoma"/>
          <w:color w:val="000000"/>
        </w:rPr>
      </w:pPr>
    </w:p>
    <w:p w:rsidR="00836126" w:rsidRPr="003527C4" w:rsidRDefault="00134054" w:rsidP="0076059B">
      <w:pPr>
        <w:ind w:firstLine="426"/>
        <w:jc w:val="both"/>
        <w:rPr>
          <w:rFonts w:eastAsia="Times New Roman" w:cs="Tahoma"/>
          <w:b/>
          <w:color w:val="000000"/>
        </w:rPr>
      </w:pPr>
      <w:r w:rsidRPr="003527C4">
        <w:rPr>
          <w:rFonts w:eastAsia="Times New Roman" w:cs="Tahoma"/>
          <w:b/>
          <w:color w:val="000000"/>
        </w:rPr>
        <w:t xml:space="preserve">Tabulka 1 </w:t>
      </w:r>
      <w:r w:rsidR="00836126" w:rsidRPr="003527C4">
        <w:rPr>
          <w:rFonts w:eastAsia="Times New Roman" w:cs="Tahoma"/>
          <w:b/>
          <w:color w:val="000000"/>
        </w:rPr>
        <w:t xml:space="preserve">Alokace a počet projektů OP </w:t>
      </w:r>
      <w:proofErr w:type="spellStart"/>
      <w:r w:rsidR="00836126" w:rsidRPr="003527C4">
        <w:rPr>
          <w:rFonts w:eastAsia="Times New Roman" w:cs="Tahoma"/>
          <w:b/>
          <w:color w:val="000000"/>
        </w:rPr>
        <w:t>VaVpI</w:t>
      </w:r>
      <w:proofErr w:type="spellEnd"/>
      <w:r w:rsidR="00836126" w:rsidRPr="003527C4">
        <w:rPr>
          <w:rFonts w:eastAsia="Times New Roman" w:cs="Tahoma"/>
          <w:b/>
          <w:color w:val="000000"/>
        </w:rPr>
        <w:t xml:space="preserve"> připadající na jednotlivé </w:t>
      </w:r>
      <w:r w:rsidR="00AB10CD" w:rsidRPr="003527C4">
        <w:rPr>
          <w:rFonts w:eastAsia="Times New Roman" w:cs="Tahoma"/>
          <w:b/>
          <w:color w:val="000000"/>
        </w:rPr>
        <w:t>PO</w:t>
      </w:r>
    </w:p>
    <w:p w:rsidR="00BC1F11" w:rsidRPr="003527C4" w:rsidRDefault="00BC1F11" w:rsidP="0076059B">
      <w:pPr>
        <w:ind w:firstLine="426"/>
        <w:jc w:val="both"/>
        <w:rPr>
          <w:rFonts w:eastAsia="Times New Roman" w:cs="Tahoma"/>
          <w:color w:val="000000"/>
        </w:rPr>
      </w:pPr>
    </w:p>
    <w:tbl>
      <w:tblPr>
        <w:tblW w:w="8520" w:type="dxa"/>
        <w:tblInd w:w="55" w:type="dxa"/>
        <w:tblCellMar>
          <w:left w:w="70" w:type="dxa"/>
          <w:right w:w="70" w:type="dxa"/>
        </w:tblCellMar>
        <w:tblLook w:val="04A0" w:firstRow="1" w:lastRow="0" w:firstColumn="1" w:lastColumn="0" w:noHBand="0" w:noVBand="1"/>
      </w:tblPr>
      <w:tblGrid>
        <w:gridCol w:w="916"/>
        <w:gridCol w:w="3402"/>
        <w:gridCol w:w="1559"/>
        <w:gridCol w:w="1226"/>
        <w:gridCol w:w="1417"/>
      </w:tblGrid>
      <w:tr w:rsidR="001B1564" w:rsidRPr="003527C4" w:rsidTr="00CC6BA5">
        <w:trPr>
          <w:trHeight w:val="300"/>
        </w:trPr>
        <w:tc>
          <w:tcPr>
            <w:tcW w:w="916"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rsidR="00836126" w:rsidRPr="003527C4" w:rsidRDefault="00836126" w:rsidP="00836126">
            <w:pPr>
              <w:widowControl/>
              <w:suppressAutoHyphens w:val="0"/>
              <w:autoSpaceDN/>
              <w:jc w:val="center"/>
              <w:textAlignment w:val="auto"/>
              <w:rPr>
                <w:rFonts w:ascii="Calibri" w:eastAsia="Times New Roman" w:hAnsi="Calibri" w:cs="Times New Roman"/>
                <w:b/>
                <w:bCs/>
                <w:color w:val="000000"/>
                <w:kern w:val="0"/>
                <w:sz w:val="22"/>
                <w:szCs w:val="22"/>
                <w:lang w:eastAsia="cs-CZ" w:bidi="ar-SA"/>
              </w:rPr>
            </w:pPr>
            <w:r w:rsidRPr="003527C4">
              <w:rPr>
                <w:rFonts w:ascii="Calibri" w:eastAsia="Times New Roman" w:hAnsi="Calibri" w:cs="Times New Roman"/>
                <w:b/>
                <w:bCs/>
                <w:color w:val="000000"/>
                <w:kern w:val="0"/>
                <w:sz w:val="22"/>
                <w:szCs w:val="22"/>
                <w:lang w:eastAsia="cs-CZ" w:bidi="ar-SA"/>
              </w:rPr>
              <w:t>prioritní osa</w:t>
            </w:r>
          </w:p>
        </w:tc>
        <w:tc>
          <w:tcPr>
            <w:tcW w:w="3402" w:type="dxa"/>
            <w:tcBorders>
              <w:top w:val="single" w:sz="4" w:space="0" w:color="auto"/>
              <w:left w:val="nil"/>
              <w:bottom w:val="single" w:sz="4" w:space="0" w:color="auto"/>
              <w:right w:val="single" w:sz="4" w:space="0" w:color="auto"/>
            </w:tcBorders>
            <w:shd w:val="clear" w:color="000000" w:fill="C4D79B"/>
            <w:noWrap/>
            <w:vAlign w:val="bottom"/>
            <w:hideMark/>
          </w:tcPr>
          <w:p w:rsidR="00836126" w:rsidRPr="003527C4" w:rsidRDefault="00836126" w:rsidP="00836126">
            <w:pPr>
              <w:widowControl/>
              <w:suppressAutoHyphens w:val="0"/>
              <w:autoSpaceDN/>
              <w:jc w:val="center"/>
              <w:textAlignment w:val="auto"/>
              <w:rPr>
                <w:rFonts w:ascii="Calibri" w:eastAsia="Times New Roman" w:hAnsi="Calibri" w:cs="Times New Roman"/>
                <w:b/>
                <w:bCs/>
                <w:color w:val="000000"/>
                <w:kern w:val="0"/>
                <w:sz w:val="22"/>
                <w:szCs w:val="22"/>
                <w:lang w:eastAsia="cs-CZ" w:bidi="ar-SA"/>
              </w:rPr>
            </w:pPr>
            <w:r w:rsidRPr="003527C4">
              <w:rPr>
                <w:rFonts w:ascii="Calibri" w:eastAsia="Times New Roman" w:hAnsi="Calibri" w:cs="Times New Roman"/>
                <w:b/>
                <w:bCs/>
                <w:color w:val="000000"/>
                <w:kern w:val="0"/>
                <w:sz w:val="22"/>
                <w:szCs w:val="22"/>
                <w:lang w:eastAsia="cs-CZ" w:bidi="ar-SA"/>
              </w:rPr>
              <w:t>název</w:t>
            </w:r>
          </w:p>
        </w:tc>
        <w:tc>
          <w:tcPr>
            <w:tcW w:w="1559" w:type="dxa"/>
            <w:tcBorders>
              <w:top w:val="single" w:sz="4" w:space="0" w:color="auto"/>
              <w:left w:val="nil"/>
              <w:bottom w:val="single" w:sz="4" w:space="0" w:color="auto"/>
              <w:right w:val="single" w:sz="4" w:space="0" w:color="auto"/>
            </w:tcBorders>
            <w:shd w:val="clear" w:color="000000" w:fill="C4D79B"/>
            <w:noWrap/>
            <w:vAlign w:val="bottom"/>
            <w:hideMark/>
          </w:tcPr>
          <w:p w:rsidR="00836126" w:rsidRPr="003527C4" w:rsidRDefault="00836126" w:rsidP="00836126">
            <w:pPr>
              <w:widowControl/>
              <w:suppressAutoHyphens w:val="0"/>
              <w:autoSpaceDN/>
              <w:jc w:val="center"/>
              <w:textAlignment w:val="auto"/>
              <w:rPr>
                <w:rFonts w:ascii="Calibri" w:eastAsia="Times New Roman" w:hAnsi="Calibri" w:cs="Times New Roman"/>
                <w:b/>
                <w:bCs/>
                <w:color w:val="000000"/>
                <w:kern w:val="0"/>
                <w:sz w:val="22"/>
                <w:szCs w:val="22"/>
                <w:lang w:eastAsia="cs-CZ" w:bidi="ar-SA"/>
              </w:rPr>
            </w:pPr>
            <w:r w:rsidRPr="003527C4">
              <w:rPr>
                <w:rFonts w:ascii="Calibri" w:eastAsia="Times New Roman" w:hAnsi="Calibri" w:cs="Times New Roman"/>
                <w:b/>
                <w:bCs/>
                <w:color w:val="000000"/>
                <w:kern w:val="0"/>
                <w:sz w:val="22"/>
                <w:szCs w:val="22"/>
                <w:lang w:eastAsia="cs-CZ" w:bidi="ar-SA"/>
              </w:rPr>
              <w:t>poč. projektů*</w:t>
            </w:r>
          </w:p>
        </w:tc>
        <w:tc>
          <w:tcPr>
            <w:tcW w:w="1226" w:type="dxa"/>
            <w:tcBorders>
              <w:top w:val="single" w:sz="4" w:space="0" w:color="auto"/>
              <w:left w:val="nil"/>
              <w:bottom w:val="single" w:sz="4" w:space="0" w:color="auto"/>
              <w:right w:val="single" w:sz="4" w:space="0" w:color="auto"/>
            </w:tcBorders>
            <w:shd w:val="clear" w:color="000000" w:fill="C4D79B"/>
            <w:noWrap/>
            <w:vAlign w:val="bottom"/>
            <w:hideMark/>
          </w:tcPr>
          <w:p w:rsidR="00836126" w:rsidRPr="003527C4" w:rsidRDefault="00836126" w:rsidP="00836126">
            <w:pPr>
              <w:widowControl/>
              <w:suppressAutoHyphens w:val="0"/>
              <w:autoSpaceDN/>
              <w:jc w:val="center"/>
              <w:textAlignment w:val="auto"/>
              <w:rPr>
                <w:rFonts w:ascii="Calibri" w:eastAsia="Times New Roman" w:hAnsi="Calibri" w:cs="Times New Roman"/>
                <w:b/>
                <w:bCs/>
                <w:color w:val="000000"/>
                <w:kern w:val="0"/>
                <w:sz w:val="22"/>
                <w:szCs w:val="22"/>
                <w:lang w:eastAsia="cs-CZ" w:bidi="ar-SA"/>
              </w:rPr>
            </w:pPr>
            <w:r w:rsidRPr="003527C4">
              <w:rPr>
                <w:rFonts w:ascii="Calibri" w:eastAsia="Times New Roman" w:hAnsi="Calibri" w:cs="Times New Roman"/>
                <w:b/>
                <w:bCs/>
                <w:color w:val="000000"/>
                <w:kern w:val="0"/>
                <w:sz w:val="22"/>
                <w:szCs w:val="22"/>
                <w:lang w:eastAsia="cs-CZ" w:bidi="ar-SA"/>
              </w:rPr>
              <w:t>alokace v mil. EUR</w:t>
            </w:r>
          </w:p>
        </w:tc>
        <w:tc>
          <w:tcPr>
            <w:tcW w:w="1417" w:type="dxa"/>
            <w:tcBorders>
              <w:top w:val="single" w:sz="4" w:space="0" w:color="auto"/>
              <w:left w:val="nil"/>
              <w:bottom w:val="single" w:sz="4" w:space="0" w:color="auto"/>
              <w:right w:val="single" w:sz="4" w:space="0" w:color="auto"/>
            </w:tcBorders>
            <w:shd w:val="clear" w:color="000000" w:fill="C4D79B"/>
            <w:noWrap/>
            <w:vAlign w:val="bottom"/>
            <w:hideMark/>
          </w:tcPr>
          <w:p w:rsidR="00836126" w:rsidRPr="003527C4" w:rsidRDefault="00836126" w:rsidP="00836126">
            <w:pPr>
              <w:widowControl/>
              <w:suppressAutoHyphens w:val="0"/>
              <w:autoSpaceDN/>
              <w:jc w:val="center"/>
              <w:textAlignment w:val="auto"/>
              <w:rPr>
                <w:rFonts w:ascii="Calibri" w:eastAsia="Times New Roman" w:hAnsi="Calibri" w:cs="Times New Roman"/>
                <w:b/>
                <w:bCs/>
                <w:color w:val="000000"/>
                <w:kern w:val="0"/>
                <w:sz w:val="22"/>
                <w:szCs w:val="22"/>
                <w:lang w:eastAsia="cs-CZ" w:bidi="ar-SA"/>
              </w:rPr>
            </w:pPr>
            <w:r w:rsidRPr="003527C4">
              <w:rPr>
                <w:rFonts w:ascii="Calibri" w:eastAsia="Times New Roman" w:hAnsi="Calibri" w:cs="Times New Roman"/>
                <w:b/>
                <w:bCs/>
                <w:color w:val="000000"/>
                <w:kern w:val="0"/>
                <w:sz w:val="22"/>
                <w:szCs w:val="22"/>
                <w:lang w:eastAsia="cs-CZ" w:bidi="ar-SA"/>
              </w:rPr>
              <w:t>alokace v mil. CZK**</w:t>
            </w:r>
          </w:p>
        </w:tc>
      </w:tr>
      <w:tr w:rsidR="001B1564" w:rsidRPr="003527C4" w:rsidTr="00CC6BA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PO1</w:t>
            </w:r>
          </w:p>
        </w:tc>
        <w:tc>
          <w:tcPr>
            <w:tcW w:w="3402"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Evropská centra excelence  </w:t>
            </w:r>
          </w:p>
        </w:tc>
        <w:tc>
          <w:tcPr>
            <w:tcW w:w="1559"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8</w:t>
            </w:r>
          </w:p>
        </w:tc>
        <w:tc>
          <w:tcPr>
            <w:tcW w:w="1226"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                           806    </w:t>
            </w:r>
          </w:p>
        </w:tc>
        <w:tc>
          <w:tcPr>
            <w:tcW w:w="1417"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                                22 125    </w:t>
            </w:r>
          </w:p>
        </w:tc>
      </w:tr>
      <w:tr w:rsidR="001B1564" w:rsidRPr="003527C4" w:rsidTr="00CC6BA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PO2</w:t>
            </w:r>
          </w:p>
        </w:tc>
        <w:tc>
          <w:tcPr>
            <w:tcW w:w="3402"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Regionálních </w:t>
            </w:r>
            <w:proofErr w:type="spellStart"/>
            <w:r w:rsidRPr="003527C4">
              <w:rPr>
                <w:rFonts w:ascii="Calibri" w:eastAsia="Times New Roman" w:hAnsi="Calibri" w:cs="Times New Roman"/>
                <w:color w:val="000000"/>
                <w:kern w:val="0"/>
                <w:sz w:val="22"/>
                <w:szCs w:val="22"/>
                <w:lang w:eastAsia="cs-CZ" w:bidi="ar-SA"/>
              </w:rPr>
              <w:t>VaV</w:t>
            </w:r>
            <w:proofErr w:type="spellEnd"/>
            <w:r w:rsidRPr="003527C4">
              <w:rPr>
                <w:rFonts w:ascii="Calibri" w:eastAsia="Times New Roman" w:hAnsi="Calibri" w:cs="Times New Roman"/>
                <w:color w:val="000000"/>
                <w:kern w:val="0"/>
                <w:sz w:val="22"/>
                <w:szCs w:val="22"/>
                <w:lang w:eastAsia="cs-CZ" w:bidi="ar-SA"/>
              </w:rPr>
              <w:t xml:space="preserve"> centra</w:t>
            </w:r>
          </w:p>
        </w:tc>
        <w:tc>
          <w:tcPr>
            <w:tcW w:w="1559"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40</w:t>
            </w:r>
          </w:p>
        </w:tc>
        <w:tc>
          <w:tcPr>
            <w:tcW w:w="1226"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                           806    </w:t>
            </w:r>
          </w:p>
        </w:tc>
        <w:tc>
          <w:tcPr>
            <w:tcW w:w="1417"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                                22 125    </w:t>
            </w:r>
          </w:p>
        </w:tc>
      </w:tr>
      <w:tr w:rsidR="001B1564" w:rsidRPr="003527C4" w:rsidTr="00CC6BA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PO3</w:t>
            </w:r>
          </w:p>
        </w:tc>
        <w:tc>
          <w:tcPr>
            <w:tcW w:w="3402"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Komercializace a popularizace </w:t>
            </w:r>
            <w:proofErr w:type="spellStart"/>
            <w:r w:rsidRPr="003527C4">
              <w:rPr>
                <w:rFonts w:ascii="Calibri" w:eastAsia="Times New Roman" w:hAnsi="Calibri" w:cs="Times New Roman"/>
                <w:color w:val="000000"/>
                <w:kern w:val="0"/>
                <w:sz w:val="22"/>
                <w:szCs w:val="22"/>
                <w:lang w:eastAsia="cs-CZ" w:bidi="ar-SA"/>
              </w:rPr>
              <w:t>VaV</w:t>
            </w:r>
            <w:proofErr w:type="spellEnd"/>
            <w:r w:rsidRPr="003527C4">
              <w:rPr>
                <w:rFonts w:ascii="Calibri" w:eastAsia="Times New Roman" w:hAnsi="Calibri" w:cs="Times New Roman"/>
                <w:color w:val="000000"/>
                <w:kern w:val="0"/>
                <w:sz w:val="22"/>
                <w:szCs w:val="22"/>
                <w:lang w:eastAsia="cs-CZ" w:bidi="ar-SA"/>
              </w:rPr>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62</w:t>
            </w:r>
          </w:p>
        </w:tc>
        <w:tc>
          <w:tcPr>
            <w:tcW w:w="1226"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                           251    </w:t>
            </w:r>
          </w:p>
        </w:tc>
        <w:tc>
          <w:tcPr>
            <w:tcW w:w="1417"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                                  6 890    </w:t>
            </w:r>
          </w:p>
        </w:tc>
      </w:tr>
      <w:tr w:rsidR="001B1564" w:rsidRPr="003527C4" w:rsidTr="00CC6BA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PO4</w:t>
            </w:r>
          </w:p>
        </w:tc>
        <w:tc>
          <w:tcPr>
            <w:tcW w:w="3402"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Infrastruktura vysokých škol</w:t>
            </w:r>
          </w:p>
        </w:tc>
        <w:tc>
          <w:tcPr>
            <w:tcW w:w="1559"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836126">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66</w:t>
            </w:r>
          </w:p>
        </w:tc>
        <w:tc>
          <w:tcPr>
            <w:tcW w:w="1226"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                           487    </w:t>
            </w:r>
          </w:p>
        </w:tc>
        <w:tc>
          <w:tcPr>
            <w:tcW w:w="1417" w:type="dxa"/>
            <w:tcBorders>
              <w:top w:val="nil"/>
              <w:left w:val="nil"/>
              <w:bottom w:val="single" w:sz="4" w:space="0" w:color="auto"/>
              <w:right w:val="single" w:sz="4" w:space="0" w:color="auto"/>
            </w:tcBorders>
            <w:shd w:val="clear" w:color="auto" w:fill="auto"/>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color w:val="000000"/>
                <w:kern w:val="0"/>
                <w:sz w:val="22"/>
                <w:szCs w:val="22"/>
                <w:lang w:eastAsia="cs-CZ" w:bidi="ar-SA"/>
              </w:rPr>
            </w:pPr>
            <w:r w:rsidRPr="003527C4">
              <w:rPr>
                <w:rFonts w:ascii="Calibri" w:eastAsia="Times New Roman" w:hAnsi="Calibri" w:cs="Times New Roman"/>
                <w:color w:val="000000"/>
                <w:kern w:val="0"/>
                <w:sz w:val="22"/>
                <w:szCs w:val="22"/>
                <w:lang w:eastAsia="cs-CZ" w:bidi="ar-SA"/>
              </w:rPr>
              <w:t xml:space="preserve">                                13 368    </w:t>
            </w:r>
          </w:p>
        </w:tc>
      </w:tr>
      <w:tr w:rsidR="001B1564" w:rsidRPr="003527C4" w:rsidTr="00CC6BA5">
        <w:trPr>
          <w:trHeight w:val="300"/>
        </w:trPr>
        <w:tc>
          <w:tcPr>
            <w:tcW w:w="4318" w:type="dxa"/>
            <w:gridSpan w:val="2"/>
            <w:tcBorders>
              <w:top w:val="single" w:sz="4" w:space="0" w:color="auto"/>
              <w:left w:val="single" w:sz="4" w:space="0" w:color="auto"/>
              <w:bottom w:val="single" w:sz="4" w:space="0" w:color="auto"/>
              <w:right w:val="single" w:sz="4" w:space="0" w:color="000000"/>
            </w:tcBorders>
            <w:shd w:val="clear" w:color="000000" w:fill="C4D79B"/>
            <w:noWrap/>
            <w:vAlign w:val="bottom"/>
            <w:hideMark/>
          </w:tcPr>
          <w:p w:rsidR="00836126" w:rsidRPr="003527C4" w:rsidRDefault="00836126" w:rsidP="00836126">
            <w:pPr>
              <w:widowControl/>
              <w:suppressAutoHyphens w:val="0"/>
              <w:autoSpaceDN/>
              <w:textAlignment w:val="auto"/>
              <w:rPr>
                <w:rFonts w:ascii="Calibri" w:eastAsia="Times New Roman" w:hAnsi="Calibri" w:cs="Times New Roman"/>
                <w:b/>
                <w:bCs/>
                <w:color w:val="000000"/>
                <w:kern w:val="0"/>
                <w:sz w:val="22"/>
                <w:szCs w:val="22"/>
                <w:lang w:eastAsia="cs-CZ" w:bidi="ar-SA"/>
              </w:rPr>
            </w:pPr>
            <w:r w:rsidRPr="003527C4">
              <w:rPr>
                <w:rFonts w:ascii="Calibri" w:eastAsia="Times New Roman" w:hAnsi="Calibri" w:cs="Times New Roman"/>
                <w:b/>
                <w:bCs/>
                <w:color w:val="000000"/>
                <w:kern w:val="0"/>
                <w:sz w:val="22"/>
                <w:szCs w:val="22"/>
                <w:lang w:eastAsia="cs-CZ" w:bidi="ar-SA"/>
              </w:rPr>
              <w:t>CELKEM</w:t>
            </w:r>
          </w:p>
        </w:tc>
        <w:tc>
          <w:tcPr>
            <w:tcW w:w="1559" w:type="dxa"/>
            <w:tcBorders>
              <w:top w:val="nil"/>
              <w:left w:val="nil"/>
              <w:bottom w:val="single" w:sz="4" w:space="0" w:color="auto"/>
              <w:right w:val="single" w:sz="4" w:space="0" w:color="auto"/>
            </w:tcBorders>
            <w:shd w:val="clear" w:color="000000" w:fill="C4D79B"/>
            <w:noWrap/>
            <w:vAlign w:val="bottom"/>
            <w:hideMark/>
          </w:tcPr>
          <w:p w:rsidR="00836126" w:rsidRPr="003527C4" w:rsidRDefault="00836126" w:rsidP="00836126">
            <w:pPr>
              <w:widowControl/>
              <w:suppressAutoHyphens w:val="0"/>
              <w:autoSpaceDN/>
              <w:jc w:val="right"/>
              <w:textAlignment w:val="auto"/>
              <w:rPr>
                <w:rFonts w:ascii="Calibri" w:eastAsia="Times New Roman" w:hAnsi="Calibri" w:cs="Times New Roman"/>
                <w:b/>
                <w:bCs/>
                <w:color w:val="000000"/>
                <w:kern w:val="0"/>
                <w:sz w:val="22"/>
                <w:szCs w:val="22"/>
                <w:lang w:eastAsia="cs-CZ" w:bidi="ar-SA"/>
              </w:rPr>
            </w:pPr>
            <w:r w:rsidRPr="003527C4">
              <w:rPr>
                <w:rFonts w:ascii="Calibri" w:eastAsia="Times New Roman" w:hAnsi="Calibri" w:cs="Times New Roman"/>
                <w:b/>
                <w:bCs/>
                <w:color w:val="000000"/>
                <w:kern w:val="0"/>
                <w:sz w:val="22"/>
                <w:szCs w:val="22"/>
                <w:lang w:eastAsia="cs-CZ" w:bidi="ar-SA"/>
              </w:rPr>
              <w:t>176</w:t>
            </w:r>
          </w:p>
        </w:tc>
        <w:tc>
          <w:tcPr>
            <w:tcW w:w="1226" w:type="dxa"/>
            <w:tcBorders>
              <w:top w:val="nil"/>
              <w:left w:val="nil"/>
              <w:bottom w:val="single" w:sz="4" w:space="0" w:color="auto"/>
              <w:right w:val="single" w:sz="4" w:space="0" w:color="auto"/>
            </w:tcBorders>
            <w:shd w:val="clear" w:color="000000" w:fill="C4D79B"/>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b/>
                <w:bCs/>
                <w:color w:val="000000"/>
                <w:kern w:val="0"/>
                <w:sz w:val="22"/>
                <w:szCs w:val="22"/>
                <w:lang w:eastAsia="cs-CZ" w:bidi="ar-SA"/>
              </w:rPr>
            </w:pPr>
            <w:r w:rsidRPr="003527C4">
              <w:rPr>
                <w:rFonts w:ascii="Calibri" w:eastAsia="Times New Roman" w:hAnsi="Calibri" w:cs="Times New Roman"/>
                <w:b/>
                <w:bCs/>
                <w:color w:val="000000"/>
                <w:kern w:val="0"/>
                <w:sz w:val="22"/>
                <w:szCs w:val="22"/>
                <w:lang w:eastAsia="cs-CZ" w:bidi="ar-SA"/>
              </w:rPr>
              <w:t xml:space="preserve">                       2 350    </w:t>
            </w:r>
          </w:p>
        </w:tc>
        <w:tc>
          <w:tcPr>
            <w:tcW w:w="1417" w:type="dxa"/>
            <w:tcBorders>
              <w:top w:val="nil"/>
              <w:left w:val="nil"/>
              <w:bottom w:val="single" w:sz="4" w:space="0" w:color="auto"/>
              <w:right w:val="single" w:sz="4" w:space="0" w:color="auto"/>
            </w:tcBorders>
            <w:shd w:val="clear" w:color="000000" w:fill="C4D79B"/>
            <w:noWrap/>
            <w:vAlign w:val="bottom"/>
            <w:hideMark/>
          </w:tcPr>
          <w:p w:rsidR="00836126" w:rsidRPr="003527C4" w:rsidRDefault="00836126" w:rsidP="001B1564">
            <w:pPr>
              <w:widowControl/>
              <w:suppressAutoHyphens w:val="0"/>
              <w:autoSpaceDN/>
              <w:jc w:val="right"/>
              <w:textAlignment w:val="auto"/>
              <w:rPr>
                <w:rFonts w:ascii="Calibri" w:eastAsia="Times New Roman" w:hAnsi="Calibri" w:cs="Times New Roman"/>
                <w:b/>
                <w:bCs/>
                <w:color w:val="000000"/>
                <w:kern w:val="0"/>
                <w:sz w:val="22"/>
                <w:szCs w:val="22"/>
                <w:lang w:eastAsia="cs-CZ" w:bidi="ar-SA"/>
              </w:rPr>
            </w:pPr>
            <w:r w:rsidRPr="003527C4">
              <w:rPr>
                <w:rFonts w:ascii="Calibri" w:eastAsia="Times New Roman" w:hAnsi="Calibri" w:cs="Times New Roman"/>
                <w:b/>
                <w:bCs/>
                <w:color w:val="000000"/>
                <w:kern w:val="0"/>
                <w:sz w:val="22"/>
                <w:szCs w:val="22"/>
                <w:lang w:eastAsia="cs-CZ" w:bidi="ar-SA"/>
              </w:rPr>
              <w:t xml:space="preserve">                                64 508    </w:t>
            </w:r>
          </w:p>
        </w:tc>
      </w:tr>
    </w:tbl>
    <w:p w:rsidR="00CC6BA5" w:rsidRPr="003527C4" w:rsidRDefault="00CC6BA5" w:rsidP="0076059B">
      <w:pPr>
        <w:ind w:firstLine="426"/>
        <w:jc w:val="both"/>
        <w:rPr>
          <w:rFonts w:eastAsia="Times New Roman" w:cs="Tahoma"/>
          <w:color w:val="000000"/>
        </w:rPr>
      </w:pPr>
    </w:p>
    <w:p w:rsidR="00CC6BA5" w:rsidRPr="003527C4" w:rsidRDefault="00CC6BA5" w:rsidP="00CC6BA5">
      <w:pPr>
        <w:widowControl/>
        <w:suppressAutoHyphens w:val="0"/>
        <w:autoSpaceDN/>
        <w:textAlignment w:val="auto"/>
        <w:rPr>
          <w:rFonts w:eastAsia="Times New Roman" w:cs="Tahoma"/>
          <w:color w:val="000000"/>
        </w:rPr>
      </w:pPr>
      <w:r w:rsidRPr="003527C4">
        <w:rPr>
          <w:rFonts w:eastAsia="Times New Roman" w:cs="Tahoma"/>
          <w:color w:val="000000"/>
        </w:rPr>
        <w:t xml:space="preserve">* v rámci PO4 jsou zahrnuty i projekty výzvy 3.4 „Podpora infrastruktury pro výuku spojenou s výzkumem, PO 4, OP </w:t>
      </w:r>
      <w:proofErr w:type="spellStart"/>
      <w:r w:rsidRPr="003527C4">
        <w:rPr>
          <w:rFonts w:eastAsia="Times New Roman" w:cs="Tahoma"/>
          <w:color w:val="000000"/>
        </w:rPr>
        <w:t>VaVpI</w:t>
      </w:r>
      <w:proofErr w:type="spellEnd"/>
      <w:r w:rsidRPr="003527C4">
        <w:rPr>
          <w:rFonts w:eastAsia="Times New Roman" w:cs="Tahoma"/>
          <w:color w:val="000000"/>
        </w:rPr>
        <w:t>“</w:t>
      </w:r>
    </w:p>
    <w:p w:rsidR="00CC6BA5" w:rsidRPr="003527C4" w:rsidRDefault="00CC6BA5" w:rsidP="00CC6BA5">
      <w:pPr>
        <w:jc w:val="both"/>
        <w:rPr>
          <w:rFonts w:eastAsia="Times New Roman" w:cs="Tahoma"/>
          <w:color w:val="000000"/>
        </w:rPr>
      </w:pPr>
      <w:r w:rsidRPr="003527C4">
        <w:rPr>
          <w:rFonts w:eastAsia="Times New Roman" w:cs="Tahoma"/>
          <w:color w:val="000000"/>
        </w:rPr>
        <w:t xml:space="preserve">** přepočteno dle kurzu ČNB k </w:t>
      </w:r>
      <w:proofErr w:type="gramStart"/>
      <w:r w:rsidRPr="003527C4">
        <w:rPr>
          <w:rFonts w:eastAsia="Times New Roman" w:cs="Tahoma"/>
          <w:color w:val="000000"/>
        </w:rPr>
        <w:t>30.6. 2014</w:t>
      </w:r>
      <w:proofErr w:type="gramEnd"/>
    </w:p>
    <w:p w:rsidR="00BC1F11" w:rsidRPr="003527C4" w:rsidRDefault="00BC1F11" w:rsidP="00D038AE">
      <w:pPr>
        <w:keepNext/>
        <w:ind w:left="567"/>
        <w:jc w:val="both"/>
        <w:rPr>
          <w:rFonts w:ascii="Calibri" w:hAnsi="Calibri" w:cs="Calibri"/>
          <w:b/>
          <w:i/>
        </w:rPr>
      </w:pPr>
      <w:r w:rsidRPr="003527C4">
        <w:rPr>
          <w:rFonts w:ascii="Calibri" w:hAnsi="Calibri" w:cs="Calibri"/>
          <w:b/>
          <w:i/>
        </w:rPr>
        <w:t xml:space="preserve">Obrázek 1: Regionální diferenciace alokovaných finančních prostředků OP </w:t>
      </w:r>
      <w:proofErr w:type="spellStart"/>
      <w:r w:rsidRPr="003527C4">
        <w:rPr>
          <w:rFonts w:ascii="Calibri" w:hAnsi="Calibri" w:cs="Calibri"/>
          <w:b/>
          <w:i/>
        </w:rPr>
        <w:t>VaVpI</w:t>
      </w:r>
      <w:proofErr w:type="spellEnd"/>
    </w:p>
    <w:p w:rsidR="00BC1F11" w:rsidRPr="003527C4" w:rsidRDefault="00BC1F11" w:rsidP="00D038AE">
      <w:pPr>
        <w:ind w:firstLine="426"/>
        <w:jc w:val="both"/>
        <w:rPr>
          <w:rFonts w:eastAsia="Times New Roman" w:cs="Tahoma"/>
          <w:i/>
          <w:color w:val="000000"/>
        </w:rPr>
      </w:pPr>
      <w:r w:rsidRPr="003527C4">
        <w:rPr>
          <w:rFonts w:eastAsia="Times New Roman" w:cs="Tahoma"/>
          <w:i/>
          <w:noProof/>
          <w:color w:val="000000"/>
          <w:lang w:eastAsia="cs-CZ" w:bidi="ar-SA"/>
        </w:rPr>
        <w:drawing>
          <wp:inline distT="0" distB="0" distL="0" distR="0">
            <wp:extent cx="5372258" cy="3790950"/>
            <wp:effectExtent l="0" t="0" r="0" b="0"/>
            <wp:docPr id="2"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togramy program.png"/>
                    <pic:cNvPicPr/>
                  </pic:nvPicPr>
                  <pic:blipFill rotWithShape="1">
                    <a:blip r:embed="rId10" cstate="print">
                      <a:extLst>
                        <a:ext uri="{28A0092B-C50C-407E-A947-70E740481C1C}">
                          <a14:useLocalDpi xmlns:a14="http://schemas.microsoft.com/office/drawing/2010/main" val="0"/>
                        </a:ext>
                      </a:extLst>
                    </a:blip>
                    <a:srcRect l="8113" t="10596" r="6954" b="9492"/>
                    <a:stretch/>
                  </pic:blipFill>
                  <pic:spPr bwMode="auto">
                    <a:xfrm>
                      <a:off x="0" y="0"/>
                      <a:ext cx="5374630" cy="3792623"/>
                    </a:xfrm>
                    <a:prstGeom prst="rect">
                      <a:avLst/>
                    </a:prstGeom>
                    <a:ln>
                      <a:noFill/>
                    </a:ln>
                    <a:extLst>
                      <a:ext uri="{53640926-AAD7-44D8-BBD7-CCE9431645EC}">
                        <a14:shadowObscured xmlns:a14="http://schemas.microsoft.com/office/drawing/2010/main"/>
                      </a:ext>
                    </a:extLst>
                  </pic:spPr>
                </pic:pic>
              </a:graphicData>
            </a:graphic>
          </wp:inline>
        </w:drawing>
      </w:r>
    </w:p>
    <w:p w:rsidR="00BC1F11" w:rsidRPr="003527C4" w:rsidRDefault="00BC1F11" w:rsidP="00D038AE">
      <w:pPr>
        <w:ind w:left="426"/>
        <w:jc w:val="both"/>
        <w:rPr>
          <w:rFonts w:eastAsia="Times New Roman" w:cs="Tahoma"/>
          <w:i/>
          <w:color w:val="000000"/>
        </w:rPr>
      </w:pPr>
      <w:r w:rsidRPr="003527C4">
        <w:rPr>
          <w:rFonts w:eastAsia="Times New Roman" w:cs="Tahoma"/>
          <w:i/>
          <w:color w:val="000000"/>
        </w:rPr>
        <w:t>Zdroj: vlastní zpracování na základě dat z IS MSC k 29. 11. 2013 (</w:t>
      </w:r>
      <w:r w:rsidR="003C4E65" w:rsidRPr="003527C4">
        <w:rPr>
          <w:rFonts w:eastAsia="Times New Roman" w:cs="Tahoma"/>
          <w:i/>
          <w:color w:val="000000"/>
        </w:rPr>
        <w:t xml:space="preserve">na mapě jsou uvedeny projekty všech výzev OP </w:t>
      </w:r>
      <w:proofErr w:type="spellStart"/>
      <w:r w:rsidR="003C4E65" w:rsidRPr="003527C4">
        <w:rPr>
          <w:rFonts w:eastAsia="Times New Roman" w:cs="Tahoma"/>
          <w:i/>
          <w:color w:val="000000"/>
        </w:rPr>
        <w:t>VaVpI</w:t>
      </w:r>
      <w:proofErr w:type="spellEnd"/>
      <w:r w:rsidR="003C4E65" w:rsidRPr="003527C4">
        <w:rPr>
          <w:rFonts w:eastAsia="Times New Roman" w:cs="Tahoma"/>
          <w:i/>
          <w:color w:val="000000"/>
        </w:rPr>
        <w:t xml:space="preserve"> s výjimkou</w:t>
      </w:r>
      <w:r w:rsidRPr="003527C4">
        <w:rPr>
          <w:rFonts w:eastAsia="Times New Roman" w:cs="Tahoma"/>
          <w:i/>
          <w:color w:val="000000"/>
        </w:rPr>
        <w:t xml:space="preserve"> nové výzvy 3.4</w:t>
      </w:r>
      <w:r w:rsidR="003C4E65" w:rsidRPr="003527C4">
        <w:rPr>
          <w:rFonts w:eastAsia="Times New Roman" w:cs="Tahoma"/>
          <w:i/>
          <w:color w:val="000000"/>
        </w:rPr>
        <w:t>, jejíž projekty zatím nejsou v realizaci</w:t>
      </w:r>
      <w:r w:rsidRPr="003527C4">
        <w:rPr>
          <w:rFonts w:eastAsia="Times New Roman" w:cs="Tahoma"/>
          <w:i/>
          <w:color w:val="000000"/>
        </w:rPr>
        <w:t>)</w:t>
      </w:r>
    </w:p>
    <w:p w:rsidR="00BC1F11" w:rsidRPr="003527C4" w:rsidRDefault="00BC1F11" w:rsidP="00D038AE">
      <w:pPr>
        <w:ind w:left="426"/>
        <w:jc w:val="both"/>
        <w:rPr>
          <w:rFonts w:eastAsia="Times New Roman" w:cs="Tahoma"/>
          <w:i/>
          <w:color w:val="000000"/>
        </w:rPr>
      </w:pPr>
      <w:r w:rsidRPr="003527C4">
        <w:rPr>
          <w:rFonts w:eastAsia="Times New Roman" w:cs="Tahoma"/>
          <w:i/>
          <w:color w:val="000000"/>
        </w:rPr>
        <w:t>Podíl financí schválených projektů byl počítán jako podíl součtu všech finančních prostředků z PO1,2,3 a 4 (projekty kryté Rozhodnutím/Smlouvou/Dodatkem) na celkovém objemu dosud schválených finančních prostředků.</w:t>
      </w:r>
    </w:p>
    <w:p w:rsidR="00BC1F11" w:rsidRPr="003527C4" w:rsidRDefault="00BC1F11" w:rsidP="00D038AE">
      <w:pPr>
        <w:ind w:left="426"/>
        <w:jc w:val="both"/>
        <w:rPr>
          <w:rFonts w:eastAsia="Times New Roman" w:cs="Tahoma"/>
          <w:i/>
          <w:color w:val="000000"/>
        </w:rPr>
      </w:pPr>
      <w:r w:rsidRPr="003527C4">
        <w:rPr>
          <w:rFonts w:eastAsia="Times New Roman" w:cs="Tahoma"/>
          <w:i/>
          <w:color w:val="000000"/>
        </w:rPr>
        <w:t>Diagramy vyjadřují absolutní velikost všech podaných projektových žádostí, přičemž jednotlivé výseče diagramu znázorňují, jaká část finančních prostředků byla schválena a jaká část (financí/projektů) byla zamítnuta. V rámci legendy je uveden formou diagramu pro názornost finanční objem odpovídající 4 mld. Kč.</w:t>
      </w:r>
    </w:p>
    <w:p w:rsidR="0074077A" w:rsidRPr="003527C4" w:rsidRDefault="0074077A" w:rsidP="0076059B">
      <w:pPr>
        <w:ind w:firstLine="426"/>
        <w:jc w:val="both"/>
        <w:rPr>
          <w:rFonts w:eastAsia="Times New Roman" w:cs="Tahoma"/>
          <w:color w:val="000000"/>
        </w:rPr>
      </w:pPr>
    </w:p>
    <w:p w:rsidR="0074077A" w:rsidRPr="003527C4" w:rsidRDefault="0074077A" w:rsidP="00CE5357">
      <w:pPr>
        <w:pStyle w:val="Nadpis3"/>
        <w:numPr>
          <w:ilvl w:val="2"/>
          <w:numId w:val="2"/>
        </w:numPr>
        <w:rPr>
          <w:rFonts w:ascii="Arial" w:hAnsi="Arial" w:cs="Arial"/>
          <w:color w:val="000000" w:themeColor="text1"/>
          <w:sz w:val="20"/>
          <w:szCs w:val="20"/>
        </w:rPr>
      </w:pPr>
      <w:r w:rsidRPr="003527C4">
        <w:rPr>
          <w:rFonts w:ascii="Arial" w:hAnsi="Arial" w:cs="Arial"/>
          <w:color w:val="000000" w:themeColor="text1"/>
          <w:sz w:val="20"/>
          <w:szCs w:val="20"/>
        </w:rPr>
        <w:t>Monitoring ve fázi realizace</w:t>
      </w:r>
    </w:p>
    <w:p w:rsidR="0074077A" w:rsidRPr="003527C4" w:rsidRDefault="0074077A" w:rsidP="00135436">
      <w:pPr>
        <w:jc w:val="both"/>
        <w:rPr>
          <w:rFonts w:eastAsia="Times New Roman" w:cs="Tahoma"/>
          <w:color w:val="000000"/>
        </w:rPr>
      </w:pPr>
    </w:p>
    <w:p w:rsidR="0076059B" w:rsidRPr="003527C4" w:rsidRDefault="00135436" w:rsidP="00135436">
      <w:pPr>
        <w:jc w:val="both"/>
        <w:rPr>
          <w:rFonts w:ascii="Tahoma" w:eastAsia="Times New Roman" w:hAnsi="Tahoma" w:cs="Tahoma"/>
          <w:color w:val="000000"/>
          <w:sz w:val="20"/>
          <w:szCs w:val="20"/>
        </w:rPr>
      </w:pPr>
      <w:r w:rsidRPr="003527C4">
        <w:rPr>
          <w:rFonts w:eastAsia="Times New Roman" w:cs="Tahoma"/>
          <w:color w:val="000000"/>
        </w:rPr>
        <w:t>P</w:t>
      </w:r>
      <w:r w:rsidR="0076059B" w:rsidRPr="003527C4">
        <w:rPr>
          <w:rFonts w:eastAsia="Times New Roman" w:cs="Tahoma"/>
          <w:color w:val="000000"/>
        </w:rPr>
        <w:t xml:space="preserve">rojekty OP </w:t>
      </w:r>
      <w:proofErr w:type="spellStart"/>
      <w:r w:rsidR="0076059B" w:rsidRPr="003527C4">
        <w:rPr>
          <w:rFonts w:eastAsia="Times New Roman" w:cs="Tahoma"/>
          <w:color w:val="000000"/>
        </w:rPr>
        <w:t>VaVpI</w:t>
      </w:r>
      <w:proofErr w:type="spellEnd"/>
      <w:r w:rsidR="0076059B" w:rsidRPr="003527C4">
        <w:rPr>
          <w:rFonts w:eastAsia="Times New Roman" w:cs="Tahoma"/>
          <w:color w:val="000000"/>
        </w:rPr>
        <w:t xml:space="preserve"> jsou ve fázi realizace důsledně monitorovány </w:t>
      </w:r>
      <w:r w:rsidR="00BC1F11" w:rsidRPr="003527C4">
        <w:rPr>
          <w:rFonts w:eastAsia="Times New Roman" w:cs="Tahoma"/>
          <w:color w:val="000000"/>
        </w:rPr>
        <w:t>ŘO</w:t>
      </w:r>
      <w:r w:rsidR="00EF3F0A" w:rsidRPr="003527C4">
        <w:rPr>
          <w:rFonts w:eastAsia="Times New Roman" w:cs="Tahoma"/>
          <w:color w:val="000000"/>
        </w:rPr>
        <w:t xml:space="preserve"> </w:t>
      </w:r>
      <w:r w:rsidR="0076059B" w:rsidRPr="003527C4">
        <w:rPr>
          <w:rFonts w:eastAsia="Times New Roman" w:cs="Tahoma"/>
          <w:color w:val="000000"/>
        </w:rPr>
        <w:t xml:space="preserve">OP </w:t>
      </w:r>
      <w:proofErr w:type="spellStart"/>
      <w:r w:rsidR="0076059B" w:rsidRPr="003527C4">
        <w:rPr>
          <w:rFonts w:eastAsia="Times New Roman" w:cs="Tahoma"/>
          <w:color w:val="000000"/>
        </w:rPr>
        <w:t>VaVpI</w:t>
      </w:r>
      <w:proofErr w:type="spellEnd"/>
      <w:r w:rsidR="0076059B" w:rsidRPr="003527C4">
        <w:rPr>
          <w:rFonts w:eastAsia="Times New Roman" w:cs="Tahoma"/>
          <w:color w:val="000000"/>
        </w:rPr>
        <w:t xml:space="preserve">. </w:t>
      </w:r>
      <w:r w:rsidR="0074077A" w:rsidRPr="003527C4">
        <w:rPr>
          <w:rFonts w:eastAsia="Times New Roman" w:cs="Tahoma"/>
          <w:color w:val="000000"/>
        </w:rPr>
        <w:t xml:space="preserve">Komunikace s příjemci probíhá takřka na denní bázi. </w:t>
      </w:r>
      <w:r w:rsidR="0076059B" w:rsidRPr="003527C4">
        <w:rPr>
          <w:rFonts w:eastAsia="Times New Roman" w:cs="Tahoma"/>
          <w:color w:val="000000"/>
        </w:rPr>
        <w:t xml:space="preserve">Paralelně s implementací probíhají audity, veřejnosprávní kontroly na místě a evaluace. Evaluace </w:t>
      </w:r>
      <w:proofErr w:type="spellStart"/>
      <w:r w:rsidR="005B0ED2" w:rsidRPr="003527C4">
        <w:rPr>
          <w:rFonts w:eastAsia="Times New Roman" w:cs="Tahoma"/>
          <w:color w:val="000000"/>
        </w:rPr>
        <w:t>VaV</w:t>
      </w:r>
      <w:proofErr w:type="spellEnd"/>
      <w:r w:rsidR="005B0ED2" w:rsidRPr="003527C4">
        <w:rPr>
          <w:rFonts w:eastAsia="Times New Roman" w:cs="Tahoma"/>
          <w:color w:val="000000"/>
        </w:rPr>
        <w:t xml:space="preserve"> </w:t>
      </w:r>
      <w:r w:rsidR="0076059B" w:rsidRPr="003527C4">
        <w:rPr>
          <w:rFonts w:eastAsia="Times New Roman" w:cs="Tahoma"/>
          <w:color w:val="000000"/>
        </w:rPr>
        <w:t>center ko</w:t>
      </w:r>
      <w:r w:rsidR="00D45AB8" w:rsidRPr="003527C4">
        <w:rPr>
          <w:rFonts w:eastAsia="Times New Roman" w:cs="Tahoma"/>
          <w:color w:val="000000"/>
        </w:rPr>
        <w:t>ordi</w:t>
      </w:r>
      <w:r w:rsidR="0076059B" w:rsidRPr="003527C4">
        <w:rPr>
          <w:rFonts w:eastAsia="Times New Roman" w:cs="Tahoma"/>
          <w:color w:val="000000"/>
        </w:rPr>
        <w:t xml:space="preserve">nuje ŘO OP </w:t>
      </w:r>
      <w:proofErr w:type="spellStart"/>
      <w:r w:rsidR="0076059B" w:rsidRPr="003527C4">
        <w:rPr>
          <w:rFonts w:eastAsia="Times New Roman" w:cs="Tahoma"/>
          <w:color w:val="000000"/>
        </w:rPr>
        <w:t>VaVpI</w:t>
      </w:r>
      <w:proofErr w:type="spellEnd"/>
      <w:r w:rsidR="0076059B" w:rsidRPr="003527C4">
        <w:rPr>
          <w:rFonts w:eastAsia="Times New Roman" w:cs="Tahoma"/>
          <w:color w:val="000000"/>
        </w:rPr>
        <w:t xml:space="preserve"> za účasti mezinárodních odborníků</w:t>
      </w:r>
      <w:r w:rsidR="00D45AB8" w:rsidRPr="003527C4">
        <w:rPr>
          <w:rFonts w:eastAsia="Times New Roman" w:cs="Tahoma"/>
          <w:color w:val="000000"/>
        </w:rPr>
        <w:t>. J</w:t>
      </w:r>
      <w:r w:rsidR="0076059B" w:rsidRPr="003527C4">
        <w:rPr>
          <w:rFonts w:eastAsia="Times New Roman" w:cs="Tahoma"/>
          <w:color w:val="000000"/>
        </w:rPr>
        <w:t xml:space="preserve">ejich účelem je analyzovat současný stav a poskytnout doporučení k identifikovaným problémům a hrozbám, </w:t>
      </w:r>
      <w:r w:rsidR="003A3D5C" w:rsidRPr="003527C4">
        <w:rPr>
          <w:rFonts w:eastAsia="Times New Roman" w:cs="Tahoma"/>
          <w:color w:val="000000"/>
        </w:rPr>
        <w:t xml:space="preserve">zároveň </w:t>
      </w:r>
      <w:r w:rsidR="0076059B" w:rsidRPr="003527C4">
        <w:rPr>
          <w:rFonts w:eastAsia="Times New Roman" w:cs="Tahoma"/>
          <w:color w:val="000000"/>
        </w:rPr>
        <w:t xml:space="preserve">evaluace analyzují výzkumný potenciál center a vnitřní faktory ovlivňující udržitelnost. Souhrnná evaluační zpráva zpracována na základě proběhlých 17 evaluací poskytla ŘO OP </w:t>
      </w:r>
      <w:proofErr w:type="spellStart"/>
      <w:r w:rsidR="0076059B" w:rsidRPr="003527C4">
        <w:rPr>
          <w:rFonts w:eastAsia="Times New Roman" w:cs="Tahoma"/>
          <w:color w:val="000000"/>
        </w:rPr>
        <w:t>VaVpI</w:t>
      </w:r>
      <w:proofErr w:type="spellEnd"/>
      <w:r w:rsidR="0076059B" w:rsidRPr="003527C4">
        <w:rPr>
          <w:rFonts w:eastAsia="Times New Roman" w:cs="Tahoma"/>
          <w:color w:val="000000"/>
        </w:rPr>
        <w:t xml:space="preserve"> cenné informace pro budoucí udržitelnost center. </w:t>
      </w:r>
    </w:p>
    <w:p w:rsidR="00BC1F11" w:rsidRPr="003527C4" w:rsidRDefault="00BC1F11" w:rsidP="009A7798"/>
    <w:p w:rsidR="0011273F" w:rsidRPr="003527C4" w:rsidRDefault="0011273F" w:rsidP="00CE5357">
      <w:pPr>
        <w:pStyle w:val="Nadpis3"/>
        <w:numPr>
          <w:ilvl w:val="2"/>
          <w:numId w:val="2"/>
        </w:numPr>
        <w:rPr>
          <w:rFonts w:ascii="Arial" w:hAnsi="Arial" w:cs="Arial"/>
          <w:color w:val="000000" w:themeColor="text1"/>
          <w:sz w:val="20"/>
          <w:szCs w:val="20"/>
        </w:rPr>
      </w:pPr>
      <w:r w:rsidRPr="003527C4">
        <w:rPr>
          <w:rFonts w:ascii="Arial" w:hAnsi="Arial" w:cs="Arial"/>
          <w:color w:val="000000" w:themeColor="text1"/>
          <w:sz w:val="20"/>
          <w:szCs w:val="20"/>
        </w:rPr>
        <w:t>Monitoring ve fázi udržitelnosti</w:t>
      </w:r>
    </w:p>
    <w:p w:rsidR="00367BC9" w:rsidRPr="003527C4" w:rsidRDefault="00367BC9" w:rsidP="00367BC9"/>
    <w:p w:rsidR="006D53F9" w:rsidRPr="003527C4" w:rsidRDefault="006D53F9" w:rsidP="006D53F9">
      <w:pPr>
        <w:spacing w:after="120"/>
        <w:jc w:val="both"/>
        <w:rPr>
          <w:szCs w:val="28"/>
        </w:rPr>
      </w:pPr>
      <w:r w:rsidRPr="003527C4">
        <w:rPr>
          <w:szCs w:val="28"/>
        </w:rPr>
        <w:t xml:space="preserve">ŘO OP </w:t>
      </w:r>
      <w:proofErr w:type="spellStart"/>
      <w:r w:rsidRPr="003527C4">
        <w:rPr>
          <w:szCs w:val="28"/>
        </w:rPr>
        <w:t>VaVpI</w:t>
      </w:r>
      <w:proofErr w:type="spellEnd"/>
      <w:r w:rsidRPr="003527C4">
        <w:rPr>
          <w:szCs w:val="28"/>
        </w:rPr>
        <w:t xml:space="preserve"> monitoruje podpořené projekty </w:t>
      </w:r>
      <w:r w:rsidR="0074077A" w:rsidRPr="003527C4">
        <w:rPr>
          <w:szCs w:val="28"/>
        </w:rPr>
        <w:t xml:space="preserve">i v době </w:t>
      </w:r>
      <w:r w:rsidRPr="003527C4">
        <w:rPr>
          <w:szCs w:val="28"/>
        </w:rPr>
        <w:t>udržitelnosti</w:t>
      </w:r>
      <w:r w:rsidR="003A3D5C" w:rsidRPr="003527C4">
        <w:rPr>
          <w:szCs w:val="28"/>
        </w:rPr>
        <w:t>.</w:t>
      </w:r>
      <w:r w:rsidRPr="003527C4">
        <w:rPr>
          <w:szCs w:val="28"/>
        </w:rPr>
        <w:t xml:space="preserve"> </w:t>
      </w:r>
      <w:r w:rsidR="003A3D5C" w:rsidRPr="003527C4">
        <w:rPr>
          <w:szCs w:val="28"/>
        </w:rPr>
        <w:t>P</w:t>
      </w:r>
      <w:r w:rsidRPr="003527C4">
        <w:rPr>
          <w:szCs w:val="28"/>
        </w:rPr>
        <w:t>říjemci OP </w:t>
      </w:r>
      <w:proofErr w:type="spellStart"/>
      <w:r w:rsidRPr="003527C4">
        <w:rPr>
          <w:szCs w:val="28"/>
        </w:rPr>
        <w:t>VaVpI</w:t>
      </w:r>
      <w:proofErr w:type="spellEnd"/>
      <w:r w:rsidRPr="003527C4">
        <w:rPr>
          <w:szCs w:val="28"/>
        </w:rPr>
        <w:t xml:space="preserve"> průběžně aktualizují provozní rozpočty podpořených </w:t>
      </w:r>
      <w:proofErr w:type="spellStart"/>
      <w:r w:rsidRPr="003527C4">
        <w:rPr>
          <w:szCs w:val="28"/>
        </w:rPr>
        <w:t>VaV</w:t>
      </w:r>
      <w:proofErr w:type="spellEnd"/>
      <w:r w:rsidRPr="003527C4">
        <w:rPr>
          <w:szCs w:val="28"/>
        </w:rPr>
        <w:t xml:space="preserve"> center za celé období realizace a udržitelnosti, v rámci aktualizace výpočtu finanční mezery v</w:t>
      </w:r>
      <w:r w:rsidR="00135436" w:rsidRPr="003527C4">
        <w:rPr>
          <w:szCs w:val="28"/>
        </w:rPr>
        <w:t> Elektronickém systému operačního programu (dále jen</w:t>
      </w:r>
      <w:r w:rsidRPr="003527C4">
        <w:rPr>
          <w:szCs w:val="28"/>
        </w:rPr>
        <w:t xml:space="preserve"> </w:t>
      </w:r>
      <w:r w:rsidR="00135436" w:rsidRPr="003527C4">
        <w:rPr>
          <w:szCs w:val="28"/>
        </w:rPr>
        <w:t>„</w:t>
      </w:r>
      <w:r w:rsidRPr="003527C4">
        <w:rPr>
          <w:szCs w:val="28"/>
        </w:rPr>
        <w:t>ESOP</w:t>
      </w:r>
      <w:r w:rsidR="00135436" w:rsidRPr="003527C4">
        <w:rPr>
          <w:szCs w:val="28"/>
        </w:rPr>
        <w:t>“)</w:t>
      </w:r>
      <w:r w:rsidR="003A3D5C" w:rsidRPr="003527C4">
        <w:rPr>
          <w:szCs w:val="28"/>
        </w:rPr>
        <w:t>.</w:t>
      </w:r>
      <w:r w:rsidRPr="003527C4">
        <w:rPr>
          <w:szCs w:val="28"/>
        </w:rPr>
        <w:t xml:space="preserve"> </w:t>
      </w:r>
      <w:r w:rsidR="003A3D5C" w:rsidRPr="003527C4">
        <w:rPr>
          <w:szCs w:val="28"/>
        </w:rPr>
        <w:t>Z</w:t>
      </w:r>
      <w:r w:rsidR="00D038AE" w:rsidRPr="003527C4">
        <w:rPr>
          <w:szCs w:val="28"/>
        </w:rPr>
        <w:t xml:space="preserve">ískaná </w:t>
      </w:r>
      <w:r w:rsidRPr="003527C4">
        <w:rPr>
          <w:szCs w:val="28"/>
        </w:rPr>
        <w:t>data pak slouží pro agregované přehledy</w:t>
      </w:r>
      <w:r w:rsidR="009D75B2">
        <w:rPr>
          <w:szCs w:val="28"/>
        </w:rPr>
        <w:t xml:space="preserve"> plánovaných provozních výdajů </w:t>
      </w:r>
      <w:proofErr w:type="spellStart"/>
      <w:r w:rsidR="009D75B2">
        <w:rPr>
          <w:szCs w:val="28"/>
        </w:rPr>
        <w:t>VaV</w:t>
      </w:r>
      <w:proofErr w:type="spellEnd"/>
      <w:r w:rsidR="009D75B2">
        <w:rPr>
          <w:szCs w:val="28"/>
        </w:rPr>
        <w:t xml:space="preserve"> center a zdrojů pro jejich úhradu</w:t>
      </w:r>
      <w:r w:rsidRPr="003527C4">
        <w:rPr>
          <w:szCs w:val="28"/>
        </w:rPr>
        <w:t xml:space="preserve">. </w:t>
      </w:r>
    </w:p>
    <w:p w:rsidR="001F79F9" w:rsidRPr="003527C4" w:rsidRDefault="006D53F9" w:rsidP="001F79F9">
      <w:pPr>
        <w:rPr>
          <w:rFonts w:eastAsia="Times New Roman" w:cs="Tahoma"/>
          <w:color w:val="000000"/>
        </w:rPr>
      </w:pPr>
      <w:r w:rsidRPr="003527C4">
        <w:rPr>
          <w:rFonts w:eastAsia="Times New Roman" w:cs="Tahoma"/>
          <w:color w:val="000000"/>
        </w:rPr>
        <w:t>V</w:t>
      </w:r>
      <w:r w:rsidR="001F79F9" w:rsidRPr="003527C4">
        <w:rPr>
          <w:rFonts w:eastAsia="Times New Roman" w:cs="Tahoma"/>
          <w:color w:val="000000"/>
        </w:rPr>
        <w:t>e fázi udržitelnosti</w:t>
      </w:r>
      <w:r w:rsidRPr="003527C4">
        <w:rPr>
          <w:rFonts w:eastAsia="Times New Roman" w:cs="Tahoma"/>
          <w:color w:val="000000"/>
        </w:rPr>
        <w:t xml:space="preserve"> je na roční bázi</w:t>
      </w:r>
      <w:r w:rsidR="001F79F9" w:rsidRPr="003527C4">
        <w:rPr>
          <w:rFonts w:eastAsia="Times New Roman" w:cs="Tahoma"/>
          <w:color w:val="000000"/>
        </w:rPr>
        <w:t xml:space="preserve"> </w:t>
      </w:r>
      <w:r w:rsidR="009D75B2">
        <w:rPr>
          <w:rFonts w:eastAsia="Times New Roman" w:cs="Tahoma"/>
          <w:color w:val="000000"/>
        </w:rPr>
        <w:t xml:space="preserve">rovněž </w:t>
      </w:r>
      <w:r w:rsidR="001F79F9" w:rsidRPr="003527C4">
        <w:rPr>
          <w:rFonts w:eastAsia="Times New Roman" w:cs="Tahoma"/>
          <w:color w:val="000000"/>
        </w:rPr>
        <w:t>sledováno, zda příjemci plní</w:t>
      </w:r>
      <w:r w:rsidR="0074077A" w:rsidRPr="003527C4">
        <w:rPr>
          <w:rFonts w:eastAsia="Times New Roman" w:cs="Tahoma"/>
          <w:color w:val="000000"/>
        </w:rPr>
        <w:t xml:space="preserve"> povinnosti, k nimž</w:t>
      </w:r>
      <w:r w:rsidR="001F79F9" w:rsidRPr="003527C4">
        <w:rPr>
          <w:rFonts w:eastAsia="Times New Roman" w:cs="Tahoma"/>
          <w:color w:val="000000"/>
        </w:rPr>
        <w:t xml:space="preserve"> se zavázal</w:t>
      </w:r>
      <w:r w:rsidR="000E56FF" w:rsidRPr="003527C4">
        <w:rPr>
          <w:rFonts w:eastAsia="Times New Roman" w:cs="Tahoma"/>
          <w:color w:val="000000"/>
        </w:rPr>
        <w:t>i</w:t>
      </w:r>
      <w:r w:rsidR="001F79F9" w:rsidRPr="003527C4">
        <w:rPr>
          <w:rFonts w:eastAsia="Times New Roman" w:cs="Tahoma"/>
          <w:color w:val="000000"/>
        </w:rPr>
        <w:t xml:space="preserve"> v</w:t>
      </w:r>
      <w:r w:rsidR="000E56FF" w:rsidRPr="003527C4">
        <w:rPr>
          <w:rFonts w:eastAsia="Times New Roman" w:cs="Tahoma"/>
          <w:color w:val="000000"/>
        </w:rPr>
        <w:t> </w:t>
      </w:r>
      <w:proofErr w:type="spellStart"/>
      <w:r w:rsidR="000E56FF" w:rsidRPr="003527C4">
        <w:rPr>
          <w:rFonts w:eastAsia="Times New Roman" w:cs="Tahoma"/>
          <w:color w:val="000000"/>
        </w:rPr>
        <w:t>RoPD</w:t>
      </w:r>
      <w:proofErr w:type="spellEnd"/>
      <w:r w:rsidR="000E56FF" w:rsidRPr="003527C4">
        <w:rPr>
          <w:rFonts w:eastAsia="Times New Roman" w:cs="Tahoma"/>
          <w:color w:val="000000"/>
        </w:rPr>
        <w:t>, p</w:t>
      </w:r>
      <w:r w:rsidR="001F79F9" w:rsidRPr="003527C4">
        <w:rPr>
          <w:rFonts w:eastAsia="Times New Roman" w:cs="Tahoma"/>
          <w:color w:val="000000"/>
        </w:rPr>
        <w:t>ředevším</w:t>
      </w:r>
      <w:r w:rsidR="000E56FF" w:rsidRPr="003527C4">
        <w:rPr>
          <w:rFonts w:eastAsia="Times New Roman" w:cs="Tahoma"/>
          <w:color w:val="000000"/>
        </w:rPr>
        <w:t xml:space="preserve"> dosáhnout a udržet</w:t>
      </w:r>
      <w:r w:rsidR="001F79F9" w:rsidRPr="003527C4">
        <w:rPr>
          <w:rFonts w:eastAsia="Times New Roman" w:cs="Tahoma"/>
          <w:color w:val="000000"/>
        </w:rPr>
        <w:t xml:space="preserve"> </w:t>
      </w:r>
      <w:r w:rsidR="000E56FF" w:rsidRPr="003527C4">
        <w:rPr>
          <w:rFonts w:eastAsia="Times New Roman" w:cs="Tahoma"/>
          <w:color w:val="000000"/>
        </w:rPr>
        <w:t>hodnoty závazných</w:t>
      </w:r>
      <w:r w:rsidR="001F79F9" w:rsidRPr="003527C4">
        <w:rPr>
          <w:rFonts w:eastAsia="Times New Roman" w:cs="Tahoma"/>
          <w:color w:val="000000"/>
        </w:rPr>
        <w:t xml:space="preserve"> monitorovací</w:t>
      </w:r>
      <w:r w:rsidR="000E56FF" w:rsidRPr="003527C4">
        <w:rPr>
          <w:rFonts w:eastAsia="Times New Roman" w:cs="Tahoma"/>
          <w:color w:val="000000"/>
        </w:rPr>
        <w:t xml:space="preserve">ch indikátorů </w:t>
      </w:r>
      <w:r w:rsidR="00135436" w:rsidRPr="003527C4">
        <w:rPr>
          <w:rFonts w:eastAsia="Times New Roman" w:cs="Tahoma"/>
          <w:color w:val="000000"/>
        </w:rPr>
        <w:t>jako jsou</w:t>
      </w:r>
      <w:r w:rsidR="001F79F9" w:rsidRPr="003527C4">
        <w:rPr>
          <w:rFonts w:eastAsia="Times New Roman" w:cs="Tahoma"/>
          <w:color w:val="000000"/>
        </w:rPr>
        <w:t xml:space="preserve"> např.: </w:t>
      </w:r>
    </w:p>
    <w:p w:rsidR="001F79F9" w:rsidRPr="003527C4" w:rsidRDefault="001F79F9" w:rsidP="001F79F9">
      <w:pPr>
        <w:rPr>
          <w:rFonts w:eastAsia="Times New Roman" w:cs="Tahoma"/>
          <w:color w:val="000000"/>
        </w:rPr>
      </w:pPr>
    </w:p>
    <w:p w:rsidR="00092024" w:rsidRPr="003527C4" w:rsidRDefault="003A3D5C" w:rsidP="00CE5357">
      <w:pPr>
        <w:pStyle w:val="Odstavecseseznamem"/>
        <w:numPr>
          <w:ilvl w:val="0"/>
          <w:numId w:val="3"/>
        </w:numPr>
        <w:rPr>
          <w:rFonts w:eastAsia="Times New Roman" w:cs="Tahoma"/>
          <w:color w:val="000000"/>
        </w:rPr>
      </w:pPr>
      <w:r w:rsidRPr="003527C4">
        <w:rPr>
          <w:rFonts w:eastAsia="Times New Roman" w:cs="Tahoma"/>
          <w:color w:val="000000"/>
        </w:rPr>
        <w:t>r</w:t>
      </w:r>
      <w:r w:rsidR="00092024" w:rsidRPr="003527C4">
        <w:rPr>
          <w:rFonts w:eastAsia="Times New Roman" w:cs="Tahoma"/>
          <w:color w:val="000000"/>
        </w:rPr>
        <w:t xml:space="preserve">ozšířené nebo zrekonstruované kapacity, </w:t>
      </w:r>
      <w:r w:rsidRPr="003527C4">
        <w:rPr>
          <w:rFonts w:eastAsia="Times New Roman" w:cs="Tahoma"/>
          <w:color w:val="000000"/>
        </w:rPr>
        <w:t>v</w:t>
      </w:r>
      <w:r w:rsidR="00092024" w:rsidRPr="003527C4">
        <w:rPr>
          <w:rFonts w:eastAsia="Times New Roman" w:cs="Tahoma"/>
          <w:color w:val="000000"/>
        </w:rPr>
        <w:t>ybudované kapacity</w:t>
      </w:r>
      <w:r w:rsidRPr="003527C4">
        <w:rPr>
          <w:rFonts w:eastAsia="Times New Roman" w:cs="Tahoma"/>
          <w:color w:val="000000"/>
        </w:rPr>
        <w:t>;</w:t>
      </w:r>
      <w:r w:rsidR="00092024" w:rsidRPr="003527C4">
        <w:rPr>
          <w:rFonts w:eastAsia="Times New Roman" w:cs="Tahoma"/>
          <w:color w:val="000000"/>
        </w:rPr>
        <w:t xml:space="preserve"> </w:t>
      </w:r>
    </w:p>
    <w:p w:rsidR="001F79F9" w:rsidRPr="003527C4" w:rsidRDefault="001F79F9" w:rsidP="00CE5357">
      <w:pPr>
        <w:pStyle w:val="Odstavecseseznamem"/>
        <w:numPr>
          <w:ilvl w:val="0"/>
          <w:numId w:val="3"/>
        </w:numPr>
        <w:rPr>
          <w:rFonts w:eastAsia="Times New Roman" w:cs="Tahoma"/>
          <w:color w:val="000000"/>
        </w:rPr>
      </w:pPr>
      <w:r w:rsidRPr="003527C4">
        <w:rPr>
          <w:rFonts w:eastAsia="Times New Roman" w:cs="Tahoma"/>
          <w:color w:val="000000"/>
        </w:rPr>
        <w:t>počet nově vytvořených pracovních míst</w:t>
      </w:r>
      <w:r w:rsidR="003A3D5C" w:rsidRPr="003527C4">
        <w:rPr>
          <w:rFonts w:eastAsia="Times New Roman" w:cs="Tahoma"/>
          <w:color w:val="000000"/>
        </w:rPr>
        <w:t xml:space="preserve">; </w:t>
      </w:r>
    </w:p>
    <w:p w:rsidR="001F79F9" w:rsidRPr="003527C4" w:rsidRDefault="001F79F9" w:rsidP="00CE5357">
      <w:pPr>
        <w:pStyle w:val="Odstavecseseznamem"/>
        <w:numPr>
          <w:ilvl w:val="0"/>
          <w:numId w:val="3"/>
        </w:numPr>
        <w:rPr>
          <w:rFonts w:eastAsia="Times New Roman" w:cs="Tahoma"/>
          <w:color w:val="000000"/>
        </w:rPr>
      </w:pPr>
      <w:r w:rsidRPr="003527C4">
        <w:rPr>
          <w:rFonts w:eastAsia="Times New Roman" w:cs="Tahoma"/>
          <w:color w:val="000000"/>
        </w:rPr>
        <w:t>počet studentů mající prospěch z rekonstruované/nově vybudované infrastruktury</w:t>
      </w:r>
      <w:r w:rsidR="003A3D5C" w:rsidRPr="003527C4">
        <w:rPr>
          <w:rFonts w:eastAsia="Times New Roman" w:cs="Tahoma"/>
          <w:color w:val="000000"/>
        </w:rPr>
        <w:t>,</w:t>
      </w:r>
    </w:p>
    <w:p w:rsidR="000E56FF" w:rsidRPr="003527C4" w:rsidRDefault="000E56FF" w:rsidP="000E56FF">
      <w:pPr>
        <w:rPr>
          <w:rFonts w:eastAsia="Times New Roman" w:cs="Tahoma"/>
          <w:color w:val="000000"/>
        </w:rPr>
      </w:pPr>
    </w:p>
    <w:p w:rsidR="000E56FF" w:rsidRPr="003527C4" w:rsidRDefault="003A3D5C" w:rsidP="000E56FF">
      <w:pPr>
        <w:rPr>
          <w:rFonts w:eastAsia="Times New Roman" w:cs="Tahoma"/>
          <w:color w:val="000000"/>
        </w:rPr>
      </w:pPr>
      <w:r w:rsidRPr="003527C4">
        <w:rPr>
          <w:rFonts w:eastAsia="Times New Roman" w:cs="Tahoma"/>
          <w:color w:val="000000"/>
        </w:rPr>
        <w:t>n</w:t>
      </w:r>
      <w:r w:rsidR="000E56FF" w:rsidRPr="003527C4">
        <w:rPr>
          <w:rFonts w:eastAsia="Times New Roman" w:cs="Tahoma"/>
          <w:color w:val="000000"/>
        </w:rPr>
        <w:t>ebo jiné závazky vyplývající specificky z konkrétních výzev:</w:t>
      </w:r>
    </w:p>
    <w:p w:rsidR="00060301" w:rsidRPr="003527C4" w:rsidRDefault="00060301" w:rsidP="000E56FF">
      <w:pPr>
        <w:rPr>
          <w:rFonts w:eastAsia="Times New Roman" w:cs="Tahoma"/>
          <w:color w:val="000000"/>
        </w:rPr>
      </w:pPr>
    </w:p>
    <w:p w:rsidR="00060301" w:rsidRPr="003527C4" w:rsidRDefault="003A3D5C" w:rsidP="00CE5357">
      <w:pPr>
        <w:pStyle w:val="Odstavecseseznamem"/>
        <w:widowControl/>
        <w:numPr>
          <w:ilvl w:val="0"/>
          <w:numId w:val="3"/>
        </w:numPr>
        <w:suppressAutoHyphens w:val="0"/>
        <w:autoSpaceDE w:val="0"/>
        <w:adjustRightInd w:val="0"/>
        <w:jc w:val="both"/>
        <w:textAlignment w:val="auto"/>
      </w:pPr>
      <w:r w:rsidRPr="003527C4">
        <w:t>p</w:t>
      </w:r>
      <w:r w:rsidR="00060301" w:rsidRPr="003527C4">
        <w:t xml:space="preserve">ro projekty v rámci </w:t>
      </w:r>
      <w:r w:rsidR="00AB10CD" w:rsidRPr="003527C4">
        <w:t>PO 1 a PO 2</w:t>
      </w:r>
      <w:r w:rsidR="00134054" w:rsidRPr="003527C4">
        <w:t xml:space="preserve"> platí povinnost, ž</w:t>
      </w:r>
      <w:r w:rsidR="00060301" w:rsidRPr="003527C4">
        <w:t>e celkový objem mzdových pro</w:t>
      </w:r>
      <w:r w:rsidR="00134054" w:rsidRPr="003527C4">
        <w:t>středků v kaž</w:t>
      </w:r>
      <w:r w:rsidR="00060301" w:rsidRPr="003527C4">
        <w:t>dém jednotlivém roce po dobu udr</w:t>
      </w:r>
      <w:r w:rsidR="00134054" w:rsidRPr="003527C4">
        <w:t>ž</w:t>
      </w:r>
      <w:r w:rsidR="00060301" w:rsidRPr="003527C4">
        <w:t>itelnosti projektu (centra) nesmí klesnout pod úroveň 60 % z maximální roční hodnoty</w:t>
      </w:r>
      <w:r w:rsidR="00134054" w:rsidRPr="003527C4">
        <w:t>, které dosáhla rozpočtová polož</w:t>
      </w:r>
      <w:r w:rsidR="00060301" w:rsidRPr="003527C4">
        <w:t>ka „Osobní výdaje“ hraz</w:t>
      </w:r>
      <w:r w:rsidR="00060301" w:rsidRPr="003527C4">
        <w:t>e</w:t>
      </w:r>
      <w:r w:rsidR="00060301" w:rsidRPr="003527C4">
        <w:t>ná ze start-up grant</w:t>
      </w:r>
      <w:r w:rsidR="00D14FD4" w:rsidRPr="003527C4">
        <w:t>u v průběhu realizace projektu;</w:t>
      </w:r>
    </w:p>
    <w:p w:rsidR="00D14FD4" w:rsidRPr="003527C4" w:rsidRDefault="00D14FD4" w:rsidP="00CE5357">
      <w:pPr>
        <w:pStyle w:val="Odstavecseseznamem"/>
        <w:numPr>
          <w:ilvl w:val="0"/>
          <w:numId w:val="3"/>
        </w:numPr>
        <w:jc w:val="both"/>
        <w:rPr>
          <w:rFonts w:eastAsia="Times New Roman" w:cs="Tahoma"/>
          <w:color w:val="000000"/>
        </w:rPr>
      </w:pPr>
      <w:r w:rsidRPr="003527C4">
        <w:t>povinnost pro vysoké školy mít akreditovaný doktorský studijní program v oboru souvisejícím s podpořeným projektem po celou dobu udržitelnosti (u PO 4).</w:t>
      </w:r>
    </w:p>
    <w:p w:rsidR="000E56FF" w:rsidRPr="003527C4" w:rsidRDefault="000E56FF" w:rsidP="009A5A42">
      <w:pPr>
        <w:ind w:left="360"/>
        <w:rPr>
          <w:rFonts w:eastAsia="Times New Roman" w:cs="Tahoma"/>
          <w:color w:val="000000"/>
        </w:rPr>
      </w:pPr>
    </w:p>
    <w:p w:rsidR="003E2A18" w:rsidRPr="003527C4" w:rsidRDefault="00EF1245" w:rsidP="00CC0300">
      <w:pPr>
        <w:jc w:val="both"/>
        <w:rPr>
          <w:rFonts w:eastAsia="Times New Roman" w:cs="Tahoma"/>
          <w:color w:val="000000"/>
        </w:rPr>
      </w:pPr>
      <w:r w:rsidRPr="003527C4">
        <w:rPr>
          <w:rFonts w:eastAsia="Times New Roman" w:cs="Tahoma"/>
          <w:color w:val="000000"/>
        </w:rPr>
        <w:t>M</w:t>
      </w:r>
      <w:r w:rsidR="00A2276A" w:rsidRPr="003527C4">
        <w:rPr>
          <w:rFonts w:eastAsia="Times New Roman" w:cs="Tahoma"/>
          <w:color w:val="000000"/>
        </w:rPr>
        <w:t>etodika</w:t>
      </w:r>
      <w:r w:rsidR="00367BC9" w:rsidRPr="003527C4">
        <w:rPr>
          <w:rFonts w:eastAsia="Times New Roman" w:cs="Tahoma"/>
          <w:color w:val="000000"/>
        </w:rPr>
        <w:t xml:space="preserve"> OP </w:t>
      </w:r>
      <w:proofErr w:type="spellStart"/>
      <w:r w:rsidR="00367BC9" w:rsidRPr="003527C4">
        <w:rPr>
          <w:rFonts w:eastAsia="Times New Roman" w:cs="Tahoma"/>
          <w:color w:val="000000"/>
        </w:rPr>
        <w:t>VaVpI</w:t>
      </w:r>
      <w:proofErr w:type="spellEnd"/>
      <w:r w:rsidR="00A2276A" w:rsidRPr="003527C4">
        <w:rPr>
          <w:rFonts w:eastAsia="Times New Roman" w:cs="Tahoma"/>
          <w:color w:val="000000"/>
        </w:rPr>
        <w:t xml:space="preserve"> klade</w:t>
      </w:r>
      <w:r w:rsidRPr="003527C4">
        <w:rPr>
          <w:rFonts w:eastAsia="Times New Roman" w:cs="Tahoma"/>
          <w:color w:val="000000"/>
        </w:rPr>
        <w:t xml:space="preserve"> na příjemce v</w:t>
      </w:r>
      <w:r w:rsidR="00367BC9" w:rsidRPr="003527C4">
        <w:rPr>
          <w:rFonts w:eastAsia="Times New Roman" w:cs="Tahoma"/>
          <w:color w:val="000000"/>
        </w:rPr>
        <w:t xml:space="preserve"> době udržitelnosti podstatně nižší administrativní nároky, než je tomu </w:t>
      </w:r>
      <w:r w:rsidR="00E94061" w:rsidRPr="003527C4">
        <w:rPr>
          <w:rFonts w:eastAsia="Times New Roman" w:cs="Tahoma"/>
          <w:color w:val="000000"/>
        </w:rPr>
        <w:t>ve fázi</w:t>
      </w:r>
      <w:r w:rsidR="00367BC9" w:rsidRPr="003527C4">
        <w:rPr>
          <w:rFonts w:eastAsia="Times New Roman" w:cs="Tahoma"/>
          <w:color w:val="000000"/>
        </w:rPr>
        <w:t xml:space="preserve"> realizace</w:t>
      </w:r>
      <w:r w:rsidR="00E94061" w:rsidRPr="003527C4">
        <w:rPr>
          <w:rFonts w:eastAsia="Times New Roman" w:cs="Tahoma"/>
          <w:color w:val="000000"/>
        </w:rPr>
        <w:t>; s</w:t>
      </w:r>
      <w:r w:rsidR="00AE5C5B" w:rsidRPr="003527C4">
        <w:rPr>
          <w:rFonts w:eastAsia="Times New Roman" w:cs="Tahoma"/>
          <w:color w:val="000000"/>
        </w:rPr>
        <w:t>nižuje se periodicita předkládání monitorovacích zpráv (dále jen „MZ“)</w:t>
      </w:r>
      <w:r w:rsidR="003E2A18" w:rsidRPr="003527C4">
        <w:rPr>
          <w:rFonts w:eastAsia="Times New Roman" w:cs="Tahoma"/>
          <w:color w:val="000000"/>
        </w:rPr>
        <w:t>. Prostřednictvím předložených MZ o udržitelnosti získává ŘO OP </w:t>
      </w:r>
      <w:proofErr w:type="spellStart"/>
      <w:r w:rsidR="003E2A18" w:rsidRPr="003527C4">
        <w:rPr>
          <w:rFonts w:eastAsia="Times New Roman" w:cs="Tahoma"/>
          <w:color w:val="000000"/>
        </w:rPr>
        <w:t>VaVpI</w:t>
      </w:r>
      <w:proofErr w:type="spellEnd"/>
      <w:r w:rsidR="003E2A18" w:rsidRPr="003527C4">
        <w:rPr>
          <w:rFonts w:eastAsia="Times New Roman" w:cs="Tahoma"/>
          <w:color w:val="000000"/>
        </w:rPr>
        <w:t> komplexní přehled o dosahování cílů projektu (naplňování cílových hodnot monitorovacích indikátorů, milníků, výstupů pro dobu udržitelnosti), slouží jako důležitá zpětná vazba pro účely vyhodnocování dopadů do regionů konvergence a naplňování cílů programu. </w:t>
      </w:r>
    </w:p>
    <w:p w:rsidR="003E2A18" w:rsidRPr="003527C4" w:rsidRDefault="003E2A18" w:rsidP="001F79F9">
      <w:pPr>
        <w:rPr>
          <w:rFonts w:eastAsia="Times New Roman" w:cs="Tahoma"/>
          <w:color w:val="000000"/>
        </w:rPr>
      </w:pPr>
    </w:p>
    <w:p w:rsidR="001F79F9" w:rsidRDefault="001F79F9" w:rsidP="009A5A42">
      <w:pPr>
        <w:jc w:val="both"/>
        <w:rPr>
          <w:rFonts w:eastAsia="Times New Roman" w:cs="Tahoma"/>
          <w:color w:val="000000"/>
        </w:rPr>
      </w:pPr>
      <w:r w:rsidRPr="003527C4">
        <w:rPr>
          <w:rFonts w:eastAsia="Times New Roman" w:cs="Tahoma"/>
          <w:color w:val="000000"/>
        </w:rPr>
        <w:t xml:space="preserve">Ve fázi udržitelnosti budou i nadále probíhat audity. V případě neplnění </w:t>
      </w:r>
      <w:r w:rsidR="003E2A18" w:rsidRPr="003527C4">
        <w:rPr>
          <w:rFonts w:eastAsia="Times New Roman" w:cs="Tahoma"/>
          <w:color w:val="000000"/>
        </w:rPr>
        <w:t>povinností plynoucí</w:t>
      </w:r>
      <w:r w:rsidRPr="003527C4">
        <w:rPr>
          <w:rFonts w:eastAsia="Times New Roman" w:cs="Tahoma"/>
          <w:color w:val="000000"/>
        </w:rPr>
        <w:t xml:space="preserve"> z </w:t>
      </w:r>
      <w:proofErr w:type="spellStart"/>
      <w:r w:rsidRPr="003527C4">
        <w:rPr>
          <w:rFonts w:eastAsia="Times New Roman" w:cs="Tahoma"/>
          <w:color w:val="000000"/>
        </w:rPr>
        <w:t>RoPD</w:t>
      </w:r>
      <w:proofErr w:type="spellEnd"/>
      <w:r w:rsidRPr="003527C4">
        <w:rPr>
          <w:rFonts w:eastAsia="Times New Roman" w:cs="Tahoma"/>
          <w:color w:val="000000"/>
        </w:rPr>
        <w:t xml:space="preserve"> může dojít k porušení </w:t>
      </w:r>
      <w:r w:rsidR="003E2A18" w:rsidRPr="003527C4">
        <w:rPr>
          <w:rFonts w:eastAsia="Times New Roman" w:cs="Tahoma"/>
          <w:color w:val="000000"/>
        </w:rPr>
        <w:t>rozpočtové kázně, které</w:t>
      </w:r>
      <w:r w:rsidRPr="003527C4">
        <w:rPr>
          <w:rFonts w:eastAsia="Times New Roman" w:cs="Tahoma"/>
          <w:color w:val="000000"/>
        </w:rPr>
        <w:t xml:space="preserve"> může mít za následek odebrání dotace nebo její </w:t>
      </w:r>
      <w:r w:rsidR="003E2A18" w:rsidRPr="003527C4">
        <w:rPr>
          <w:rFonts w:eastAsia="Times New Roman" w:cs="Tahoma"/>
          <w:color w:val="000000"/>
        </w:rPr>
        <w:t xml:space="preserve">poměrné </w:t>
      </w:r>
      <w:r w:rsidRPr="003527C4">
        <w:rPr>
          <w:rFonts w:eastAsia="Times New Roman" w:cs="Tahoma"/>
          <w:color w:val="000000"/>
        </w:rPr>
        <w:t>části.</w:t>
      </w:r>
    </w:p>
    <w:p w:rsidR="006E3A64" w:rsidRDefault="006E3A64" w:rsidP="006E3A64">
      <w:pPr>
        <w:jc w:val="both"/>
      </w:pPr>
    </w:p>
    <w:p w:rsidR="00EF1245" w:rsidRDefault="00EF1245" w:rsidP="00EF1245">
      <w:pPr>
        <w:ind w:firstLine="426"/>
        <w:jc w:val="both"/>
        <w:rPr>
          <w:rFonts w:ascii="Tahoma" w:eastAsia="Times New Roman" w:hAnsi="Tahoma" w:cs="Tahoma"/>
          <w:color w:val="000000"/>
          <w:sz w:val="20"/>
          <w:szCs w:val="20"/>
        </w:rPr>
      </w:pPr>
    </w:p>
    <w:p w:rsidR="000C019B" w:rsidRPr="003527C4" w:rsidRDefault="000C019B" w:rsidP="00CE5357">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Udržitelnost </w:t>
      </w:r>
      <w:proofErr w:type="spellStart"/>
      <w:r w:rsidRPr="003527C4">
        <w:rPr>
          <w:rFonts w:ascii="Arial" w:hAnsi="Arial" w:cs="Arial"/>
          <w:color w:val="000000" w:themeColor="text1"/>
          <w:sz w:val="20"/>
          <w:szCs w:val="20"/>
        </w:rPr>
        <w:t>VaV</w:t>
      </w:r>
      <w:proofErr w:type="spellEnd"/>
      <w:r w:rsidRPr="003527C4">
        <w:rPr>
          <w:rFonts w:ascii="Arial" w:hAnsi="Arial" w:cs="Arial"/>
          <w:color w:val="000000" w:themeColor="text1"/>
          <w:sz w:val="20"/>
          <w:szCs w:val="20"/>
        </w:rPr>
        <w:t xml:space="preserve"> center podpořených v rámci PO</w:t>
      </w:r>
      <w:r w:rsidR="005B3F66">
        <w:rPr>
          <w:rFonts w:ascii="Arial" w:hAnsi="Arial" w:cs="Arial"/>
          <w:color w:val="000000" w:themeColor="text1"/>
          <w:sz w:val="20"/>
          <w:szCs w:val="20"/>
        </w:rPr>
        <w:t xml:space="preserve"> </w:t>
      </w:r>
      <w:r w:rsidRPr="003527C4">
        <w:rPr>
          <w:rFonts w:ascii="Arial" w:hAnsi="Arial" w:cs="Arial"/>
          <w:color w:val="000000" w:themeColor="text1"/>
          <w:sz w:val="20"/>
          <w:szCs w:val="20"/>
        </w:rPr>
        <w:t>1 a PO</w:t>
      </w:r>
      <w:r w:rsidR="005B3F66">
        <w:rPr>
          <w:rFonts w:ascii="Arial" w:hAnsi="Arial" w:cs="Arial"/>
          <w:color w:val="000000" w:themeColor="text1"/>
          <w:sz w:val="20"/>
          <w:szCs w:val="20"/>
        </w:rPr>
        <w:t xml:space="preserve"> </w:t>
      </w:r>
      <w:r w:rsidRPr="003527C4">
        <w:rPr>
          <w:rFonts w:ascii="Arial" w:hAnsi="Arial" w:cs="Arial"/>
          <w:color w:val="000000" w:themeColor="text1"/>
          <w:sz w:val="20"/>
          <w:szCs w:val="20"/>
        </w:rPr>
        <w:t xml:space="preserve">2 OP </w:t>
      </w:r>
      <w:proofErr w:type="spellStart"/>
      <w:r w:rsidRPr="003527C4">
        <w:rPr>
          <w:rFonts w:ascii="Arial" w:hAnsi="Arial" w:cs="Arial"/>
          <w:color w:val="000000" w:themeColor="text1"/>
          <w:sz w:val="20"/>
          <w:szCs w:val="20"/>
        </w:rPr>
        <w:t>VaVpI</w:t>
      </w:r>
      <w:proofErr w:type="spellEnd"/>
      <w:r w:rsidRPr="003527C4">
        <w:rPr>
          <w:rFonts w:ascii="Arial" w:hAnsi="Arial" w:cs="Arial"/>
          <w:color w:val="000000" w:themeColor="text1"/>
          <w:sz w:val="20"/>
          <w:szCs w:val="20"/>
        </w:rPr>
        <w:t xml:space="preserve"> </w:t>
      </w:r>
    </w:p>
    <w:p w:rsidR="000C019B" w:rsidRPr="003527C4" w:rsidRDefault="000C019B" w:rsidP="000C019B"/>
    <w:p w:rsidR="003217AE" w:rsidRPr="003527C4" w:rsidRDefault="006D3CC0" w:rsidP="006D3CC0">
      <w:pPr>
        <w:jc w:val="both"/>
      </w:pPr>
      <w:r w:rsidRPr="003527C4">
        <w:t xml:space="preserve">Ačkoliv </w:t>
      </w:r>
      <w:proofErr w:type="spellStart"/>
      <w:r w:rsidR="006D53F9" w:rsidRPr="003527C4">
        <w:t>VaV</w:t>
      </w:r>
      <w:proofErr w:type="spellEnd"/>
      <w:r w:rsidR="006D53F9" w:rsidRPr="003527C4">
        <w:t xml:space="preserve"> centra </w:t>
      </w:r>
      <w:r w:rsidR="000C019B" w:rsidRPr="003527C4">
        <w:t>svou výzkumnou náplní navazují na již existující výzkumné aktivity svých mateřských institucí (příjemců a partnerů)</w:t>
      </w:r>
      <w:r w:rsidRPr="003527C4">
        <w:t>,</w:t>
      </w:r>
      <w:r w:rsidR="000C019B" w:rsidRPr="003527C4">
        <w:t xml:space="preserve"> </w:t>
      </w:r>
      <w:r w:rsidRPr="003527C4">
        <w:t>n</w:t>
      </w:r>
      <w:r w:rsidRPr="003527C4">
        <w:rPr>
          <w:color w:val="000000" w:themeColor="text1"/>
        </w:rPr>
        <w:t xml:space="preserve">áklady na provoz zrekonstruované a nově vybudované infrastruktury výrazně převyšují dosavadní </w:t>
      </w:r>
      <w:r w:rsidR="003217AE" w:rsidRPr="003527C4">
        <w:rPr>
          <w:color w:val="000000" w:themeColor="text1"/>
        </w:rPr>
        <w:t xml:space="preserve">náklady </w:t>
      </w:r>
      <w:r w:rsidRPr="003527C4">
        <w:rPr>
          <w:color w:val="000000" w:themeColor="text1"/>
        </w:rPr>
        <w:t>na provoz současných výzkumných kapacit příjemců.</w:t>
      </w:r>
      <w:r w:rsidRPr="003527C4">
        <w:t xml:space="preserve"> </w:t>
      </w:r>
      <w:r w:rsidR="005943C2" w:rsidRPr="003527C4">
        <w:rPr>
          <w:b/>
        </w:rPr>
        <w:t>Vzhledem k tomu, že se</w:t>
      </w:r>
      <w:r w:rsidR="00115A45">
        <w:rPr>
          <w:b/>
        </w:rPr>
        <w:t xml:space="preserve"> </w:t>
      </w:r>
      <w:r w:rsidR="005943C2" w:rsidRPr="003527C4">
        <w:rPr>
          <w:b/>
        </w:rPr>
        <w:t>Česká republika</w:t>
      </w:r>
      <w:r w:rsidR="00115A45">
        <w:rPr>
          <w:b/>
        </w:rPr>
        <w:t xml:space="preserve"> prostřednictvím Rady pro výzkum, vývoj a inovace (dále jen „RVVI“)</w:t>
      </w:r>
      <w:r w:rsidR="005943C2" w:rsidRPr="003527C4">
        <w:rPr>
          <w:b/>
        </w:rPr>
        <w:t xml:space="preserve"> zavázala k za</w:t>
      </w:r>
      <w:r w:rsidR="00AB10CD" w:rsidRPr="003527C4">
        <w:rPr>
          <w:b/>
        </w:rPr>
        <w:t>jiště</w:t>
      </w:r>
      <w:r w:rsidR="005943C2" w:rsidRPr="003527C4">
        <w:rPr>
          <w:b/>
        </w:rPr>
        <w:t xml:space="preserve">ní udržitelnosti podpořených </w:t>
      </w:r>
      <w:proofErr w:type="spellStart"/>
      <w:r w:rsidR="005943C2" w:rsidRPr="003527C4">
        <w:rPr>
          <w:b/>
        </w:rPr>
        <w:t>VaV</w:t>
      </w:r>
      <w:proofErr w:type="spellEnd"/>
      <w:r w:rsidR="005943C2" w:rsidRPr="003527C4">
        <w:rPr>
          <w:b/>
        </w:rPr>
        <w:t xml:space="preserve"> center</w:t>
      </w:r>
      <w:r w:rsidR="00C16563">
        <w:rPr>
          <w:b/>
        </w:rPr>
        <w:t xml:space="preserve"> (Příloha </w:t>
      </w:r>
      <w:r w:rsidR="00F63CA1" w:rsidRPr="003527C4">
        <w:rPr>
          <w:b/>
        </w:rPr>
        <w:t>3</w:t>
      </w:r>
      <w:r w:rsidR="001B1564" w:rsidRPr="003527C4">
        <w:rPr>
          <w:rStyle w:val="Znakapoznpodarou"/>
          <w:b/>
        </w:rPr>
        <w:footnoteReference w:id="6"/>
      </w:r>
      <w:r w:rsidR="00F63CA1" w:rsidRPr="003527C4">
        <w:rPr>
          <w:b/>
        </w:rPr>
        <w:t>)</w:t>
      </w:r>
      <w:r w:rsidR="005943C2" w:rsidRPr="003527C4">
        <w:rPr>
          <w:b/>
        </w:rPr>
        <w:t xml:space="preserve"> a</w:t>
      </w:r>
      <w:r w:rsidR="00244FD3" w:rsidRPr="003527C4">
        <w:rPr>
          <w:b/>
        </w:rPr>
        <w:t xml:space="preserve"> v průběhu jejich realizace nastaly skutečnosti, které mohou mít</w:t>
      </w:r>
      <w:r w:rsidR="00F63CA1" w:rsidRPr="003527C4">
        <w:rPr>
          <w:b/>
        </w:rPr>
        <w:t xml:space="preserve"> značně negativní dopad na schopnost </w:t>
      </w:r>
      <w:proofErr w:type="spellStart"/>
      <w:r w:rsidR="00F63CA1" w:rsidRPr="003527C4">
        <w:rPr>
          <w:b/>
        </w:rPr>
        <w:t>VaV</w:t>
      </w:r>
      <w:proofErr w:type="spellEnd"/>
      <w:r w:rsidR="00F63CA1" w:rsidRPr="003527C4">
        <w:rPr>
          <w:b/>
        </w:rPr>
        <w:t xml:space="preserve"> center pokrýt provoz z vlastních zdrojů,</w:t>
      </w:r>
      <w:r w:rsidR="00244FD3" w:rsidRPr="003527C4">
        <w:rPr>
          <w:b/>
        </w:rPr>
        <w:t xml:space="preserve"> </w:t>
      </w:r>
      <w:r w:rsidR="00F63CA1" w:rsidRPr="003527C4">
        <w:rPr>
          <w:b/>
        </w:rPr>
        <w:t>p</w:t>
      </w:r>
      <w:r w:rsidR="005943C2" w:rsidRPr="003527C4">
        <w:rPr>
          <w:b/>
        </w:rPr>
        <w:t>ředpokládá se, že významnou část nákladů na provoz pokryjí prostředky ze státního rozpočtu.</w:t>
      </w:r>
    </w:p>
    <w:p w:rsidR="000C019B" w:rsidRPr="003527C4" w:rsidRDefault="000C019B" w:rsidP="000C019B"/>
    <w:p w:rsidR="006707C9" w:rsidRPr="003527C4" w:rsidRDefault="006707C9" w:rsidP="00CE5357">
      <w:pPr>
        <w:pStyle w:val="Nadpis3"/>
        <w:numPr>
          <w:ilvl w:val="2"/>
          <w:numId w:val="2"/>
        </w:numPr>
        <w:rPr>
          <w:rFonts w:ascii="Arial" w:hAnsi="Arial" w:cs="Arial"/>
          <w:color w:val="000000" w:themeColor="text1"/>
          <w:sz w:val="20"/>
          <w:szCs w:val="20"/>
        </w:rPr>
      </w:pPr>
      <w:r w:rsidRPr="003527C4">
        <w:rPr>
          <w:rFonts w:ascii="Arial" w:hAnsi="Arial" w:cs="Arial"/>
          <w:color w:val="000000" w:themeColor="text1"/>
          <w:sz w:val="20"/>
          <w:szCs w:val="20"/>
        </w:rPr>
        <w:t>Finanční nároky center PO</w:t>
      </w:r>
      <w:r w:rsidR="005B3F66">
        <w:rPr>
          <w:rFonts w:ascii="Arial" w:hAnsi="Arial" w:cs="Arial"/>
          <w:color w:val="000000" w:themeColor="text1"/>
          <w:sz w:val="20"/>
          <w:szCs w:val="20"/>
        </w:rPr>
        <w:t xml:space="preserve"> </w:t>
      </w:r>
      <w:r w:rsidRPr="003527C4">
        <w:rPr>
          <w:rFonts w:ascii="Arial" w:hAnsi="Arial" w:cs="Arial"/>
          <w:color w:val="000000" w:themeColor="text1"/>
          <w:sz w:val="20"/>
          <w:szCs w:val="20"/>
        </w:rPr>
        <w:t>1 a PO</w:t>
      </w:r>
      <w:r w:rsidR="005B3F66">
        <w:rPr>
          <w:rFonts w:ascii="Arial" w:hAnsi="Arial" w:cs="Arial"/>
          <w:color w:val="000000" w:themeColor="text1"/>
          <w:sz w:val="20"/>
          <w:szCs w:val="20"/>
        </w:rPr>
        <w:t xml:space="preserve"> </w:t>
      </w:r>
      <w:r w:rsidRPr="003527C4">
        <w:rPr>
          <w:rFonts w:ascii="Arial" w:hAnsi="Arial" w:cs="Arial"/>
          <w:color w:val="000000" w:themeColor="text1"/>
          <w:sz w:val="20"/>
          <w:szCs w:val="20"/>
        </w:rPr>
        <w:t>2</w:t>
      </w:r>
    </w:p>
    <w:p w:rsidR="004A082D" w:rsidRPr="003527C4" w:rsidRDefault="004A082D" w:rsidP="004A082D"/>
    <w:p w:rsidR="00574505" w:rsidRPr="003527C4" w:rsidRDefault="0020480A" w:rsidP="00FB057A">
      <w:pPr>
        <w:jc w:val="both"/>
        <w:rPr>
          <w:color w:val="000000" w:themeColor="text1"/>
        </w:rPr>
      </w:pPr>
      <w:r w:rsidRPr="003527C4">
        <w:rPr>
          <w:szCs w:val="28"/>
        </w:rPr>
        <w:t>V</w:t>
      </w:r>
      <w:r w:rsidR="00B620F4" w:rsidRPr="003527C4">
        <w:rPr>
          <w:szCs w:val="28"/>
        </w:rPr>
        <w:t xml:space="preserve"> následující </w:t>
      </w:r>
      <w:r w:rsidR="006D3CC0" w:rsidRPr="003527C4">
        <w:rPr>
          <w:szCs w:val="28"/>
        </w:rPr>
        <w:t>Tabulce 2</w:t>
      </w:r>
      <w:r w:rsidR="00FB057A" w:rsidRPr="003527C4">
        <w:rPr>
          <w:szCs w:val="28"/>
        </w:rPr>
        <w:t xml:space="preserve"> </w:t>
      </w:r>
      <w:r w:rsidR="004A082D" w:rsidRPr="003527C4">
        <w:rPr>
          <w:szCs w:val="28"/>
        </w:rPr>
        <w:t xml:space="preserve">„Udržitelnost projektů OP </w:t>
      </w:r>
      <w:proofErr w:type="spellStart"/>
      <w:r w:rsidR="004A082D" w:rsidRPr="003527C4">
        <w:rPr>
          <w:szCs w:val="28"/>
        </w:rPr>
        <w:t>VaVpI</w:t>
      </w:r>
      <w:proofErr w:type="spellEnd"/>
      <w:r w:rsidR="004A082D" w:rsidRPr="003527C4">
        <w:rPr>
          <w:szCs w:val="28"/>
        </w:rPr>
        <w:t>“ souhrnně uvedeny předpokládané nároky na období udržitelnosti (dle jednotlivých zdrojů)</w:t>
      </w:r>
      <w:r w:rsidRPr="003527C4">
        <w:rPr>
          <w:szCs w:val="28"/>
        </w:rPr>
        <w:t xml:space="preserve"> pro 48 </w:t>
      </w:r>
      <w:proofErr w:type="spellStart"/>
      <w:r w:rsidRPr="003527C4">
        <w:rPr>
          <w:szCs w:val="28"/>
        </w:rPr>
        <w:t>VaV</w:t>
      </w:r>
      <w:proofErr w:type="spellEnd"/>
      <w:r w:rsidRPr="003527C4">
        <w:rPr>
          <w:szCs w:val="28"/>
        </w:rPr>
        <w:t xml:space="preserve"> center podpořených z</w:t>
      </w:r>
      <w:r w:rsidR="00E4327D" w:rsidRPr="003527C4">
        <w:rPr>
          <w:szCs w:val="28"/>
        </w:rPr>
        <w:t> </w:t>
      </w:r>
      <w:r w:rsidRPr="003527C4">
        <w:rPr>
          <w:szCs w:val="28"/>
        </w:rPr>
        <w:t>PO</w:t>
      </w:r>
      <w:r w:rsidR="00E4327D" w:rsidRPr="003527C4">
        <w:rPr>
          <w:szCs w:val="28"/>
        </w:rPr>
        <w:t xml:space="preserve"> </w:t>
      </w:r>
      <w:r w:rsidR="00CE2A6B">
        <w:rPr>
          <w:szCs w:val="28"/>
        </w:rPr>
        <w:t>1</w:t>
      </w:r>
      <w:r w:rsidRPr="003527C4">
        <w:rPr>
          <w:szCs w:val="28"/>
        </w:rPr>
        <w:t xml:space="preserve"> a PO 2</w:t>
      </w:r>
      <w:r w:rsidR="004A082D" w:rsidRPr="003527C4">
        <w:rPr>
          <w:szCs w:val="28"/>
        </w:rPr>
        <w:t>. Jedná se o souhrn všech</w:t>
      </w:r>
      <w:r w:rsidR="00CA26F2" w:rsidRPr="003527C4">
        <w:rPr>
          <w:szCs w:val="28"/>
        </w:rPr>
        <w:t xml:space="preserve"> požadovaných</w:t>
      </w:r>
      <w:r w:rsidR="004A082D" w:rsidRPr="003527C4">
        <w:rPr>
          <w:szCs w:val="28"/>
        </w:rPr>
        <w:t xml:space="preserve"> </w:t>
      </w:r>
      <w:r w:rsidR="00CA26F2" w:rsidRPr="003527C4">
        <w:rPr>
          <w:szCs w:val="28"/>
        </w:rPr>
        <w:t xml:space="preserve">finančních </w:t>
      </w:r>
      <w:r w:rsidR="004A082D" w:rsidRPr="003527C4">
        <w:rPr>
          <w:szCs w:val="28"/>
        </w:rPr>
        <w:t xml:space="preserve">zdrojů </w:t>
      </w:r>
      <w:r w:rsidR="004935AA" w:rsidRPr="003527C4">
        <w:rPr>
          <w:szCs w:val="28"/>
        </w:rPr>
        <w:t xml:space="preserve">- </w:t>
      </w:r>
      <w:r w:rsidR="004A082D" w:rsidRPr="003527C4">
        <w:rPr>
          <w:szCs w:val="28"/>
        </w:rPr>
        <w:t>mohou být zahrnut</w:t>
      </w:r>
      <w:r w:rsidR="00B620F4" w:rsidRPr="003527C4">
        <w:rPr>
          <w:szCs w:val="28"/>
        </w:rPr>
        <w:t>y</w:t>
      </w:r>
      <w:r w:rsidR="004A082D" w:rsidRPr="003527C4">
        <w:rPr>
          <w:szCs w:val="28"/>
        </w:rPr>
        <w:t xml:space="preserve"> i ty prostředky, které by příjemci (instituce) čerpali bez ohledu na to, zda obdrželi dotaci z </w:t>
      </w:r>
      <w:proofErr w:type="gramStart"/>
      <w:r w:rsidR="004A082D" w:rsidRPr="003527C4">
        <w:rPr>
          <w:szCs w:val="28"/>
        </w:rPr>
        <w:t>OP</w:t>
      </w:r>
      <w:proofErr w:type="gramEnd"/>
      <w:r w:rsidR="004A082D" w:rsidRPr="003527C4">
        <w:rPr>
          <w:szCs w:val="28"/>
        </w:rPr>
        <w:t> </w:t>
      </w:r>
      <w:proofErr w:type="spellStart"/>
      <w:r w:rsidR="004A082D" w:rsidRPr="003527C4">
        <w:rPr>
          <w:szCs w:val="28"/>
        </w:rPr>
        <w:t>VaVpI</w:t>
      </w:r>
      <w:proofErr w:type="spellEnd"/>
      <w:r w:rsidR="004A082D" w:rsidRPr="003527C4">
        <w:rPr>
          <w:szCs w:val="28"/>
        </w:rPr>
        <w:t xml:space="preserve">. Zdrojová data byla získána od příjemců OP </w:t>
      </w:r>
      <w:proofErr w:type="spellStart"/>
      <w:r w:rsidR="004A082D" w:rsidRPr="003527C4">
        <w:rPr>
          <w:szCs w:val="28"/>
        </w:rPr>
        <w:t>VaVpI</w:t>
      </w:r>
      <w:proofErr w:type="spellEnd"/>
      <w:r w:rsidR="004A082D" w:rsidRPr="003527C4">
        <w:rPr>
          <w:szCs w:val="28"/>
        </w:rPr>
        <w:t xml:space="preserve"> - z provozních rozpočtů jednotlivých </w:t>
      </w:r>
      <w:proofErr w:type="spellStart"/>
      <w:r w:rsidR="004A082D" w:rsidRPr="003527C4">
        <w:rPr>
          <w:szCs w:val="28"/>
        </w:rPr>
        <w:t>VaV</w:t>
      </w:r>
      <w:proofErr w:type="spellEnd"/>
      <w:r w:rsidR="004A082D" w:rsidRPr="003527C4">
        <w:rPr>
          <w:szCs w:val="28"/>
        </w:rPr>
        <w:t xml:space="preserve"> center PO</w:t>
      </w:r>
      <w:r w:rsidR="005B3F66">
        <w:rPr>
          <w:szCs w:val="28"/>
        </w:rPr>
        <w:t xml:space="preserve"> </w:t>
      </w:r>
      <w:r w:rsidR="004A082D" w:rsidRPr="003527C4">
        <w:rPr>
          <w:szCs w:val="28"/>
        </w:rPr>
        <w:t xml:space="preserve">1 </w:t>
      </w:r>
      <w:r w:rsidR="006E7C25" w:rsidRPr="003527C4">
        <w:rPr>
          <w:szCs w:val="28"/>
        </w:rPr>
        <w:t>a PO</w:t>
      </w:r>
      <w:r w:rsidR="005B3F66">
        <w:rPr>
          <w:szCs w:val="28"/>
        </w:rPr>
        <w:t xml:space="preserve"> </w:t>
      </w:r>
      <w:r w:rsidR="006E7C25" w:rsidRPr="003527C4">
        <w:rPr>
          <w:szCs w:val="28"/>
        </w:rPr>
        <w:t>2 pro období udržitelnosti.</w:t>
      </w:r>
      <w:r w:rsidR="00D20EB2">
        <w:rPr>
          <w:color w:val="000000" w:themeColor="text1"/>
        </w:rPr>
        <w:t xml:space="preserve"> </w:t>
      </w:r>
      <w:r w:rsidR="00574505" w:rsidRPr="003527C4">
        <w:rPr>
          <w:color w:val="000000" w:themeColor="text1"/>
        </w:rPr>
        <w:t>V drtivé většině případů se jedná o průnik odhadu budoucích výsledků příjemce a měnící</w:t>
      </w:r>
      <w:r w:rsidR="00B620F4" w:rsidRPr="003527C4">
        <w:rPr>
          <w:color w:val="000000" w:themeColor="text1"/>
        </w:rPr>
        <w:t>ho</w:t>
      </w:r>
      <w:r w:rsidR="00574505" w:rsidRPr="003527C4">
        <w:rPr>
          <w:color w:val="000000" w:themeColor="text1"/>
        </w:rPr>
        <w:t xml:space="preserve"> </w:t>
      </w:r>
      <w:r w:rsidR="00F63CA1" w:rsidRPr="003527C4">
        <w:rPr>
          <w:color w:val="000000" w:themeColor="text1"/>
        </w:rPr>
        <w:t xml:space="preserve">se </w:t>
      </w:r>
      <w:r w:rsidR="00574505" w:rsidRPr="003527C4">
        <w:rPr>
          <w:color w:val="000000" w:themeColor="text1"/>
        </w:rPr>
        <w:t>odhad</w:t>
      </w:r>
      <w:r w:rsidR="00B620F4" w:rsidRPr="003527C4">
        <w:rPr>
          <w:color w:val="000000" w:themeColor="text1"/>
        </w:rPr>
        <w:t>u</w:t>
      </w:r>
      <w:r w:rsidR="00574505" w:rsidRPr="003527C4">
        <w:rPr>
          <w:color w:val="000000" w:themeColor="text1"/>
        </w:rPr>
        <w:t xml:space="preserve"> budoucích nároků </w:t>
      </w:r>
      <w:proofErr w:type="spellStart"/>
      <w:r w:rsidR="00374D4F" w:rsidRPr="003527C4">
        <w:rPr>
          <w:color w:val="000000" w:themeColor="text1"/>
        </w:rPr>
        <w:t>VaV</w:t>
      </w:r>
      <w:proofErr w:type="spellEnd"/>
      <w:r w:rsidR="00374D4F" w:rsidRPr="003527C4">
        <w:rPr>
          <w:color w:val="000000" w:themeColor="text1"/>
        </w:rPr>
        <w:t xml:space="preserve"> </w:t>
      </w:r>
      <w:r w:rsidR="004935AA" w:rsidRPr="003527C4">
        <w:rPr>
          <w:color w:val="000000" w:themeColor="text1"/>
        </w:rPr>
        <w:t>center</w:t>
      </w:r>
      <w:r w:rsidR="00374D4F" w:rsidRPr="003527C4">
        <w:rPr>
          <w:color w:val="000000" w:themeColor="text1"/>
        </w:rPr>
        <w:t xml:space="preserve"> </w:t>
      </w:r>
      <w:r w:rsidR="00574505" w:rsidRPr="003527C4">
        <w:rPr>
          <w:color w:val="000000" w:themeColor="text1"/>
        </w:rPr>
        <w:t>(</w:t>
      </w:r>
      <w:r w:rsidR="00374D4F" w:rsidRPr="003527C4">
        <w:rPr>
          <w:color w:val="000000" w:themeColor="text1"/>
        </w:rPr>
        <w:t>z nichž řada ještě nen</w:t>
      </w:r>
      <w:r w:rsidR="004935AA" w:rsidRPr="003527C4">
        <w:rPr>
          <w:color w:val="000000" w:themeColor="text1"/>
        </w:rPr>
        <w:t>í plně v provozu).</w:t>
      </w:r>
      <w:r w:rsidR="00D747A8" w:rsidRPr="003527C4">
        <w:rPr>
          <w:color w:val="000000" w:themeColor="text1"/>
        </w:rPr>
        <w:t xml:space="preserve"> Řídící orgán OP </w:t>
      </w:r>
      <w:proofErr w:type="spellStart"/>
      <w:r w:rsidR="00D747A8" w:rsidRPr="003527C4">
        <w:rPr>
          <w:color w:val="000000" w:themeColor="text1"/>
        </w:rPr>
        <w:t>VaVpI</w:t>
      </w:r>
      <w:proofErr w:type="spellEnd"/>
      <w:r w:rsidR="00D747A8" w:rsidRPr="003527C4">
        <w:rPr>
          <w:color w:val="000000" w:themeColor="text1"/>
        </w:rPr>
        <w:t xml:space="preserve"> bude tyto odhadované náklady na udržitelnost </w:t>
      </w:r>
      <w:proofErr w:type="spellStart"/>
      <w:r w:rsidR="00D747A8" w:rsidRPr="003527C4">
        <w:rPr>
          <w:color w:val="000000" w:themeColor="text1"/>
        </w:rPr>
        <w:t>VaV</w:t>
      </w:r>
      <w:proofErr w:type="spellEnd"/>
      <w:r w:rsidR="00D747A8" w:rsidRPr="003527C4">
        <w:rPr>
          <w:color w:val="000000" w:themeColor="text1"/>
        </w:rPr>
        <w:t xml:space="preserve"> center nadále posuzovat s cílem verifikovat jejich relevantnost.</w:t>
      </w:r>
      <w:r w:rsidR="00D20EB2" w:rsidRPr="00D20EB2">
        <w:rPr>
          <w:b/>
          <w:color w:val="000000" w:themeColor="text1"/>
        </w:rPr>
        <w:t xml:space="preserve"> </w:t>
      </w:r>
      <w:r w:rsidR="00D20EB2">
        <w:rPr>
          <w:b/>
          <w:color w:val="000000" w:themeColor="text1"/>
        </w:rPr>
        <w:t>D</w:t>
      </w:r>
      <w:r w:rsidR="00D20EB2" w:rsidRPr="00D20EB2">
        <w:rPr>
          <w:b/>
          <w:color w:val="000000" w:themeColor="text1"/>
        </w:rPr>
        <w:t xml:space="preserve">ata </w:t>
      </w:r>
      <w:r w:rsidR="00D20EB2">
        <w:rPr>
          <w:b/>
          <w:color w:val="000000" w:themeColor="text1"/>
        </w:rPr>
        <w:t>u</w:t>
      </w:r>
      <w:r w:rsidR="00D20EB2" w:rsidRPr="00D20EB2">
        <w:rPr>
          <w:b/>
          <w:color w:val="000000" w:themeColor="text1"/>
        </w:rPr>
        <w:t>vedená</w:t>
      </w:r>
      <w:r w:rsidR="00D20EB2">
        <w:rPr>
          <w:b/>
          <w:color w:val="000000" w:themeColor="text1"/>
        </w:rPr>
        <w:t xml:space="preserve"> v Tabulce 2</w:t>
      </w:r>
      <w:r w:rsidR="00D20EB2" w:rsidRPr="00D20EB2">
        <w:rPr>
          <w:b/>
          <w:color w:val="000000" w:themeColor="text1"/>
        </w:rPr>
        <w:t xml:space="preserve"> nejsou konečná, jde </w:t>
      </w:r>
      <w:r w:rsidR="00D20EB2">
        <w:rPr>
          <w:b/>
          <w:color w:val="000000" w:themeColor="text1"/>
        </w:rPr>
        <w:t xml:space="preserve">pouze </w:t>
      </w:r>
      <w:r w:rsidR="00D20EB2" w:rsidRPr="00D20EB2">
        <w:rPr>
          <w:b/>
          <w:color w:val="000000" w:themeColor="text1"/>
        </w:rPr>
        <w:t xml:space="preserve">o indikativní hodnoty. Další aktualizace proběhne k </w:t>
      </w:r>
      <w:proofErr w:type="gramStart"/>
      <w:r w:rsidR="00D20EB2" w:rsidRPr="00D20EB2">
        <w:rPr>
          <w:b/>
          <w:color w:val="000000" w:themeColor="text1"/>
        </w:rPr>
        <w:t>31.8.2014</w:t>
      </w:r>
      <w:proofErr w:type="gramEnd"/>
      <w:r w:rsidR="00D20EB2" w:rsidRPr="00D20EB2">
        <w:rPr>
          <w:b/>
          <w:color w:val="000000" w:themeColor="text1"/>
        </w:rPr>
        <w:t>, relevantní data budou k dispozici v září 2014.</w:t>
      </w:r>
    </w:p>
    <w:p w:rsidR="004A082D" w:rsidRPr="003527C4" w:rsidRDefault="004A082D" w:rsidP="004A082D">
      <w:pPr>
        <w:spacing w:after="120"/>
        <w:jc w:val="both"/>
        <w:rPr>
          <w:szCs w:val="28"/>
        </w:rPr>
      </w:pPr>
    </w:p>
    <w:p w:rsidR="004A082D" w:rsidRPr="003527C4" w:rsidRDefault="004A082D" w:rsidP="004A082D">
      <w:pPr>
        <w:spacing w:after="120"/>
        <w:jc w:val="both"/>
        <w:rPr>
          <w:szCs w:val="28"/>
        </w:rPr>
      </w:pPr>
      <w:r w:rsidRPr="003527C4">
        <w:rPr>
          <w:szCs w:val="28"/>
        </w:rPr>
        <w:t>Vzhledem k</w:t>
      </w:r>
      <w:r w:rsidR="00D91446" w:rsidRPr="003527C4">
        <w:rPr>
          <w:szCs w:val="28"/>
        </w:rPr>
        <w:t xml:space="preserve"> nízké míře úspěšnosti </w:t>
      </w:r>
      <w:proofErr w:type="spellStart"/>
      <w:r w:rsidR="00D91446" w:rsidRPr="003527C4">
        <w:rPr>
          <w:szCs w:val="28"/>
        </w:rPr>
        <w:t>VaV</w:t>
      </w:r>
      <w:proofErr w:type="spellEnd"/>
      <w:r w:rsidR="00D91446" w:rsidRPr="003527C4">
        <w:rPr>
          <w:szCs w:val="28"/>
        </w:rPr>
        <w:t xml:space="preserve"> center při zí</w:t>
      </w:r>
      <w:r w:rsidR="00D747A8" w:rsidRPr="003527C4">
        <w:rPr>
          <w:szCs w:val="28"/>
        </w:rPr>
        <w:t>s</w:t>
      </w:r>
      <w:r w:rsidR="00D91446" w:rsidRPr="003527C4">
        <w:rPr>
          <w:szCs w:val="28"/>
        </w:rPr>
        <w:t>kávání prostředků</w:t>
      </w:r>
      <w:r w:rsidRPr="003527C4">
        <w:rPr>
          <w:szCs w:val="28"/>
        </w:rPr>
        <w:t xml:space="preserve"> z jiných zdrojů (mezinárodní granty a smluvní výzkum)</w:t>
      </w:r>
      <w:r w:rsidR="00D91446" w:rsidRPr="003527C4">
        <w:rPr>
          <w:szCs w:val="28"/>
        </w:rPr>
        <w:t>,</w:t>
      </w:r>
      <w:r w:rsidRPr="003527C4">
        <w:rPr>
          <w:szCs w:val="28"/>
        </w:rPr>
        <w:t xml:space="preserve"> lze předpokládat dopad na státní rozpočet především v oblasti institucionální podpory, účelové podpory a příspěvku na vzdělávací činnost.</w:t>
      </w:r>
    </w:p>
    <w:p w:rsidR="007305AF" w:rsidRPr="003527C4" w:rsidRDefault="007305AF" w:rsidP="007305AF">
      <w:pPr>
        <w:sectPr w:rsidR="007305AF" w:rsidRPr="003527C4" w:rsidSect="00A209D4">
          <w:headerReference w:type="default" r:id="rId11"/>
          <w:footerReference w:type="default" r:id="rId12"/>
          <w:pgSz w:w="11906" w:h="16838"/>
          <w:pgMar w:top="1134" w:right="1134" w:bottom="1134" w:left="1134" w:header="708" w:footer="708" w:gutter="0"/>
          <w:pgNumType w:start="1"/>
          <w:cols w:space="708"/>
        </w:sectPr>
      </w:pPr>
    </w:p>
    <w:p w:rsidR="007305AF" w:rsidRDefault="00B277B1" w:rsidP="007305AF">
      <w:pPr>
        <w:rPr>
          <w:b/>
          <w:szCs w:val="28"/>
        </w:rPr>
      </w:pPr>
      <w:r w:rsidRPr="003527C4">
        <w:rPr>
          <w:b/>
        </w:rPr>
        <w:t>Tabulka 2</w:t>
      </w:r>
      <w:r w:rsidR="000B4CAC">
        <w:rPr>
          <w:b/>
        </w:rPr>
        <w:t xml:space="preserve"> F</w:t>
      </w:r>
      <w:r w:rsidR="00734274" w:rsidRPr="003527C4">
        <w:rPr>
          <w:b/>
          <w:szCs w:val="28"/>
        </w:rPr>
        <w:t xml:space="preserve">inanční udržitelnost </w:t>
      </w:r>
      <w:proofErr w:type="spellStart"/>
      <w:r w:rsidR="000B4CAC">
        <w:rPr>
          <w:b/>
          <w:szCs w:val="28"/>
        </w:rPr>
        <w:t>VaV</w:t>
      </w:r>
      <w:proofErr w:type="spellEnd"/>
      <w:r w:rsidR="000B4CAC">
        <w:rPr>
          <w:b/>
          <w:szCs w:val="28"/>
        </w:rPr>
        <w:t xml:space="preserve"> </w:t>
      </w:r>
      <w:r w:rsidR="00734274" w:rsidRPr="003527C4">
        <w:rPr>
          <w:b/>
          <w:szCs w:val="28"/>
        </w:rPr>
        <w:t xml:space="preserve">center PO 1 a PO 2 </w:t>
      </w:r>
      <w:r w:rsidR="007C2FCA" w:rsidRPr="003527C4">
        <w:rPr>
          <w:b/>
          <w:szCs w:val="28"/>
        </w:rPr>
        <w:t>v</w:t>
      </w:r>
      <w:r w:rsidR="000A1B73" w:rsidRPr="003527C4">
        <w:rPr>
          <w:b/>
          <w:szCs w:val="28"/>
        </w:rPr>
        <w:t> tis.</w:t>
      </w:r>
      <w:r w:rsidR="007C2FCA" w:rsidRPr="003527C4">
        <w:rPr>
          <w:b/>
          <w:szCs w:val="28"/>
        </w:rPr>
        <w:t xml:space="preserve"> Kč </w:t>
      </w:r>
    </w:p>
    <w:p w:rsidR="001C72F4" w:rsidRDefault="001C72F4" w:rsidP="007305AF">
      <w:pPr>
        <w:rPr>
          <w:b/>
          <w:szCs w:val="28"/>
        </w:rPr>
      </w:pPr>
    </w:p>
    <w:tbl>
      <w:tblPr>
        <w:tblW w:w="14601" w:type="dxa"/>
        <w:tblInd w:w="70" w:type="dxa"/>
        <w:tblLayout w:type="fixed"/>
        <w:tblCellMar>
          <w:left w:w="70" w:type="dxa"/>
          <w:right w:w="70" w:type="dxa"/>
        </w:tblCellMar>
        <w:tblLook w:val="04A0" w:firstRow="1" w:lastRow="0" w:firstColumn="1" w:lastColumn="0" w:noHBand="0" w:noVBand="1"/>
      </w:tblPr>
      <w:tblGrid>
        <w:gridCol w:w="4536"/>
        <w:gridCol w:w="886"/>
        <w:gridCol w:w="1032"/>
        <w:gridCol w:w="1032"/>
        <w:gridCol w:w="1033"/>
        <w:gridCol w:w="1032"/>
        <w:gridCol w:w="1032"/>
        <w:gridCol w:w="1032"/>
        <w:gridCol w:w="1040"/>
        <w:gridCol w:w="1946"/>
      </w:tblGrid>
      <w:tr w:rsidR="001C72F4" w:rsidRPr="001C72F4" w:rsidTr="001C72F4">
        <w:trPr>
          <w:trHeight w:val="284"/>
        </w:trPr>
        <w:tc>
          <w:tcPr>
            <w:tcW w:w="4536"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886" w:type="dxa"/>
            <w:tcBorders>
              <w:top w:val="single" w:sz="8" w:space="0" w:color="auto"/>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2013</w:t>
            </w:r>
          </w:p>
        </w:tc>
        <w:tc>
          <w:tcPr>
            <w:tcW w:w="1032" w:type="dxa"/>
            <w:tcBorders>
              <w:top w:val="single" w:sz="8" w:space="0" w:color="auto"/>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2014</w:t>
            </w:r>
          </w:p>
        </w:tc>
        <w:tc>
          <w:tcPr>
            <w:tcW w:w="1032" w:type="dxa"/>
            <w:tcBorders>
              <w:top w:val="single" w:sz="8" w:space="0" w:color="auto"/>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2015</w:t>
            </w:r>
          </w:p>
        </w:tc>
        <w:tc>
          <w:tcPr>
            <w:tcW w:w="1033" w:type="dxa"/>
            <w:tcBorders>
              <w:top w:val="single" w:sz="8" w:space="0" w:color="auto"/>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2016</w:t>
            </w:r>
          </w:p>
        </w:tc>
        <w:tc>
          <w:tcPr>
            <w:tcW w:w="1032" w:type="dxa"/>
            <w:tcBorders>
              <w:top w:val="single" w:sz="8" w:space="0" w:color="auto"/>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2017</w:t>
            </w:r>
          </w:p>
        </w:tc>
        <w:tc>
          <w:tcPr>
            <w:tcW w:w="1032" w:type="dxa"/>
            <w:tcBorders>
              <w:top w:val="single" w:sz="8" w:space="0" w:color="auto"/>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2018</w:t>
            </w:r>
          </w:p>
        </w:tc>
        <w:tc>
          <w:tcPr>
            <w:tcW w:w="1032" w:type="dxa"/>
            <w:tcBorders>
              <w:top w:val="single" w:sz="8" w:space="0" w:color="auto"/>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2019</w:t>
            </w:r>
          </w:p>
        </w:tc>
        <w:tc>
          <w:tcPr>
            <w:tcW w:w="1040" w:type="dxa"/>
            <w:tcBorders>
              <w:top w:val="single" w:sz="8" w:space="0" w:color="auto"/>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2020</w:t>
            </w:r>
          </w:p>
        </w:tc>
        <w:tc>
          <w:tcPr>
            <w:tcW w:w="1946" w:type="dxa"/>
            <w:tcBorders>
              <w:top w:val="single" w:sz="8" w:space="0" w:color="auto"/>
              <w:left w:val="nil"/>
              <w:bottom w:val="single" w:sz="8" w:space="0" w:color="auto"/>
              <w:right w:val="single" w:sz="8" w:space="0" w:color="auto"/>
            </w:tcBorders>
            <w:shd w:val="clear" w:color="000000" w:fill="BFBFBF"/>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Celkem 2013-2020</w:t>
            </w:r>
          </w:p>
        </w:tc>
      </w:tr>
      <w:tr w:rsidR="001C72F4" w:rsidRPr="001C72F4" w:rsidTr="001C72F4">
        <w:trPr>
          <w:trHeight w:val="525"/>
        </w:trPr>
        <w:tc>
          <w:tcPr>
            <w:tcW w:w="4536" w:type="dxa"/>
            <w:tcBorders>
              <w:top w:val="nil"/>
              <w:left w:val="single" w:sz="8" w:space="0" w:color="auto"/>
              <w:bottom w:val="single" w:sz="8" w:space="0" w:color="auto"/>
              <w:right w:val="single" w:sz="8" w:space="0" w:color="auto"/>
            </w:tcBorders>
            <w:shd w:val="clear" w:color="000000" w:fill="BFBFBF"/>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xml:space="preserve">Předpokládané náklady na provoz </w:t>
            </w:r>
            <w:proofErr w:type="spellStart"/>
            <w:r w:rsidRPr="001C72F4">
              <w:rPr>
                <w:rFonts w:ascii="Calibri" w:eastAsia="Times New Roman" w:hAnsi="Calibri" w:cs="Times New Roman"/>
                <w:b/>
                <w:bCs/>
                <w:color w:val="000000"/>
                <w:kern w:val="0"/>
                <w:sz w:val="20"/>
                <w:szCs w:val="20"/>
                <w:lang w:eastAsia="cs-CZ" w:bidi="ar-SA"/>
              </w:rPr>
              <w:t>VaV</w:t>
            </w:r>
            <w:proofErr w:type="spellEnd"/>
            <w:r w:rsidRPr="001C72F4">
              <w:rPr>
                <w:rFonts w:ascii="Calibri" w:eastAsia="Times New Roman" w:hAnsi="Calibri" w:cs="Times New Roman"/>
                <w:b/>
                <w:bCs/>
                <w:color w:val="000000"/>
                <w:kern w:val="0"/>
                <w:sz w:val="20"/>
                <w:szCs w:val="20"/>
                <w:lang w:eastAsia="cs-CZ" w:bidi="ar-SA"/>
              </w:rPr>
              <w:t xml:space="preserve"> center vč. reinvestic</w:t>
            </w:r>
          </w:p>
        </w:tc>
        <w:tc>
          <w:tcPr>
            <w:tcW w:w="886"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151 972</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1 629 076</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2 974 479</w:t>
            </w:r>
          </w:p>
        </w:tc>
        <w:tc>
          <w:tcPr>
            <w:tcW w:w="1033"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5 607 355</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6 511 410</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5 900 955</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4 934 837</w:t>
            </w:r>
          </w:p>
        </w:tc>
        <w:tc>
          <w:tcPr>
            <w:tcW w:w="1040"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3 963 455</w:t>
            </w:r>
          </w:p>
        </w:tc>
        <w:tc>
          <w:tcPr>
            <w:tcW w:w="1946" w:type="dxa"/>
            <w:tcBorders>
              <w:top w:val="nil"/>
              <w:left w:val="nil"/>
              <w:bottom w:val="single" w:sz="8" w:space="0" w:color="auto"/>
              <w:right w:val="single" w:sz="8" w:space="0" w:color="auto"/>
            </w:tcBorders>
            <w:shd w:val="clear" w:color="000000" w:fill="BFBFBF"/>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31 673 537</w:t>
            </w:r>
          </w:p>
        </w:tc>
      </w:tr>
      <w:tr w:rsidR="001C72F4" w:rsidRPr="001C72F4" w:rsidTr="001C72F4">
        <w:trPr>
          <w:trHeight w:val="195"/>
        </w:trPr>
        <w:tc>
          <w:tcPr>
            <w:tcW w:w="4536" w:type="dxa"/>
            <w:tcBorders>
              <w:top w:val="nil"/>
              <w:left w:val="single" w:sz="8" w:space="0" w:color="auto"/>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88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1033"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1040"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c>
          <w:tcPr>
            <w:tcW w:w="1946" w:type="dxa"/>
            <w:tcBorders>
              <w:top w:val="nil"/>
              <w:left w:val="nil"/>
              <w:bottom w:val="single" w:sz="8" w:space="0" w:color="auto"/>
              <w:right w:val="single" w:sz="8" w:space="0" w:color="auto"/>
            </w:tcBorders>
            <w:shd w:val="clear" w:color="auto" w:fill="auto"/>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 </w:t>
            </w:r>
          </w:p>
        </w:tc>
      </w:tr>
      <w:tr w:rsidR="001C72F4" w:rsidRPr="001C72F4" w:rsidTr="001C72F4">
        <w:trPr>
          <w:trHeight w:val="299"/>
        </w:trPr>
        <w:tc>
          <w:tcPr>
            <w:tcW w:w="4536" w:type="dxa"/>
            <w:tcBorders>
              <w:top w:val="nil"/>
              <w:left w:val="single" w:sz="8" w:space="0" w:color="auto"/>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Předpokládané požadavky/Zdroje v letech ***</w:t>
            </w:r>
          </w:p>
        </w:tc>
        <w:tc>
          <w:tcPr>
            <w:tcW w:w="886"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2013</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2014</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2015</w:t>
            </w:r>
          </w:p>
        </w:tc>
        <w:tc>
          <w:tcPr>
            <w:tcW w:w="1033"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2016</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2017</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2018</w:t>
            </w:r>
          </w:p>
        </w:tc>
        <w:tc>
          <w:tcPr>
            <w:tcW w:w="1032"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2019</w:t>
            </w:r>
          </w:p>
        </w:tc>
        <w:tc>
          <w:tcPr>
            <w:tcW w:w="1040" w:type="dxa"/>
            <w:tcBorders>
              <w:top w:val="nil"/>
              <w:left w:val="nil"/>
              <w:bottom w:val="single" w:sz="8"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2020</w:t>
            </w:r>
          </w:p>
        </w:tc>
        <w:tc>
          <w:tcPr>
            <w:tcW w:w="1946" w:type="dxa"/>
            <w:tcBorders>
              <w:top w:val="nil"/>
              <w:left w:val="nil"/>
              <w:bottom w:val="single" w:sz="8" w:space="0" w:color="auto"/>
              <w:right w:val="single" w:sz="8" w:space="0" w:color="auto"/>
            </w:tcBorders>
            <w:shd w:val="clear" w:color="000000" w:fill="BFBFBF"/>
            <w:vAlign w:val="center"/>
            <w:hideMark/>
          </w:tcPr>
          <w:p w:rsidR="001C72F4" w:rsidRPr="001C72F4" w:rsidRDefault="001C72F4" w:rsidP="001C72F4">
            <w:pPr>
              <w:widowControl/>
              <w:suppressAutoHyphens w:val="0"/>
              <w:autoSpaceDN/>
              <w:jc w:val="center"/>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Celkem 2013-2020</w:t>
            </w:r>
          </w:p>
        </w:tc>
      </w:tr>
      <w:tr w:rsidR="001C72F4" w:rsidRPr="001C72F4" w:rsidTr="001C72F4">
        <w:trPr>
          <w:trHeight w:val="315"/>
        </w:trPr>
        <w:tc>
          <w:tcPr>
            <w:tcW w:w="4536" w:type="dxa"/>
            <w:tcBorders>
              <w:top w:val="nil"/>
              <w:left w:val="single" w:sz="8" w:space="0" w:color="auto"/>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Účelové prostředky národní</w:t>
            </w:r>
          </w:p>
        </w:tc>
        <w:tc>
          <w:tcPr>
            <w:tcW w:w="88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54 448</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932 375</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1 773 675</w:t>
            </w:r>
          </w:p>
        </w:tc>
        <w:tc>
          <w:tcPr>
            <w:tcW w:w="1033"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3 129 928</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3 328 446</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3 312 518</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2 655 041</w:t>
            </w:r>
          </w:p>
        </w:tc>
        <w:tc>
          <w:tcPr>
            <w:tcW w:w="1040"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1 826 216</w:t>
            </w:r>
          </w:p>
        </w:tc>
        <w:tc>
          <w:tcPr>
            <w:tcW w:w="194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17 012 646</w:t>
            </w:r>
          </w:p>
        </w:tc>
      </w:tr>
      <w:tr w:rsidR="001C72F4" w:rsidRPr="001C72F4" w:rsidTr="001C72F4">
        <w:trPr>
          <w:trHeight w:val="525"/>
        </w:trPr>
        <w:tc>
          <w:tcPr>
            <w:tcW w:w="4536" w:type="dxa"/>
            <w:tcBorders>
              <w:top w:val="nil"/>
              <w:left w:val="single" w:sz="8" w:space="0" w:color="auto"/>
              <w:bottom w:val="single" w:sz="8" w:space="0" w:color="auto"/>
              <w:right w:val="single" w:sz="8" w:space="0" w:color="auto"/>
            </w:tcBorders>
            <w:shd w:val="clear" w:color="auto" w:fill="auto"/>
            <w:vAlign w:val="center"/>
            <w:hideMark/>
          </w:tcPr>
          <w:p w:rsidR="001C72F4" w:rsidRPr="001C72F4" w:rsidRDefault="001C72F4" w:rsidP="001C72F4">
            <w:pPr>
              <w:widowControl/>
              <w:suppressAutoHyphens w:val="0"/>
              <w:autoSpaceDN/>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z toho: prostředky z Národního programu udržitelno</w:t>
            </w:r>
            <w:r w:rsidRPr="001C72F4">
              <w:rPr>
                <w:rFonts w:ascii="Calibri" w:eastAsia="Times New Roman" w:hAnsi="Calibri" w:cs="Times New Roman"/>
                <w:color w:val="000000"/>
                <w:kern w:val="0"/>
                <w:sz w:val="20"/>
                <w:szCs w:val="20"/>
                <w:lang w:eastAsia="cs-CZ" w:bidi="ar-SA"/>
              </w:rPr>
              <w:t>s</w:t>
            </w:r>
            <w:r w:rsidRPr="001C72F4">
              <w:rPr>
                <w:rFonts w:ascii="Calibri" w:eastAsia="Times New Roman" w:hAnsi="Calibri" w:cs="Times New Roman"/>
                <w:color w:val="000000"/>
                <w:kern w:val="0"/>
                <w:sz w:val="20"/>
                <w:szCs w:val="20"/>
                <w:lang w:eastAsia="cs-CZ" w:bidi="ar-SA"/>
              </w:rPr>
              <w:t>ti** (dále jen „NPU“)</w:t>
            </w:r>
          </w:p>
        </w:tc>
        <w:tc>
          <w:tcPr>
            <w:tcW w:w="88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2423</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541 016</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859 264</w:t>
            </w:r>
          </w:p>
        </w:tc>
        <w:tc>
          <w:tcPr>
            <w:tcW w:w="1033"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1 575 989</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1 703 138</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1 690 373</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1 382 409</w:t>
            </w:r>
          </w:p>
        </w:tc>
        <w:tc>
          <w:tcPr>
            <w:tcW w:w="1040"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1 120 849</w:t>
            </w:r>
          </w:p>
        </w:tc>
        <w:tc>
          <w:tcPr>
            <w:tcW w:w="194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8 875 460</w:t>
            </w:r>
          </w:p>
        </w:tc>
      </w:tr>
      <w:tr w:rsidR="001C72F4" w:rsidRPr="001C72F4" w:rsidTr="001C72F4">
        <w:trPr>
          <w:trHeight w:val="315"/>
        </w:trPr>
        <w:tc>
          <w:tcPr>
            <w:tcW w:w="4536" w:type="dxa"/>
            <w:tcBorders>
              <w:top w:val="nil"/>
              <w:left w:val="single" w:sz="8" w:space="0" w:color="auto"/>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Mezinárodní granty</w:t>
            </w:r>
          </w:p>
        </w:tc>
        <w:tc>
          <w:tcPr>
            <w:tcW w:w="88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5 100</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112 026</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229 340</w:t>
            </w:r>
          </w:p>
        </w:tc>
        <w:tc>
          <w:tcPr>
            <w:tcW w:w="1033"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620 832</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680 071</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710 234</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605 635</w:t>
            </w:r>
          </w:p>
        </w:tc>
        <w:tc>
          <w:tcPr>
            <w:tcW w:w="1040"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455 984</w:t>
            </w:r>
          </w:p>
        </w:tc>
        <w:tc>
          <w:tcPr>
            <w:tcW w:w="194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3 419 222</w:t>
            </w:r>
          </w:p>
        </w:tc>
      </w:tr>
      <w:tr w:rsidR="001C72F4" w:rsidRPr="001C72F4" w:rsidTr="001C72F4">
        <w:trPr>
          <w:trHeight w:val="315"/>
        </w:trPr>
        <w:tc>
          <w:tcPr>
            <w:tcW w:w="4536" w:type="dxa"/>
            <w:tcBorders>
              <w:top w:val="nil"/>
              <w:left w:val="single" w:sz="8" w:space="0" w:color="auto"/>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Institucionální prostředky</w:t>
            </w:r>
          </w:p>
        </w:tc>
        <w:tc>
          <w:tcPr>
            <w:tcW w:w="88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40 014</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272817</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521 552</w:t>
            </w:r>
          </w:p>
        </w:tc>
        <w:tc>
          <w:tcPr>
            <w:tcW w:w="1033"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1 171 091</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1 186 144</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1 128 669</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865 857</w:t>
            </w:r>
          </w:p>
        </w:tc>
        <w:tc>
          <w:tcPr>
            <w:tcW w:w="1040"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591 620</w:t>
            </w:r>
          </w:p>
        </w:tc>
        <w:tc>
          <w:tcPr>
            <w:tcW w:w="194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5 777 764</w:t>
            </w:r>
          </w:p>
        </w:tc>
      </w:tr>
      <w:tr w:rsidR="001C72F4" w:rsidRPr="001C72F4" w:rsidTr="001C72F4">
        <w:trPr>
          <w:trHeight w:val="315"/>
        </w:trPr>
        <w:tc>
          <w:tcPr>
            <w:tcW w:w="4536" w:type="dxa"/>
            <w:tcBorders>
              <w:top w:val="nil"/>
              <w:left w:val="single" w:sz="8" w:space="0" w:color="auto"/>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Příspěvek na vzdělávací činnost</w:t>
            </w:r>
          </w:p>
        </w:tc>
        <w:tc>
          <w:tcPr>
            <w:tcW w:w="88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0</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25 215</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57 379</w:t>
            </w:r>
          </w:p>
        </w:tc>
        <w:tc>
          <w:tcPr>
            <w:tcW w:w="1033"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73 319</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76 884</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80 357</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48 747</w:t>
            </w:r>
          </w:p>
        </w:tc>
        <w:tc>
          <w:tcPr>
            <w:tcW w:w="1040"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15 883</w:t>
            </w:r>
          </w:p>
        </w:tc>
        <w:tc>
          <w:tcPr>
            <w:tcW w:w="194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377 784</w:t>
            </w:r>
          </w:p>
        </w:tc>
      </w:tr>
      <w:tr w:rsidR="001C72F4" w:rsidRPr="001C72F4" w:rsidTr="001C72F4">
        <w:trPr>
          <w:trHeight w:val="315"/>
        </w:trPr>
        <w:tc>
          <w:tcPr>
            <w:tcW w:w="4536" w:type="dxa"/>
            <w:tcBorders>
              <w:top w:val="nil"/>
              <w:left w:val="single" w:sz="8" w:space="0" w:color="auto"/>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Příjmy ze smluvního výzkumu</w:t>
            </w:r>
          </w:p>
        </w:tc>
        <w:tc>
          <w:tcPr>
            <w:tcW w:w="88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52410</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271 113</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596 693</w:t>
            </w:r>
          </w:p>
        </w:tc>
        <w:tc>
          <w:tcPr>
            <w:tcW w:w="1033"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950 492</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1 041 690</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1 060 646</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807 507</w:t>
            </w:r>
          </w:p>
        </w:tc>
        <w:tc>
          <w:tcPr>
            <w:tcW w:w="1040"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419 476</w:t>
            </w:r>
          </w:p>
        </w:tc>
        <w:tc>
          <w:tcPr>
            <w:tcW w:w="194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5 200 027</w:t>
            </w:r>
          </w:p>
        </w:tc>
      </w:tr>
      <w:tr w:rsidR="001C72F4" w:rsidRPr="001C72F4" w:rsidTr="001C72F4">
        <w:trPr>
          <w:trHeight w:val="315"/>
        </w:trPr>
        <w:tc>
          <w:tcPr>
            <w:tcW w:w="4536" w:type="dxa"/>
            <w:tcBorders>
              <w:top w:val="nil"/>
              <w:left w:val="single" w:sz="8" w:space="0" w:color="auto"/>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 xml:space="preserve">Ostatní zdroje financování </w:t>
            </w:r>
          </w:p>
        </w:tc>
        <w:tc>
          <w:tcPr>
            <w:tcW w:w="88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0</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64 069</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125 183</w:t>
            </w:r>
          </w:p>
        </w:tc>
        <w:tc>
          <w:tcPr>
            <w:tcW w:w="1033"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467 234</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490 149</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499 104</w:t>
            </w:r>
          </w:p>
        </w:tc>
        <w:tc>
          <w:tcPr>
            <w:tcW w:w="1032"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466 961</w:t>
            </w:r>
          </w:p>
        </w:tc>
        <w:tc>
          <w:tcPr>
            <w:tcW w:w="1040"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399 455</w:t>
            </w:r>
          </w:p>
        </w:tc>
        <w:tc>
          <w:tcPr>
            <w:tcW w:w="1946" w:type="dxa"/>
            <w:tcBorders>
              <w:top w:val="nil"/>
              <w:left w:val="nil"/>
              <w:bottom w:val="single" w:sz="8" w:space="0" w:color="auto"/>
              <w:right w:val="single" w:sz="8" w:space="0" w:color="auto"/>
            </w:tcBorders>
            <w:shd w:val="clear" w:color="auto" w:fill="auto"/>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color w:val="000000"/>
                <w:kern w:val="0"/>
                <w:sz w:val="20"/>
                <w:szCs w:val="20"/>
                <w:lang w:eastAsia="cs-CZ" w:bidi="ar-SA"/>
              </w:rPr>
            </w:pPr>
            <w:r w:rsidRPr="001C72F4">
              <w:rPr>
                <w:rFonts w:ascii="Calibri" w:eastAsia="Times New Roman" w:hAnsi="Calibri" w:cs="Times New Roman"/>
                <w:color w:val="000000"/>
                <w:kern w:val="0"/>
                <w:sz w:val="20"/>
                <w:szCs w:val="20"/>
                <w:lang w:eastAsia="cs-CZ" w:bidi="ar-SA"/>
              </w:rPr>
              <w:t>2 512 155</w:t>
            </w:r>
          </w:p>
        </w:tc>
      </w:tr>
      <w:tr w:rsidR="001C72F4" w:rsidRPr="001C72F4" w:rsidTr="001C72F4">
        <w:trPr>
          <w:trHeight w:val="315"/>
        </w:trPr>
        <w:tc>
          <w:tcPr>
            <w:tcW w:w="4536" w:type="dxa"/>
            <w:tcBorders>
              <w:top w:val="nil"/>
              <w:left w:val="single" w:sz="8" w:space="0" w:color="auto"/>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Požadované zdroje financování celkem</w:t>
            </w:r>
          </w:p>
        </w:tc>
        <w:tc>
          <w:tcPr>
            <w:tcW w:w="886" w:type="dxa"/>
            <w:tcBorders>
              <w:top w:val="nil"/>
              <w:left w:val="nil"/>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151 972</w:t>
            </w:r>
          </w:p>
        </w:tc>
        <w:tc>
          <w:tcPr>
            <w:tcW w:w="1032" w:type="dxa"/>
            <w:tcBorders>
              <w:top w:val="nil"/>
              <w:left w:val="nil"/>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1 677 615</w:t>
            </w:r>
          </w:p>
        </w:tc>
        <w:tc>
          <w:tcPr>
            <w:tcW w:w="1032" w:type="dxa"/>
            <w:tcBorders>
              <w:top w:val="nil"/>
              <w:left w:val="nil"/>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3 303 821</w:t>
            </w:r>
          </w:p>
        </w:tc>
        <w:tc>
          <w:tcPr>
            <w:tcW w:w="1033" w:type="dxa"/>
            <w:tcBorders>
              <w:top w:val="nil"/>
              <w:left w:val="nil"/>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6 412 897</w:t>
            </w:r>
          </w:p>
        </w:tc>
        <w:tc>
          <w:tcPr>
            <w:tcW w:w="1032" w:type="dxa"/>
            <w:tcBorders>
              <w:top w:val="nil"/>
              <w:left w:val="nil"/>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6 803 383</w:t>
            </w:r>
          </w:p>
        </w:tc>
        <w:tc>
          <w:tcPr>
            <w:tcW w:w="1032" w:type="dxa"/>
            <w:tcBorders>
              <w:top w:val="nil"/>
              <w:left w:val="nil"/>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6 791 528</w:t>
            </w:r>
          </w:p>
        </w:tc>
        <w:tc>
          <w:tcPr>
            <w:tcW w:w="1032" w:type="dxa"/>
            <w:tcBorders>
              <w:top w:val="nil"/>
              <w:left w:val="nil"/>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5 449 748</w:t>
            </w:r>
          </w:p>
        </w:tc>
        <w:tc>
          <w:tcPr>
            <w:tcW w:w="1040" w:type="dxa"/>
            <w:tcBorders>
              <w:top w:val="nil"/>
              <w:left w:val="nil"/>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3 708 634</w:t>
            </w:r>
          </w:p>
        </w:tc>
        <w:tc>
          <w:tcPr>
            <w:tcW w:w="1946" w:type="dxa"/>
            <w:tcBorders>
              <w:top w:val="nil"/>
              <w:left w:val="nil"/>
              <w:bottom w:val="double" w:sz="6" w:space="0" w:color="auto"/>
              <w:right w:val="single" w:sz="8" w:space="0" w:color="auto"/>
            </w:tcBorders>
            <w:shd w:val="clear" w:color="000000" w:fill="BFBFBF"/>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34 299 598</w:t>
            </w:r>
          </w:p>
        </w:tc>
      </w:tr>
      <w:tr w:rsidR="001C72F4" w:rsidRPr="001C72F4" w:rsidTr="001C72F4">
        <w:trPr>
          <w:trHeight w:val="948"/>
        </w:trPr>
        <w:tc>
          <w:tcPr>
            <w:tcW w:w="4536" w:type="dxa"/>
            <w:tcBorders>
              <w:top w:val="nil"/>
              <w:left w:val="single" w:sz="8" w:space="0" w:color="auto"/>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Předpokládané požadavky na SR projektů PO 1 a PO 2 v realizaci v jednotlivých letech (očištěno o smluvní výzkum, ostatní zdroje financování a mezinárodní granty)</w:t>
            </w:r>
          </w:p>
        </w:tc>
        <w:tc>
          <w:tcPr>
            <w:tcW w:w="886" w:type="dxa"/>
            <w:tcBorders>
              <w:top w:val="nil"/>
              <w:left w:val="nil"/>
              <w:bottom w:val="single" w:sz="8" w:space="0" w:color="auto"/>
              <w:right w:val="single" w:sz="8" w:space="0" w:color="auto"/>
            </w:tcBorders>
            <w:shd w:val="clear" w:color="000000" w:fill="C4D79B"/>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94 462</w:t>
            </w:r>
          </w:p>
        </w:tc>
        <w:tc>
          <w:tcPr>
            <w:tcW w:w="1032" w:type="dxa"/>
            <w:tcBorders>
              <w:top w:val="nil"/>
              <w:left w:val="nil"/>
              <w:bottom w:val="single" w:sz="8" w:space="0" w:color="auto"/>
              <w:right w:val="single" w:sz="8" w:space="0" w:color="auto"/>
            </w:tcBorders>
            <w:shd w:val="clear" w:color="000000" w:fill="C4D79B"/>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1 230 407</w:t>
            </w:r>
          </w:p>
        </w:tc>
        <w:tc>
          <w:tcPr>
            <w:tcW w:w="1032" w:type="dxa"/>
            <w:tcBorders>
              <w:top w:val="nil"/>
              <w:left w:val="nil"/>
              <w:bottom w:val="single" w:sz="8" w:space="0" w:color="auto"/>
              <w:right w:val="single" w:sz="8" w:space="0" w:color="auto"/>
            </w:tcBorders>
            <w:shd w:val="clear" w:color="000000" w:fill="C4D79B"/>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2 352 606</w:t>
            </w:r>
          </w:p>
        </w:tc>
        <w:tc>
          <w:tcPr>
            <w:tcW w:w="1033" w:type="dxa"/>
            <w:tcBorders>
              <w:top w:val="nil"/>
              <w:left w:val="nil"/>
              <w:bottom w:val="single" w:sz="8" w:space="0" w:color="auto"/>
              <w:right w:val="single" w:sz="8" w:space="0" w:color="auto"/>
            </w:tcBorders>
            <w:shd w:val="clear" w:color="000000" w:fill="C4D79B"/>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4 374 338</w:t>
            </w:r>
          </w:p>
        </w:tc>
        <w:tc>
          <w:tcPr>
            <w:tcW w:w="1032" w:type="dxa"/>
            <w:tcBorders>
              <w:top w:val="nil"/>
              <w:left w:val="nil"/>
              <w:bottom w:val="single" w:sz="8" w:space="0" w:color="auto"/>
              <w:right w:val="single" w:sz="8" w:space="0" w:color="auto"/>
            </w:tcBorders>
            <w:shd w:val="clear" w:color="000000" w:fill="C4D79B"/>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4 591 474</w:t>
            </w:r>
          </w:p>
        </w:tc>
        <w:tc>
          <w:tcPr>
            <w:tcW w:w="1032" w:type="dxa"/>
            <w:tcBorders>
              <w:top w:val="nil"/>
              <w:left w:val="nil"/>
              <w:bottom w:val="single" w:sz="8" w:space="0" w:color="auto"/>
              <w:right w:val="single" w:sz="8" w:space="0" w:color="auto"/>
            </w:tcBorders>
            <w:shd w:val="clear" w:color="000000" w:fill="C4D79B"/>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4 521 544</w:t>
            </w:r>
          </w:p>
        </w:tc>
        <w:tc>
          <w:tcPr>
            <w:tcW w:w="1032" w:type="dxa"/>
            <w:tcBorders>
              <w:top w:val="nil"/>
              <w:left w:val="nil"/>
              <w:bottom w:val="single" w:sz="8" w:space="0" w:color="auto"/>
              <w:right w:val="single" w:sz="8" w:space="0" w:color="auto"/>
            </w:tcBorders>
            <w:shd w:val="clear" w:color="000000" w:fill="C4D79B"/>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3 569 645</w:t>
            </w:r>
          </w:p>
        </w:tc>
        <w:tc>
          <w:tcPr>
            <w:tcW w:w="1040" w:type="dxa"/>
            <w:tcBorders>
              <w:top w:val="nil"/>
              <w:left w:val="nil"/>
              <w:bottom w:val="single" w:sz="8" w:space="0" w:color="auto"/>
              <w:right w:val="single" w:sz="8" w:space="0" w:color="auto"/>
            </w:tcBorders>
            <w:shd w:val="clear" w:color="000000" w:fill="C4D79B"/>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2 433 719</w:t>
            </w:r>
          </w:p>
        </w:tc>
        <w:tc>
          <w:tcPr>
            <w:tcW w:w="1946" w:type="dxa"/>
            <w:tcBorders>
              <w:top w:val="nil"/>
              <w:left w:val="nil"/>
              <w:bottom w:val="single" w:sz="8" w:space="0" w:color="auto"/>
              <w:right w:val="single" w:sz="8" w:space="0" w:color="auto"/>
            </w:tcBorders>
            <w:shd w:val="clear" w:color="000000" w:fill="C4D79B"/>
            <w:noWrap/>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23 168 194</w:t>
            </w:r>
          </w:p>
        </w:tc>
      </w:tr>
      <w:tr w:rsidR="001C72F4" w:rsidRPr="001C72F4" w:rsidTr="001C72F4">
        <w:trPr>
          <w:trHeight w:val="405"/>
        </w:trPr>
        <w:tc>
          <w:tcPr>
            <w:tcW w:w="4536" w:type="dxa"/>
            <w:tcBorders>
              <w:top w:val="nil"/>
              <w:left w:val="single" w:sz="8" w:space="0" w:color="auto"/>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podíl institucionální podpory na celkových zdrojích</w:t>
            </w:r>
          </w:p>
        </w:tc>
        <w:tc>
          <w:tcPr>
            <w:tcW w:w="886"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26%</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16%</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16%</w:t>
            </w:r>
          </w:p>
        </w:tc>
        <w:tc>
          <w:tcPr>
            <w:tcW w:w="1033"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18%</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17%</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17%</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16%</w:t>
            </w:r>
          </w:p>
        </w:tc>
        <w:tc>
          <w:tcPr>
            <w:tcW w:w="1040"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16%</w:t>
            </w:r>
          </w:p>
        </w:tc>
        <w:tc>
          <w:tcPr>
            <w:tcW w:w="1946"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17%</w:t>
            </w:r>
          </w:p>
        </w:tc>
      </w:tr>
      <w:tr w:rsidR="001C72F4" w:rsidRPr="001C72F4" w:rsidTr="001C72F4">
        <w:trPr>
          <w:trHeight w:val="525"/>
        </w:trPr>
        <w:tc>
          <w:tcPr>
            <w:tcW w:w="4536" w:type="dxa"/>
            <w:tcBorders>
              <w:top w:val="nil"/>
              <w:left w:val="single" w:sz="8" w:space="0" w:color="auto"/>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podíl účelové podpory (vč. NPU) na celkových zdr</w:t>
            </w:r>
            <w:r w:rsidRPr="001C72F4">
              <w:rPr>
                <w:rFonts w:ascii="Calibri" w:eastAsia="Times New Roman" w:hAnsi="Calibri" w:cs="Times New Roman"/>
                <w:b/>
                <w:bCs/>
                <w:color w:val="000000"/>
                <w:kern w:val="0"/>
                <w:sz w:val="20"/>
                <w:szCs w:val="20"/>
                <w:lang w:eastAsia="cs-CZ" w:bidi="ar-SA"/>
              </w:rPr>
              <w:t>o</w:t>
            </w:r>
            <w:r w:rsidRPr="001C72F4">
              <w:rPr>
                <w:rFonts w:ascii="Calibri" w:eastAsia="Times New Roman" w:hAnsi="Calibri" w:cs="Times New Roman"/>
                <w:b/>
                <w:bCs/>
                <w:color w:val="000000"/>
                <w:kern w:val="0"/>
                <w:sz w:val="20"/>
                <w:szCs w:val="20"/>
                <w:lang w:eastAsia="cs-CZ" w:bidi="ar-SA"/>
              </w:rPr>
              <w:t>jích</w:t>
            </w:r>
          </w:p>
        </w:tc>
        <w:tc>
          <w:tcPr>
            <w:tcW w:w="886"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36%</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56%</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54%</w:t>
            </w:r>
          </w:p>
        </w:tc>
        <w:tc>
          <w:tcPr>
            <w:tcW w:w="1033"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49%</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49%</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49%</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49%</w:t>
            </w:r>
          </w:p>
        </w:tc>
        <w:tc>
          <w:tcPr>
            <w:tcW w:w="1040"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49%</w:t>
            </w:r>
          </w:p>
        </w:tc>
        <w:tc>
          <w:tcPr>
            <w:tcW w:w="1946"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50%</w:t>
            </w:r>
          </w:p>
        </w:tc>
      </w:tr>
      <w:tr w:rsidR="001C72F4" w:rsidRPr="001C72F4" w:rsidTr="001C72F4">
        <w:trPr>
          <w:trHeight w:val="315"/>
        </w:trPr>
        <w:tc>
          <w:tcPr>
            <w:tcW w:w="4536" w:type="dxa"/>
            <w:tcBorders>
              <w:top w:val="nil"/>
              <w:left w:val="single" w:sz="8" w:space="0" w:color="auto"/>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podíl NPU na celkových zdrojích</w:t>
            </w:r>
          </w:p>
        </w:tc>
        <w:tc>
          <w:tcPr>
            <w:tcW w:w="886"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32%</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26%</w:t>
            </w:r>
          </w:p>
        </w:tc>
        <w:tc>
          <w:tcPr>
            <w:tcW w:w="1033"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25%</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25%</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25%</w:t>
            </w:r>
          </w:p>
        </w:tc>
        <w:tc>
          <w:tcPr>
            <w:tcW w:w="1032"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25%</w:t>
            </w:r>
          </w:p>
        </w:tc>
        <w:tc>
          <w:tcPr>
            <w:tcW w:w="1040"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30%</w:t>
            </w:r>
          </w:p>
        </w:tc>
        <w:tc>
          <w:tcPr>
            <w:tcW w:w="1946" w:type="dxa"/>
            <w:tcBorders>
              <w:top w:val="nil"/>
              <w:left w:val="nil"/>
              <w:bottom w:val="single" w:sz="8" w:space="0" w:color="auto"/>
              <w:right w:val="single" w:sz="8" w:space="0" w:color="auto"/>
            </w:tcBorders>
            <w:shd w:val="clear" w:color="000000" w:fill="EBF1DE"/>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26%</w:t>
            </w:r>
          </w:p>
        </w:tc>
      </w:tr>
      <w:tr w:rsidR="001C72F4" w:rsidRPr="001C72F4" w:rsidTr="001C72F4">
        <w:trPr>
          <w:trHeight w:val="807"/>
        </w:trPr>
        <w:tc>
          <w:tcPr>
            <w:tcW w:w="4536" w:type="dxa"/>
            <w:tcBorders>
              <w:top w:val="nil"/>
              <w:left w:val="single" w:sz="8" w:space="0" w:color="auto"/>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podíl prostředků státního rozpočtu (institucionální, účelové, příspěvek na vzdělávací čin</w:t>
            </w:r>
            <w:r w:rsidR="002829E8">
              <w:rPr>
                <w:rFonts w:ascii="Calibri" w:eastAsia="Times New Roman" w:hAnsi="Calibri" w:cs="Times New Roman"/>
                <w:b/>
                <w:bCs/>
                <w:color w:val="000000"/>
                <w:kern w:val="0"/>
                <w:sz w:val="20"/>
                <w:szCs w:val="20"/>
                <w:lang w:eastAsia="cs-CZ" w:bidi="ar-SA"/>
              </w:rPr>
              <w:t>nost</w:t>
            </w:r>
            <w:r w:rsidRPr="001C72F4">
              <w:rPr>
                <w:rFonts w:ascii="Calibri" w:eastAsia="Times New Roman" w:hAnsi="Calibri" w:cs="Times New Roman"/>
                <w:b/>
                <w:bCs/>
                <w:color w:val="000000"/>
                <w:kern w:val="0"/>
                <w:sz w:val="20"/>
                <w:szCs w:val="20"/>
                <w:lang w:eastAsia="cs-CZ" w:bidi="ar-SA"/>
              </w:rPr>
              <w:t>) na celk</w:t>
            </w:r>
            <w:r w:rsidRPr="001C72F4">
              <w:rPr>
                <w:rFonts w:ascii="Calibri" w:eastAsia="Times New Roman" w:hAnsi="Calibri" w:cs="Times New Roman"/>
                <w:b/>
                <w:bCs/>
                <w:color w:val="000000"/>
                <w:kern w:val="0"/>
                <w:sz w:val="20"/>
                <w:szCs w:val="20"/>
                <w:lang w:eastAsia="cs-CZ" w:bidi="ar-SA"/>
              </w:rPr>
              <w:t>o</w:t>
            </w:r>
            <w:r w:rsidRPr="001C72F4">
              <w:rPr>
                <w:rFonts w:ascii="Calibri" w:eastAsia="Times New Roman" w:hAnsi="Calibri" w:cs="Times New Roman"/>
                <w:b/>
                <w:bCs/>
                <w:color w:val="000000"/>
                <w:kern w:val="0"/>
                <w:sz w:val="20"/>
                <w:szCs w:val="20"/>
                <w:lang w:eastAsia="cs-CZ" w:bidi="ar-SA"/>
              </w:rPr>
              <w:t>vých zdrojích</w:t>
            </w:r>
          </w:p>
        </w:tc>
        <w:tc>
          <w:tcPr>
            <w:tcW w:w="886" w:type="dxa"/>
            <w:tcBorders>
              <w:top w:val="nil"/>
              <w:left w:val="nil"/>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62%</w:t>
            </w:r>
          </w:p>
        </w:tc>
        <w:tc>
          <w:tcPr>
            <w:tcW w:w="1032" w:type="dxa"/>
            <w:tcBorders>
              <w:top w:val="nil"/>
              <w:left w:val="nil"/>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73%</w:t>
            </w:r>
          </w:p>
        </w:tc>
        <w:tc>
          <w:tcPr>
            <w:tcW w:w="1032" w:type="dxa"/>
            <w:tcBorders>
              <w:top w:val="nil"/>
              <w:left w:val="nil"/>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71%</w:t>
            </w:r>
          </w:p>
        </w:tc>
        <w:tc>
          <w:tcPr>
            <w:tcW w:w="1033" w:type="dxa"/>
            <w:tcBorders>
              <w:top w:val="nil"/>
              <w:left w:val="nil"/>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68%</w:t>
            </w:r>
          </w:p>
        </w:tc>
        <w:tc>
          <w:tcPr>
            <w:tcW w:w="1032" w:type="dxa"/>
            <w:tcBorders>
              <w:top w:val="nil"/>
              <w:left w:val="nil"/>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67%</w:t>
            </w:r>
          </w:p>
        </w:tc>
        <w:tc>
          <w:tcPr>
            <w:tcW w:w="1032" w:type="dxa"/>
            <w:tcBorders>
              <w:top w:val="nil"/>
              <w:left w:val="nil"/>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67%</w:t>
            </w:r>
          </w:p>
        </w:tc>
        <w:tc>
          <w:tcPr>
            <w:tcW w:w="1032" w:type="dxa"/>
            <w:tcBorders>
              <w:top w:val="nil"/>
              <w:left w:val="nil"/>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66%</w:t>
            </w:r>
          </w:p>
        </w:tc>
        <w:tc>
          <w:tcPr>
            <w:tcW w:w="1040" w:type="dxa"/>
            <w:tcBorders>
              <w:top w:val="nil"/>
              <w:left w:val="nil"/>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66%</w:t>
            </w:r>
          </w:p>
        </w:tc>
        <w:tc>
          <w:tcPr>
            <w:tcW w:w="1946" w:type="dxa"/>
            <w:tcBorders>
              <w:top w:val="nil"/>
              <w:left w:val="nil"/>
              <w:bottom w:val="single" w:sz="8" w:space="0" w:color="auto"/>
              <w:right w:val="single" w:sz="8" w:space="0" w:color="auto"/>
            </w:tcBorders>
            <w:shd w:val="clear" w:color="000000" w:fill="C4D79B"/>
            <w:vAlign w:val="center"/>
            <w:hideMark/>
          </w:tcPr>
          <w:p w:rsidR="001C72F4" w:rsidRPr="001C72F4" w:rsidRDefault="001C72F4" w:rsidP="001C72F4">
            <w:pPr>
              <w:widowControl/>
              <w:suppressAutoHyphens w:val="0"/>
              <w:autoSpaceDN/>
              <w:jc w:val="right"/>
              <w:textAlignment w:val="auto"/>
              <w:rPr>
                <w:rFonts w:ascii="Calibri" w:eastAsia="Times New Roman" w:hAnsi="Calibri" w:cs="Times New Roman"/>
                <w:b/>
                <w:bCs/>
                <w:color w:val="000000"/>
                <w:kern w:val="0"/>
                <w:sz w:val="20"/>
                <w:szCs w:val="20"/>
                <w:lang w:eastAsia="cs-CZ" w:bidi="ar-SA"/>
              </w:rPr>
            </w:pPr>
            <w:r w:rsidRPr="001C72F4">
              <w:rPr>
                <w:rFonts w:ascii="Calibri" w:eastAsia="Times New Roman" w:hAnsi="Calibri" w:cs="Times New Roman"/>
                <w:b/>
                <w:bCs/>
                <w:color w:val="000000"/>
                <w:kern w:val="0"/>
                <w:sz w:val="20"/>
                <w:szCs w:val="20"/>
                <w:lang w:eastAsia="cs-CZ" w:bidi="ar-SA"/>
              </w:rPr>
              <w:t>68%</w:t>
            </w:r>
          </w:p>
        </w:tc>
      </w:tr>
    </w:tbl>
    <w:p w:rsidR="00A45AE8" w:rsidRPr="001D7F4F" w:rsidRDefault="007A4E93" w:rsidP="007305AF">
      <w:pPr>
        <w:rPr>
          <w:sz w:val="20"/>
          <w:szCs w:val="20"/>
        </w:rPr>
      </w:pPr>
      <w:r w:rsidRPr="001D7F4F">
        <w:rPr>
          <w:sz w:val="20"/>
          <w:szCs w:val="20"/>
        </w:rPr>
        <w:t xml:space="preserve">* </w:t>
      </w:r>
      <w:r w:rsidR="00A45AE8" w:rsidRPr="001D7F4F">
        <w:rPr>
          <w:sz w:val="20"/>
          <w:szCs w:val="20"/>
        </w:rPr>
        <w:t xml:space="preserve">Zdroj: ESOP, 1. červenec 2014 </w:t>
      </w:r>
      <w:r w:rsidR="00DA20BF" w:rsidRPr="001D7F4F">
        <w:rPr>
          <w:sz w:val="20"/>
          <w:szCs w:val="20"/>
        </w:rPr>
        <w:t>data byla získána od příjemců PO 1 a PO 2</w:t>
      </w:r>
      <w:r w:rsidR="00D20EB2">
        <w:rPr>
          <w:sz w:val="20"/>
          <w:szCs w:val="20"/>
        </w:rPr>
        <w:t xml:space="preserve"> z jejich plánovaných rozpočtů. </w:t>
      </w:r>
      <w:r w:rsidR="00D20EB2">
        <w:rPr>
          <w:b/>
          <w:sz w:val="20"/>
          <w:szCs w:val="20"/>
        </w:rPr>
        <w:t>U</w:t>
      </w:r>
      <w:r w:rsidR="00D20EB2" w:rsidRPr="00D20EB2">
        <w:rPr>
          <w:b/>
          <w:sz w:val="20"/>
          <w:szCs w:val="20"/>
        </w:rPr>
        <w:t>vedené hodnoty</w:t>
      </w:r>
      <w:r w:rsidR="00D20EB2">
        <w:rPr>
          <w:b/>
          <w:sz w:val="20"/>
          <w:szCs w:val="20"/>
        </w:rPr>
        <w:t xml:space="preserve"> jsou pouze indikativní.</w:t>
      </w:r>
    </w:p>
    <w:p w:rsidR="007A4E93" w:rsidRPr="001D7F4F" w:rsidRDefault="00A45AE8" w:rsidP="007305AF">
      <w:pPr>
        <w:rPr>
          <w:sz w:val="20"/>
          <w:szCs w:val="20"/>
        </w:rPr>
      </w:pPr>
      <w:r w:rsidRPr="001D7F4F">
        <w:rPr>
          <w:sz w:val="20"/>
          <w:szCs w:val="20"/>
        </w:rPr>
        <w:t>**</w:t>
      </w:r>
      <w:r w:rsidR="00C15367" w:rsidRPr="001D7F4F">
        <w:rPr>
          <w:sz w:val="20"/>
          <w:szCs w:val="20"/>
        </w:rPr>
        <w:t xml:space="preserve"> </w:t>
      </w:r>
      <w:r w:rsidR="00DA20BF" w:rsidRPr="001D7F4F">
        <w:rPr>
          <w:sz w:val="20"/>
          <w:szCs w:val="20"/>
        </w:rPr>
        <w:t xml:space="preserve">celková částka </w:t>
      </w:r>
      <w:r w:rsidR="001066E6" w:rsidRPr="001D7F4F">
        <w:rPr>
          <w:sz w:val="20"/>
          <w:szCs w:val="20"/>
        </w:rPr>
        <w:t>požadovaných prostředků z</w:t>
      </w:r>
      <w:r w:rsidR="00DA20BF" w:rsidRPr="001D7F4F">
        <w:rPr>
          <w:sz w:val="20"/>
          <w:szCs w:val="20"/>
        </w:rPr>
        <w:t xml:space="preserve"> NPU tedy neodpovídá alokaci</w:t>
      </w:r>
      <w:r w:rsidR="001066E6" w:rsidRPr="001D7F4F">
        <w:rPr>
          <w:sz w:val="20"/>
          <w:szCs w:val="20"/>
        </w:rPr>
        <w:t xml:space="preserve"> na</w:t>
      </w:r>
      <w:r w:rsidR="00DA20BF" w:rsidRPr="001D7F4F">
        <w:rPr>
          <w:sz w:val="20"/>
          <w:szCs w:val="20"/>
        </w:rPr>
        <w:t xml:space="preserve"> NPU</w:t>
      </w:r>
      <w:r w:rsidR="00C15367" w:rsidRPr="001D7F4F">
        <w:rPr>
          <w:sz w:val="20"/>
          <w:szCs w:val="20"/>
        </w:rPr>
        <w:t xml:space="preserve"> uvedené v Tabulce 3</w:t>
      </w:r>
      <w:r w:rsidR="00EB77FC">
        <w:rPr>
          <w:sz w:val="20"/>
          <w:szCs w:val="20"/>
        </w:rPr>
        <w:t>,</w:t>
      </w:r>
      <w:r w:rsidR="00536B26" w:rsidRPr="00536B26">
        <w:rPr>
          <w:sz w:val="20"/>
          <w:szCs w:val="20"/>
        </w:rPr>
        <w:t xml:space="preserve"> </w:t>
      </w:r>
      <w:r w:rsidR="00536B26" w:rsidRPr="001D7F4F">
        <w:rPr>
          <w:sz w:val="20"/>
          <w:szCs w:val="20"/>
        </w:rPr>
        <w:t>všichni příjemci dosud neuvedli předpokládané příjmy z</w:t>
      </w:r>
      <w:r w:rsidR="0094066E">
        <w:rPr>
          <w:sz w:val="20"/>
          <w:szCs w:val="20"/>
        </w:rPr>
        <w:t> </w:t>
      </w:r>
      <w:r w:rsidR="00536B26" w:rsidRPr="001D7F4F">
        <w:rPr>
          <w:sz w:val="20"/>
          <w:szCs w:val="20"/>
        </w:rPr>
        <w:t>NPU</w:t>
      </w:r>
      <w:r w:rsidR="0094066E">
        <w:rPr>
          <w:sz w:val="20"/>
          <w:szCs w:val="20"/>
        </w:rPr>
        <w:t xml:space="preserve">, </w:t>
      </w:r>
      <w:r w:rsidR="0094066E" w:rsidRPr="00485092">
        <w:rPr>
          <w:sz w:val="20"/>
          <w:szCs w:val="20"/>
        </w:rPr>
        <w:t>jedná se především o centra excelence</w:t>
      </w:r>
      <w:r w:rsidR="0094066E">
        <w:rPr>
          <w:sz w:val="20"/>
          <w:szCs w:val="20"/>
        </w:rPr>
        <w:t xml:space="preserve"> PO 1</w:t>
      </w:r>
      <w:r w:rsidR="0094066E" w:rsidRPr="00485092">
        <w:rPr>
          <w:sz w:val="20"/>
          <w:szCs w:val="20"/>
        </w:rPr>
        <w:t xml:space="preserve"> a finančně náročnější projekty PO 2</w:t>
      </w:r>
      <w:r w:rsidR="0094066E">
        <w:rPr>
          <w:sz w:val="20"/>
          <w:szCs w:val="20"/>
        </w:rPr>
        <w:t xml:space="preserve">. </w:t>
      </w:r>
      <w:r w:rsidR="0094066E" w:rsidRPr="00D20EB2">
        <w:rPr>
          <w:b/>
          <w:sz w:val="20"/>
          <w:szCs w:val="20"/>
        </w:rPr>
        <w:t>D</w:t>
      </w:r>
      <w:r w:rsidR="00536B26" w:rsidRPr="00D20EB2">
        <w:rPr>
          <w:b/>
          <w:sz w:val="20"/>
          <w:szCs w:val="20"/>
        </w:rPr>
        <w:t xml:space="preserve">alší aktualizace proběhne </w:t>
      </w:r>
      <w:r w:rsidR="00D20EB2" w:rsidRPr="00D20EB2">
        <w:rPr>
          <w:b/>
          <w:sz w:val="20"/>
          <w:szCs w:val="20"/>
        </w:rPr>
        <w:t xml:space="preserve">k </w:t>
      </w:r>
      <w:proofErr w:type="gramStart"/>
      <w:r w:rsidR="00536B26" w:rsidRPr="00D20EB2">
        <w:rPr>
          <w:b/>
          <w:sz w:val="20"/>
          <w:szCs w:val="20"/>
        </w:rPr>
        <w:t>31.8</w:t>
      </w:r>
      <w:r w:rsidR="00D20EB2" w:rsidRPr="00D20EB2">
        <w:rPr>
          <w:b/>
          <w:sz w:val="20"/>
          <w:szCs w:val="20"/>
        </w:rPr>
        <w:t>.2014</w:t>
      </w:r>
      <w:proofErr w:type="gramEnd"/>
      <w:r w:rsidR="00536B26" w:rsidRPr="00D20EB2">
        <w:rPr>
          <w:b/>
          <w:sz w:val="20"/>
          <w:szCs w:val="20"/>
        </w:rPr>
        <w:t>, relevantní data budou k dispozici v září 2014</w:t>
      </w:r>
      <w:r w:rsidR="00EB77FC" w:rsidRPr="00D20EB2">
        <w:rPr>
          <w:b/>
          <w:sz w:val="20"/>
          <w:szCs w:val="20"/>
        </w:rPr>
        <w:t>.</w:t>
      </w:r>
      <w:r w:rsidR="007058E7" w:rsidRPr="00D20EB2">
        <w:rPr>
          <w:b/>
          <w:sz w:val="20"/>
          <w:szCs w:val="20"/>
        </w:rPr>
        <w:t xml:space="preserve"> </w:t>
      </w:r>
    </w:p>
    <w:p w:rsidR="00A77AF8" w:rsidRPr="001D7F4F" w:rsidRDefault="00A45AE8" w:rsidP="007305AF">
      <w:pPr>
        <w:rPr>
          <w:sz w:val="20"/>
          <w:szCs w:val="20"/>
        </w:rPr>
      </w:pPr>
      <w:r w:rsidRPr="001D7F4F">
        <w:rPr>
          <w:sz w:val="20"/>
          <w:szCs w:val="20"/>
        </w:rPr>
        <w:t>*** P</w:t>
      </w:r>
      <w:r w:rsidR="00A77AF8" w:rsidRPr="001D7F4F">
        <w:rPr>
          <w:sz w:val="20"/>
          <w:szCs w:val="20"/>
        </w:rPr>
        <w:t xml:space="preserve">ro účely tohoto materiálu do Tabulky 2 vstupují pouze hodnoty za 5 let fáze udržitelnosti pro každý projekt. Jelikož </w:t>
      </w:r>
      <w:r w:rsidR="009F44BE" w:rsidRPr="001D7F4F">
        <w:rPr>
          <w:sz w:val="20"/>
          <w:szCs w:val="20"/>
        </w:rPr>
        <w:t>řadě</w:t>
      </w:r>
      <w:r w:rsidR="00A77AF8" w:rsidRPr="001D7F4F">
        <w:rPr>
          <w:sz w:val="20"/>
          <w:szCs w:val="20"/>
        </w:rPr>
        <w:t xml:space="preserve"> projektů skončí doba udržitelnosti v r. 2018, je zde</w:t>
      </w:r>
      <w:r w:rsidRPr="001D7F4F">
        <w:rPr>
          <w:sz w:val="20"/>
          <w:szCs w:val="20"/>
        </w:rPr>
        <w:t xml:space="preserve"> od r. 2019</w:t>
      </w:r>
      <w:r w:rsidR="00A77AF8" w:rsidRPr="001D7F4F">
        <w:rPr>
          <w:sz w:val="20"/>
          <w:szCs w:val="20"/>
        </w:rPr>
        <w:t xml:space="preserve"> zřejmý pokles</w:t>
      </w:r>
      <w:r w:rsidRPr="001D7F4F">
        <w:rPr>
          <w:sz w:val="20"/>
          <w:szCs w:val="20"/>
        </w:rPr>
        <w:t xml:space="preserve">. Na úrovni jednotlivých projektů však mají hodnoty </w:t>
      </w:r>
      <w:r w:rsidR="00A40A8D" w:rsidRPr="001D7F4F">
        <w:rPr>
          <w:sz w:val="20"/>
          <w:szCs w:val="20"/>
        </w:rPr>
        <w:t xml:space="preserve">rostoucí tendenci až do r. 2020 </w:t>
      </w:r>
      <w:r w:rsidRPr="001D7F4F">
        <w:rPr>
          <w:sz w:val="20"/>
          <w:szCs w:val="20"/>
        </w:rPr>
        <w:t>(především</w:t>
      </w:r>
      <w:r w:rsidR="00A40A8D" w:rsidRPr="001D7F4F">
        <w:rPr>
          <w:sz w:val="20"/>
          <w:szCs w:val="20"/>
        </w:rPr>
        <w:t xml:space="preserve"> položky:</w:t>
      </w:r>
      <w:r w:rsidRPr="001D7F4F">
        <w:rPr>
          <w:sz w:val="20"/>
          <w:szCs w:val="20"/>
        </w:rPr>
        <w:t xml:space="preserve"> Mezinárodní granty</w:t>
      </w:r>
      <w:r w:rsidR="00A40A8D" w:rsidRPr="001D7F4F">
        <w:rPr>
          <w:sz w:val="20"/>
          <w:szCs w:val="20"/>
        </w:rPr>
        <w:t xml:space="preserve"> a</w:t>
      </w:r>
      <w:r w:rsidRPr="001D7F4F">
        <w:rPr>
          <w:sz w:val="20"/>
          <w:szCs w:val="20"/>
        </w:rPr>
        <w:t xml:space="preserve"> </w:t>
      </w:r>
      <w:r w:rsidR="00846932">
        <w:rPr>
          <w:sz w:val="20"/>
          <w:szCs w:val="20"/>
        </w:rPr>
        <w:t>Příjmy ze smluvního výzkumu</w:t>
      </w:r>
      <w:r w:rsidRPr="001D7F4F">
        <w:rPr>
          <w:sz w:val="20"/>
          <w:szCs w:val="20"/>
        </w:rPr>
        <w:t>)</w:t>
      </w:r>
      <w:r w:rsidR="00A40A8D" w:rsidRPr="001D7F4F">
        <w:rPr>
          <w:sz w:val="20"/>
          <w:szCs w:val="20"/>
        </w:rPr>
        <w:t>. V tomto přehledu</w:t>
      </w:r>
      <w:r w:rsidRPr="001D7F4F">
        <w:rPr>
          <w:sz w:val="20"/>
          <w:szCs w:val="20"/>
        </w:rPr>
        <w:t xml:space="preserve"> nejsou uvedeny hodnoty nad rámec fáze udržitelnosti dané konkrétním projektem</w:t>
      </w:r>
      <w:r w:rsidR="00A40A8D" w:rsidRPr="001D7F4F">
        <w:rPr>
          <w:sz w:val="20"/>
          <w:szCs w:val="20"/>
        </w:rPr>
        <w:t>, protože by došlo ke zkreslení</w:t>
      </w:r>
      <w:r w:rsidRPr="001D7F4F">
        <w:rPr>
          <w:sz w:val="20"/>
          <w:szCs w:val="20"/>
        </w:rPr>
        <w:t>.</w:t>
      </w:r>
    </w:p>
    <w:p w:rsidR="007A4E93" w:rsidRPr="001D7F4F" w:rsidRDefault="007A4E93" w:rsidP="007305AF">
      <w:pPr>
        <w:rPr>
          <w:sz w:val="20"/>
          <w:szCs w:val="20"/>
        </w:rPr>
        <w:sectPr w:rsidR="007A4E93" w:rsidRPr="001D7F4F" w:rsidSect="00531E1F">
          <w:pgSz w:w="16838" w:h="11906" w:orient="landscape"/>
          <w:pgMar w:top="1134" w:right="1134" w:bottom="1134" w:left="1134" w:header="708" w:footer="708" w:gutter="0"/>
          <w:cols w:space="708"/>
          <w:docGrid w:linePitch="326"/>
        </w:sectPr>
      </w:pPr>
    </w:p>
    <w:p w:rsidR="0011273F" w:rsidRPr="003527C4" w:rsidRDefault="0011273F" w:rsidP="00CE5357">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Udržitelnost projektů podpořených v rámci PO3 a PO4 OP </w:t>
      </w:r>
      <w:proofErr w:type="spellStart"/>
      <w:r w:rsidRPr="003527C4">
        <w:rPr>
          <w:rFonts w:ascii="Arial" w:hAnsi="Arial" w:cs="Arial"/>
          <w:color w:val="000000" w:themeColor="text1"/>
          <w:sz w:val="20"/>
          <w:szCs w:val="20"/>
        </w:rPr>
        <w:t>VaVpI</w:t>
      </w:r>
      <w:proofErr w:type="spellEnd"/>
      <w:r w:rsidRPr="003527C4">
        <w:rPr>
          <w:rFonts w:ascii="Arial" w:hAnsi="Arial" w:cs="Arial"/>
          <w:color w:val="000000" w:themeColor="text1"/>
          <w:sz w:val="20"/>
          <w:szCs w:val="20"/>
        </w:rPr>
        <w:t xml:space="preserve"> </w:t>
      </w:r>
    </w:p>
    <w:p w:rsidR="004A082D" w:rsidRPr="003527C4" w:rsidRDefault="004A082D" w:rsidP="004A082D">
      <w:pPr>
        <w:pStyle w:val="Odstavecseseznamem"/>
        <w:ind w:left="360"/>
      </w:pPr>
    </w:p>
    <w:p w:rsidR="0031024B" w:rsidRPr="003527C4" w:rsidRDefault="0031024B" w:rsidP="0031024B">
      <w:pPr>
        <w:jc w:val="both"/>
        <w:rPr>
          <w:szCs w:val="28"/>
        </w:rPr>
      </w:pPr>
      <w:r w:rsidRPr="003527C4">
        <w:rPr>
          <w:szCs w:val="28"/>
        </w:rPr>
        <w:t xml:space="preserve">Příjemci </w:t>
      </w:r>
      <w:r w:rsidR="000708DD" w:rsidRPr="003527C4">
        <w:rPr>
          <w:szCs w:val="28"/>
        </w:rPr>
        <w:t xml:space="preserve">projektů PO 3 a PO 4 </w:t>
      </w:r>
      <w:r w:rsidRPr="003527C4">
        <w:rPr>
          <w:szCs w:val="28"/>
        </w:rPr>
        <w:t xml:space="preserve">jsou v drtivé většině vysoké školy, dále pak kraje a příspěvkové organizace (veřejné nemocnice), </w:t>
      </w:r>
      <w:r w:rsidR="00B620F4" w:rsidRPr="003527C4">
        <w:rPr>
          <w:szCs w:val="28"/>
        </w:rPr>
        <w:t xml:space="preserve">a </w:t>
      </w:r>
      <w:r w:rsidRPr="003527C4">
        <w:rPr>
          <w:szCs w:val="28"/>
        </w:rPr>
        <w:t>v </w:t>
      </w:r>
      <w:r w:rsidR="00004F56" w:rsidRPr="003527C4">
        <w:rPr>
          <w:szCs w:val="28"/>
        </w:rPr>
        <w:t xml:space="preserve">menším </w:t>
      </w:r>
      <w:r w:rsidRPr="003527C4">
        <w:rPr>
          <w:szCs w:val="28"/>
        </w:rPr>
        <w:t>měřítku jsou zastoupeny nestátní neziskové organizace</w:t>
      </w:r>
      <w:r w:rsidR="001E3E3B">
        <w:rPr>
          <w:szCs w:val="28"/>
        </w:rPr>
        <w:t xml:space="preserve"> a obchodní společnosti</w:t>
      </w:r>
      <w:r w:rsidRPr="003527C4">
        <w:rPr>
          <w:szCs w:val="28"/>
        </w:rPr>
        <w:t>.</w:t>
      </w:r>
      <w:r w:rsidR="000708DD" w:rsidRPr="003527C4">
        <w:rPr>
          <w:szCs w:val="28"/>
        </w:rPr>
        <w:t xml:space="preserve"> </w:t>
      </w:r>
    </w:p>
    <w:p w:rsidR="0031024B" w:rsidRPr="003527C4" w:rsidRDefault="0031024B" w:rsidP="0031024B">
      <w:pPr>
        <w:jc w:val="both"/>
        <w:rPr>
          <w:szCs w:val="28"/>
        </w:rPr>
      </w:pPr>
    </w:p>
    <w:p w:rsidR="004A082D" w:rsidRPr="003527C4" w:rsidRDefault="00DF1996" w:rsidP="0096748C">
      <w:pPr>
        <w:jc w:val="both"/>
        <w:rPr>
          <w:szCs w:val="28"/>
        </w:rPr>
      </w:pPr>
      <w:r w:rsidRPr="003527C4">
        <w:rPr>
          <w:szCs w:val="28"/>
        </w:rPr>
        <w:t>Projekty PO</w:t>
      </w:r>
      <w:r w:rsidR="00004F56" w:rsidRPr="003527C4">
        <w:rPr>
          <w:szCs w:val="28"/>
        </w:rPr>
        <w:t xml:space="preserve"> </w:t>
      </w:r>
      <w:r w:rsidRPr="003527C4">
        <w:rPr>
          <w:szCs w:val="28"/>
        </w:rPr>
        <w:t>3 jsou zaměřeny na popularizaci a komercializaci výzkumu</w:t>
      </w:r>
      <w:r w:rsidR="003016F7" w:rsidRPr="003527C4">
        <w:rPr>
          <w:szCs w:val="28"/>
        </w:rPr>
        <w:t xml:space="preserve">. Od roku 2010 jsou tak podporovány projekty </w:t>
      </w:r>
      <w:r w:rsidR="00FC2217" w:rsidRPr="003527C4">
        <w:rPr>
          <w:szCs w:val="28"/>
        </w:rPr>
        <w:t>p</w:t>
      </w:r>
      <w:r w:rsidR="003016F7" w:rsidRPr="003527C4">
        <w:rPr>
          <w:szCs w:val="28"/>
        </w:rPr>
        <w:t>opularizace, propagace a medializace vědy a techniky</w:t>
      </w:r>
      <w:r w:rsidR="006A30B7" w:rsidRPr="003527C4">
        <w:rPr>
          <w:szCs w:val="28"/>
        </w:rPr>
        <w:t xml:space="preserve"> (tzv. science </w:t>
      </w:r>
      <w:proofErr w:type="spellStart"/>
      <w:r w:rsidR="006A30B7" w:rsidRPr="003527C4">
        <w:rPr>
          <w:szCs w:val="28"/>
        </w:rPr>
        <w:t>learning</w:t>
      </w:r>
      <w:proofErr w:type="spellEnd"/>
      <w:r w:rsidR="006A30B7" w:rsidRPr="003527C4">
        <w:rPr>
          <w:szCs w:val="28"/>
        </w:rPr>
        <w:t xml:space="preserve"> centra</w:t>
      </w:r>
      <w:r w:rsidR="00004F56" w:rsidRPr="003527C4">
        <w:rPr>
          <w:szCs w:val="28"/>
        </w:rPr>
        <w:t xml:space="preserve"> a návštěvnická centra</w:t>
      </w:r>
      <w:r w:rsidR="006A30B7" w:rsidRPr="003527C4">
        <w:rPr>
          <w:szCs w:val="28"/>
        </w:rPr>
        <w:t>)</w:t>
      </w:r>
      <w:r w:rsidRPr="003527C4">
        <w:rPr>
          <w:szCs w:val="28"/>
        </w:rPr>
        <w:t xml:space="preserve">, </w:t>
      </w:r>
      <w:r w:rsidR="00834B9B" w:rsidRPr="003527C4">
        <w:rPr>
          <w:szCs w:val="28"/>
        </w:rPr>
        <w:t xml:space="preserve">informační infrastruktury pro </w:t>
      </w:r>
      <w:proofErr w:type="spellStart"/>
      <w:r w:rsidR="00834B9B" w:rsidRPr="003527C4">
        <w:rPr>
          <w:szCs w:val="28"/>
        </w:rPr>
        <w:t>VaV</w:t>
      </w:r>
      <w:proofErr w:type="spellEnd"/>
      <w:r w:rsidR="00B07C95" w:rsidRPr="003527C4">
        <w:rPr>
          <w:szCs w:val="28"/>
        </w:rPr>
        <w:t xml:space="preserve">, </w:t>
      </w:r>
      <w:r w:rsidR="00834B9B" w:rsidRPr="003527C4">
        <w:rPr>
          <w:szCs w:val="28"/>
        </w:rPr>
        <w:t>vybavení vědeckých knihoven</w:t>
      </w:r>
      <w:r w:rsidR="008D33C5" w:rsidRPr="003527C4">
        <w:rPr>
          <w:szCs w:val="28"/>
        </w:rPr>
        <w:t>,</w:t>
      </w:r>
      <w:r w:rsidR="00B07C95" w:rsidRPr="003527C4">
        <w:rPr>
          <w:szCs w:val="28"/>
        </w:rPr>
        <w:t xml:space="preserve"> centra transferu technologií</w:t>
      </w:r>
      <w:r w:rsidR="008D33C5" w:rsidRPr="003527C4">
        <w:rPr>
          <w:szCs w:val="28"/>
        </w:rPr>
        <w:t xml:space="preserve"> a</w:t>
      </w:r>
      <w:r w:rsidR="001E3E3B">
        <w:rPr>
          <w:szCs w:val="28"/>
        </w:rPr>
        <w:t xml:space="preserve"> centra na</w:t>
      </w:r>
      <w:r w:rsidR="008D33C5" w:rsidRPr="003527C4">
        <w:rPr>
          <w:szCs w:val="28"/>
        </w:rPr>
        <w:t xml:space="preserve"> podporu </w:t>
      </w:r>
      <w:proofErr w:type="spellStart"/>
      <w:r w:rsidR="008D33C5" w:rsidRPr="003527C4">
        <w:rPr>
          <w:szCs w:val="28"/>
        </w:rPr>
        <w:t>pre-seed</w:t>
      </w:r>
      <w:proofErr w:type="spellEnd"/>
      <w:r w:rsidR="008D33C5" w:rsidRPr="003527C4">
        <w:rPr>
          <w:rStyle w:val="Znakapoznpodarou"/>
          <w:rFonts w:eastAsia="Times New Roman" w:cs="Tahoma"/>
          <w:color w:val="000000"/>
        </w:rPr>
        <w:footnoteReference w:id="7"/>
      </w:r>
      <w:r w:rsidR="008D33C5" w:rsidRPr="003527C4">
        <w:rPr>
          <w:szCs w:val="28"/>
        </w:rPr>
        <w:t xml:space="preserve"> aktivit</w:t>
      </w:r>
      <w:r w:rsidR="00060E81" w:rsidRPr="003527C4">
        <w:rPr>
          <w:szCs w:val="28"/>
        </w:rPr>
        <w:t>. D</w:t>
      </w:r>
      <w:r w:rsidRPr="003527C4">
        <w:rPr>
          <w:szCs w:val="28"/>
        </w:rPr>
        <w:t xml:space="preserve">otace byla poskytnuta na vybudování </w:t>
      </w:r>
      <w:proofErr w:type="spellStart"/>
      <w:r w:rsidR="00834B9B" w:rsidRPr="003527C4">
        <w:rPr>
          <w:szCs w:val="28"/>
        </w:rPr>
        <w:t>VaV</w:t>
      </w:r>
      <w:proofErr w:type="spellEnd"/>
      <w:r w:rsidR="00834B9B" w:rsidRPr="003527C4">
        <w:rPr>
          <w:szCs w:val="28"/>
        </w:rPr>
        <w:t xml:space="preserve"> </w:t>
      </w:r>
      <w:r w:rsidR="00B07C95" w:rsidRPr="003527C4">
        <w:rPr>
          <w:szCs w:val="28"/>
        </w:rPr>
        <w:t>infrastruktury</w:t>
      </w:r>
      <w:r w:rsidR="00834B9B" w:rsidRPr="003527C4">
        <w:rPr>
          <w:szCs w:val="28"/>
        </w:rPr>
        <w:t xml:space="preserve"> a </w:t>
      </w:r>
      <w:r w:rsidR="002B2328" w:rsidRPr="003527C4">
        <w:rPr>
          <w:szCs w:val="28"/>
        </w:rPr>
        <w:t xml:space="preserve">na </w:t>
      </w:r>
      <w:r w:rsidR="00834B9B" w:rsidRPr="003527C4">
        <w:rPr>
          <w:szCs w:val="28"/>
        </w:rPr>
        <w:t>úhradu mezd</w:t>
      </w:r>
      <w:r w:rsidR="008D33C5" w:rsidRPr="003527C4">
        <w:rPr>
          <w:szCs w:val="28"/>
        </w:rPr>
        <w:t xml:space="preserve"> a provozních výdajů. P</w:t>
      </w:r>
      <w:r w:rsidR="00B07C95" w:rsidRPr="003527C4">
        <w:rPr>
          <w:szCs w:val="28"/>
        </w:rPr>
        <w:t xml:space="preserve">rovoz po skončení realizační fáze bude </w:t>
      </w:r>
      <w:r w:rsidR="00834B9B" w:rsidRPr="003527C4">
        <w:rPr>
          <w:szCs w:val="28"/>
        </w:rPr>
        <w:t>v závislosti na</w:t>
      </w:r>
      <w:r w:rsidR="006A30B7" w:rsidRPr="003527C4">
        <w:rPr>
          <w:szCs w:val="28"/>
        </w:rPr>
        <w:t xml:space="preserve"> charakteru</w:t>
      </w:r>
      <w:r w:rsidR="00834B9B" w:rsidRPr="003527C4">
        <w:rPr>
          <w:szCs w:val="28"/>
        </w:rPr>
        <w:t xml:space="preserve"> jednotlivých výz</w:t>
      </w:r>
      <w:r w:rsidR="006A30B7" w:rsidRPr="003527C4">
        <w:rPr>
          <w:szCs w:val="28"/>
        </w:rPr>
        <w:t>ev</w:t>
      </w:r>
      <w:r w:rsidR="00834B9B" w:rsidRPr="003527C4">
        <w:rPr>
          <w:szCs w:val="28"/>
        </w:rPr>
        <w:t xml:space="preserve"> </w:t>
      </w:r>
      <w:r w:rsidR="00B07C95" w:rsidRPr="003527C4">
        <w:rPr>
          <w:szCs w:val="28"/>
        </w:rPr>
        <w:t>pokryt z příspěvku na vzdělávací činnost</w:t>
      </w:r>
      <w:r w:rsidR="00834B9B" w:rsidRPr="003527C4">
        <w:rPr>
          <w:szCs w:val="28"/>
        </w:rPr>
        <w:t>, částečně z krajských rozpočtů</w:t>
      </w:r>
      <w:r w:rsidR="0096748C" w:rsidRPr="003527C4">
        <w:rPr>
          <w:szCs w:val="28"/>
        </w:rPr>
        <w:t xml:space="preserve">, popř. </w:t>
      </w:r>
      <w:r w:rsidR="003016F7" w:rsidRPr="003527C4">
        <w:rPr>
          <w:szCs w:val="28"/>
        </w:rPr>
        <w:t xml:space="preserve">návštěvnických poplatků a </w:t>
      </w:r>
      <w:r w:rsidR="0096748C" w:rsidRPr="003527C4">
        <w:rPr>
          <w:szCs w:val="28"/>
        </w:rPr>
        <w:t xml:space="preserve">sponzorských darů (u science </w:t>
      </w:r>
      <w:proofErr w:type="spellStart"/>
      <w:r w:rsidR="0096748C" w:rsidRPr="003527C4">
        <w:rPr>
          <w:szCs w:val="28"/>
        </w:rPr>
        <w:t>learning</w:t>
      </w:r>
      <w:proofErr w:type="spellEnd"/>
      <w:r w:rsidR="0096748C" w:rsidRPr="003527C4">
        <w:rPr>
          <w:szCs w:val="28"/>
        </w:rPr>
        <w:t xml:space="preserve"> center</w:t>
      </w:r>
      <w:r w:rsidR="00004F56" w:rsidRPr="003527C4">
        <w:rPr>
          <w:szCs w:val="28"/>
        </w:rPr>
        <w:t xml:space="preserve"> a návštěvnických center</w:t>
      </w:r>
      <w:r w:rsidR="0096748C" w:rsidRPr="003527C4">
        <w:rPr>
          <w:szCs w:val="28"/>
        </w:rPr>
        <w:t>)</w:t>
      </w:r>
      <w:r w:rsidR="00B07C95" w:rsidRPr="003527C4">
        <w:rPr>
          <w:szCs w:val="28"/>
        </w:rPr>
        <w:t xml:space="preserve">. </w:t>
      </w:r>
      <w:r w:rsidR="002B2328" w:rsidRPr="003527C4">
        <w:rPr>
          <w:szCs w:val="28"/>
        </w:rPr>
        <w:t xml:space="preserve">U řady projektů PO 3 (především v případě výzev na podporu center transferu technologií a projektů na podporu </w:t>
      </w:r>
      <w:proofErr w:type="spellStart"/>
      <w:r w:rsidR="002B2328" w:rsidRPr="003527C4">
        <w:rPr>
          <w:szCs w:val="28"/>
        </w:rPr>
        <w:t>pre-seed</w:t>
      </w:r>
      <w:proofErr w:type="spellEnd"/>
      <w:r w:rsidR="002B2328" w:rsidRPr="003527C4">
        <w:rPr>
          <w:szCs w:val="28"/>
        </w:rPr>
        <w:t xml:space="preserve"> aktivit) se ne</w:t>
      </w:r>
      <w:r w:rsidR="002E4BF1" w:rsidRPr="003527C4">
        <w:rPr>
          <w:szCs w:val="28"/>
        </w:rPr>
        <w:t xml:space="preserve">očekávají výrazné náklady na provoz a obnovu infrastruktury. </w:t>
      </w:r>
    </w:p>
    <w:p w:rsidR="008E498C" w:rsidRPr="003527C4" w:rsidRDefault="008E498C" w:rsidP="0096748C">
      <w:pPr>
        <w:jc w:val="both"/>
        <w:rPr>
          <w:szCs w:val="28"/>
        </w:rPr>
      </w:pPr>
    </w:p>
    <w:p w:rsidR="008E498C" w:rsidRPr="003527C4" w:rsidRDefault="008E498C" w:rsidP="0096748C">
      <w:pPr>
        <w:jc w:val="both"/>
        <w:rPr>
          <w:szCs w:val="28"/>
        </w:rPr>
      </w:pPr>
      <w:r w:rsidRPr="003527C4">
        <w:rPr>
          <w:szCs w:val="28"/>
        </w:rPr>
        <w:t>PO</w:t>
      </w:r>
      <w:r w:rsidR="00004F56" w:rsidRPr="003527C4">
        <w:rPr>
          <w:szCs w:val="28"/>
        </w:rPr>
        <w:t xml:space="preserve"> </w:t>
      </w:r>
      <w:r w:rsidRPr="003527C4">
        <w:rPr>
          <w:szCs w:val="28"/>
        </w:rPr>
        <w:t xml:space="preserve">4 je zaměřena na </w:t>
      </w:r>
      <w:r w:rsidR="00004F56" w:rsidRPr="003527C4">
        <w:rPr>
          <w:szCs w:val="28"/>
        </w:rPr>
        <w:t xml:space="preserve">podporu </w:t>
      </w:r>
      <w:r w:rsidRPr="003527C4">
        <w:rPr>
          <w:szCs w:val="28"/>
        </w:rPr>
        <w:t>infrastruktury</w:t>
      </w:r>
      <w:r w:rsidR="00004F56" w:rsidRPr="003527C4">
        <w:rPr>
          <w:szCs w:val="28"/>
        </w:rPr>
        <w:t xml:space="preserve"> pro výuku na vysokých školách</w:t>
      </w:r>
      <w:r w:rsidRPr="003527C4">
        <w:rPr>
          <w:szCs w:val="28"/>
        </w:rPr>
        <w:t xml:space="preserve"> spojen</w:t>
      </w:r>
      <w:r w:rsidR="00004F56" w:rsidRPr="003527C4">
        <w:rPr>
          <w:szCs w:val="28"/>
        </w:rPr>
        <w:t>ou</w:t>
      </w:r>
      <w:r w:rsidRPr="003527C4">
        <w:rPr>
          <w:szCs w:val="28"/>
        </w:rPr>
        <w:t xml:space="preserve"> s výzkumem. V této PO </w:t>
      </w:r>
      <w:r w:rsidR="009F44A3" w:rsidRPr="003527C4">
        <w:rPr>
          <w:szCs w:val="28"/>
        </w:rPr>
        <w:t>je očekáván</w:t>
      </w:r>
      <w:r w:rsidR="00042C19" w:rsidRPr="003527C4">
        <w:rPr>
          <w:szCs w:val="28"/>
        </w:rPr>
        <w:t xml:space="preserve"> pouze</w:t>
      </w:r>
      <w:r w:rsidR="009F44A3" w:rsidRPr="003527C4">
        <w:rPr>
          <w:szCs w:val="28"/>
        </w:rPr>
        <w:t xml:space="preserve"> mírný</w:t>
      </w:r>
      <w:r w:rsidRPr="003527C4">
        <w:rPr>
          <w:szCs w:val="28"/>
        </w:rPr>
        <w:t xml:space="preserve"> </w:t>
      </w:r>
      <w:r w:rsidR="009F44A3" w:rsidRPr="003527C4">
        <w:rPr>
          <w:szCs w:val="28"/>
        </w:rPr>
        <w:t>nárůst nároků</w:t>
      </w:r>
      <w:r w:rsidRPr="003527C4">
        <w:rPr>
          <w:szCs w:val="28"/>
        </w:rPr>
        <w:t xml:space="preserve"> </w:t>
      </w:r>
      <w:r w:rsidR="009F44A3" w:rsidRPr="003527C4">
        <w:rPr>
          <w:szCs w:val="28"/>
        </w:rPr>
        <w:t>na</w:t>
      </w:r>
      <w:r w:rsidRPr="003527C4">
        <w:rPr>
          <w:szCs w:val="28"/>
        </w:rPr>
        <w:t xml:space="preserve"> </w:t>
      </w:r>
      <w:r w:rsidR="009F44A3" w:rsidRPr="003527C4">
        <w:rPr>
          <w:szCs w:val="28"/>
        </w:rPr>
        <w:t xml:space="preserve">prostředky </w:t>
      </w:r>
      <w:r w:rsidR="00060E81" w:rsidRPr="003527C4">
        <w:rPr>
          <w:szCs w:val="28"/>
        </w:rPr>
        <w:t>státní</w:t>
      </w:r>
      <w:r w:rsidR="009F44A3" w:rsidRPr="003527C4">
        <w:rPr>
          <w:szCs w:val="28"/>
        </w:rPr>
        <w:t>ho</w:t>
      </w:r>
      <w:r w:rsidR="00060E81" w:rsidRPr="003527C4">
        <w:rPr>
          <w:szCs w:val="28"/>
        </w:rPr>
        <w:t xml:space="preserve"> rozpočtu</w:t>
      </w:r>
      <w:r w:rsidRPr="003527C4">
        <w:rPr>
          <w:szCs w:val="28"/>
        </w:rPr>
        <w:t>, jelikož si provozní výdaje nově vybudovaných a rekonstruovaných prostor budou</w:t>
      </w:r>
      <w:r w:rsidR="00060E81" w:rsidRPr="003527C4">
        <w:rPr>
          <w:szCs w:val="28"/>
        </w:rPr>
        <w:t xml:space="preserve"> v době udržitelnosti</w:t>
      </w:r>
      <w:r w:rsidRPr="003527C4">
        <w:rPr>
          <w:szCs w:val="28"/>
        </w:rPr>
        <w:t xml:space="preserve"> hradit podpořené vysoké školy</w:t>
      </w:r>
      <w:r w:rsidR="00060E81" w:rsidRPr="003527C4">
        <w:rPr>
          <w:szCs w:val="28"/>
        </w:rPr>
        <w:t xml:space="preserve"> prostřednictvím příspěvku na vzdělávací činnost.</w:t>
      </w:r>
    </w:p>
    <w:p w:rsidR="0011273F" w:rsidRPr="003527C4" w:rsidRDefault="0011273F" w:rsidP="00D45DCC">
      <w:pPr>
        <w:rPr>
          <w:b/>
          <w:color w:val="000000" w:themeColor="text1"/>
        </w:rPr>
      </w:pPr>
    </w:p>
    <w:p w:rsidR="00811AE6" w:rsidRDefault="000708DD" w:rsidP="002B2328">
      <w:pPr>
        <w:jc w:val="both"/>
        <w:rPr>
          <w:color w:val="000000" w:themeColor="text1"/>
        </w:rPr>
      </w:pPr>
      <w:r w:rsidRPr="003527C4">
        <w:rPr>
          <w:color w:val="000000" w:themeColor="text1"/>
        </w:rPr>
        <w:t xml:space="preserve">Již nyní je zřejmé, že nároky univerzit porostou, jelikož </w:t>
      </w:r>
      <w:r w:rsidR="006A30B7" w:rsidRPr="003527C4">
        <w:rPr>
          <w:color w:val="000000" w:themeColor="text1"/>
        </w:rPr>
        <w:t xml:space="preserve">univerzity </w:t>
      </w:r>
      <w:r w:rsidRPr="003527C4">
        <w:rPr>
          <w:color w:val="000000" w:themeColor="text1"/>
        </w:rPr>
        <w:t xml:space="preserve">budou nuceny pokrýt provozní výdaje na </w:t>
      </w:r>
      <w:r w:rsidR="008D33C5" w:rsidRPr="003527C4">
        <w:rPr>
          <w:color w:val="000000" w:themeColor="text1"/>
        </w:rPr>
        <w:t xml:space="preserve">nově </w:t>
      </w:r>
      <w:r w:rsidRPr="003527C4">
        <w:rPr>
          <w:color w:val="000000" w:themeColor="text1"/>
        </w:rPr>
        <w:t>vybudovanou infrastrukturu ze svých provozních rozpočtů</w:t>
      </w:r>
      <w:r w:rsidR="008D33C5" w:rsidRPr="003527C4">
        <w:rPr>
          <w:color w:val="000000" w:themeColor="text1"/>
        </w:rPr>
        <w:t>. V tomto ohledu se</w:t>
      </w:r>
      <w:r w:rsidR="004D5B9C" w:rsidRPr="003527C4">
        <w:rPr>
          <w:color w:val="000000" w:themeColor="text1"/>
        </w:rPr>
        <w:t xml:space="preserve"> pravděpodobně</w:t>
      </w:r>
      <w:r w:rsidR="008D33C5" w:rsidRPr="003527C4">
        <w:rPr>
          <w:color w:val="000000" w:themeColor="text1"/>
        </w:rPr>
        <w:t xml:space="preserve"> také negativně projeví nepříznivý demografický vývoj, který </w:t>
      </w:r>
      <w:r w:rsidR="004D5B9C" w:rsidRPr="003527C4">
        <w:rPr>
          <w:color w:val="000000" w:themeColor="text1"/>
        </w:rPr>
        <w:t xml:space="preserve">může </w:t>
      </w:r>
      <w:r w:rsidR="008D33C5" w:rsidRPr="003527C4">
        <w:rPr>
          <w:color w:val="000000" w:themeColor="text1"/>
        </w:rPr>
        <w:t xml:space="preserve">mít za </w:t>
      </w:r>
      <w:r w:rsidR="002B2328" w:rsidRPr="003527C4">
        <w:rPr>
          <w:color w:val="000000" w:themeColor="text1"/>
        </w:rPr>
        <w:t>následek snížení počtu studentů.</w:t>
      </w:r>
      <w:r w:rsidR="004D5B9C" w:rsidRPr="003527C4">
        <w:rPr>
          <w:color w:val="000000" w:themeColor="text1"/>
        </w:rPr>
        <w:t xml:space="preserve"> </w:t>
      </w:r>
      <w:r w:rsidR="002E4BF1" w:rsidRPr="003527C4">
        <w:rPr>
          <w:color w:val="000000" w:themeColor="text1"/>
        </w:rPr>
        <w:t>Vzhledem k charakteru projektů PO 3 a PO 4</w:t>
      </w:r>
      <w:r w:rsidR="001E3E3B">
        <w:rPr>
          <w:color w:val="000000" w:themeColor="text1"/>
        </w:rPr>
        <w:t xml:space="preserve"> však</w:t>
      </w:r>
      <w:r w:rsidR="002E4BF1" w:rsidRPr="003527C4">
        <w:rPr>
          <w:color w:val="000000" w:themeColor="text1"/>
        </w:rPr>
        <w:t xml:space="preserve"> ŘO OP </w:t>
      </w:r>
      <w:proofErr w:type="spellStart"/>
      <w:r w:rsidR="002E4BF1" w:rsidRPr="003527C4">
        <w:rPr>
          <w:color w:val="000000" w:themeColor="text1"/>
        </w:rPr>
        <w:t>VaVpI</w:t>
      </w:r>
      <w:proofErr w:type="spellEnd"/>
      <w:r w:rsidR="002E4BF1" w:rsidRPr="003527C4">
        <w:rPr>
          <w:color w:val="000000" w:themeColor="text1"/>
        </w:rPr>
        <w:t xml:space="preserve"> neočekává</w:t>
      </w:r>
      <w:r w:rsidR="002B2328" w:rsidRPr="003527C4">
        <w:rPr>
          <w:color w:val="000000" w:themeColor="text1"/>
        </w:rPr>
        <w:t xml:space="preserve"> </w:t>
      </w:r>
      <w:r w:rsidR="002E4BF1" w:rsidRPr="003527C4">
        <w:rPr>
          <w:color w:val="000000" w:themeColor="text1"/>
        </w:rPr>
        <w:t>zásadní</w:t>
      </w:r>
      <w:r w:rsidR="002B2328" w:rsidRPr="003527C4">
        <w:rPr>
          <w:color w:val="000000" w:themeColor="text1"/>
        </w:rPr>
        <w:t xml:space="preserve"> vzestup nároků </w:t>
      </w:r>
      <w:r w:rsidR="004D5B9C" w:rsidRPr="003527C4">
        <w:rPr>
          <w:color w:val="000000" w:themeColor="text1"/>
        </w:rPr>
        <w:t xml:space="preserve">srovnatelný s nároky </w:t>
      </w:r>
      <w:proofErr w:type="spellStart"/>
      <w:r w:rsidR="002B2328" w:rsidRPr="003527C4">
        <w:rPr>
          <w:color w:val="000000" w:themeColor="text1"/>
        </w:rPr>
        <w:t>V</w:t>
      </w:r>
      <w:r w:rsidR="002E4BF1" w:rsidRPr="003527C4">
        <w:rPr>
          <w:color w:val="000000" w:themeColor="text1"/>
        </w:rPr>
        <w:t>aV</w:t>
      </w:r>
      <w:proofErr w:type="spellEnd"/>
      <w:r w:rsidR="002E4BF1" w:rsidRPr="003527C4">
        <w:rPr>
          <w:color w:val="000000" w:themeColor="text1"/>
        </w:rPr>
        <w:t xml:space="preserve"> center</w:t>
      </w:r>
      <w:r w:rsidR="00031011">
        <w:rPr>
          <w:color w:val="000000" w:themeColor="text1"/>
        </w:rPr>
        <w:t xml:space="preserve"> PO 1 a PO 2</w:t>
      </w:r>
      <w:r w:rsidR="002B2328" w:rsidRPr="003527C4">
        <w:rPr>
          <w:color w:val="000000" w:themeColor="text1"/>
        </w:rPr>
        <w:t xml:space="preserve">. ŘO OP </w:t>
      </w:r>
      <w:proofErr w:type="spellStart"/>
      <w:r w:rsidR="002B2328" w:rsidRPr="003527C4">
        <w:rPr>
          <w:color w:val="000000" w:themeColor="text1"/>
        </w:rPr>
        <w:t>VaVpI</w:t>
      </w:r>
      <w:proofErr w:type="spellEnd"/>
      <w:r w:rsidR="002B2328" w:rsidRPr="003527C4">
        <w:rPr>
          <w:color w:val="000000" w:themeColor="text1"/>
        </w:rPr>
        <w:t xml:space="preserve"> v současné době </w:t>
      </w:r>
      <w:r w:rsidR="00F42798" w:rsidRPr="003527C4">
        <w:rPr>
          <w:color w:val="000000" w:themeColor="text1"/>
        </w:rPr>
        <w:t xml:space="preserve">konkrétní požadavky příjemců PO </w:t>
      </w:r>
      <w:r w:rsidR="002B2328" w:rsidRPr="003527C4">
        <w:rPr>
          <w:color w:val="000000" w:themeColor="text1"/>
        </w:rPr>
        <w:t>3 a PO 4 analyzuje</w:t>
      </w:r>
      <w:r w:rsidR="00DA4B2B">
        <w:rPr>
          <w:color w:val="000000" w:themeColor="text1"/>
        </w:rPr>
        <w:t xml:space="preserve">. </w:t>
      </w:r>
      <w:r w:rsidR="00031011">
        <w:rPr>
          <w:color w:val="000000" w:themeColor="text1"/>
        </w:rPr>
        <w:t>S</w:t>
      </w:r>
      <w:r w:rsidR="006A30B7" w:rsidRPr="003527C4">
        <w:rPr>
          <w:color w:val="000000" w:themeColor="text1"/>
        </w:rPr>
        <w:t>ouhrnn</w:t>
      </w:r>
      <w:r w:rsidR="001E3E3B">
        <w:rPr>
          <w:color w:val="000000" w:themeColor="text1"/>
        </w:rPr>
        <w:t>é nároky projektů PO 3 a PO 4</w:t>
      </w:r>
      <w:r w:rsidR="00811AE6">
        <w:rPr>
          <w:color w:val="000000" w:themeColor="text1"/>
        </w:rPr>
        <w:t xml:space="preserve"> </w:t>
      </w:r>
      <w:r w:rsidR="002E4BF1" w:rsidRPr="003527C4">
        <w:rPr>
          <w:color w:val="000000" w:themeColor="text1"/>
        </w:rPr>
        <w:t xml:space="preserve">budou k dispozici v průběhu </w:t>
      </w:r>
      <w:r w:rsidR="00DA4B2B">
        <w:rPr>
          <w:color w:val="000000" w:themeColor="text1"/>
        </w:rPr>
        <w:t>srpna</w:t>
      </w:r>
      <w:r w:rsidR="00DA4B2B" w:rsidRPr="003527C4">
        <w:rPr>
          <w:color w:val="000000" w:themeColor="text1"/>
        </w:rPr>
        <w:t xml:space="preserve"> </w:t>
      </w:r>
      <w:r w:rsidR="002E4BF1" w:rsidRPr="003527C4">
        <w:rPr>
          <w:color w:val="000000" w:themeColor="text1"/>
        </w:rPr>
        <w:t>2014</w:t>
      </w:r>
      <w:r w:rsidR="003B25AB">
        <w:rPr>
          <w:color w:val="000000" w:themeColor="text1"/>
        </w:rPr>
        <w:t>.</w:t>
      </w:r>
    </w:p>
    <w:p w:rsidR="006707C9" w:rsidRPr="003527C4" w:rsidRDefault="006707C9" w:rsidP="00CE5357">
      <w:pPr>
        <w:pStyle w:val="Nadpis1"/>
        <w:numPr>
          <w:ilvl w:val="0"/>
          <w:numId w:val="2"/>
        </w:numPr>
        <w:rPr>
          <w:rFonts w:ascii="Arial" w:hAnsi="Arial" w:cs="Arial"/>
          <w:color w:val="000000" w:themeColor="text1"/>
          <w:sz w:val="20"/>
          <w:szCs w:val="20"/>
        </w:rPr>
      </w:pPr>
      <w:r w:rsidRPr="003527C4">
        <w:rPr>
          <w:rFonts w:ascii="Arial" w:hAnsi="Arial" w:cs="Arial"/>
          <w:color w:val="000000" w:themeColor="text1"/>
          <w:sz w:val="20"/>
          <w:szCs w:val="20"/>
        </w:rPr>
        <w:t>M</w:t>
      </w:r>
      <w:r w:rsidR="00F05733" w:rsidRPr="003527C4">
        <w:rPr>
          <w:rFonts w:ascii="Arial" w:hAnsi="Arial" w:cs="Arial"/>
          <w:color w:val="000000" w:themeColor="text1"/>
          <w:sz w:val="20"/>
          <w:szCs w:val="20"/>
        </w:rPr>
        <w:t xml:space="preserve">ožné zdroje financování </w:t>
      </w:r>
      <w:r w:rsidR="00F871E2" w:rsidRPr="003527C4">
        <w:rPr>
          <w:rFonts w:ascii="Arial" w:hAnsi="Arial" w:cs="Arial"/>
          <w:color w:val="000000" w:themeColor="text1"/>
          <w:sz w:val="20"/>
          <w:szCs w:val="20"/>
        </w:rPr>
        <w:t>v budoucích letech</w:t>
      </w:r>
    </w:p>
    <w:p w:rsidR="00850D5E" w:rsidRPr="003527C4" w:rsidRDefault="00850D5E" w:rsidP="00850D5E">
      <w:pPr>
        <w:pStyle w:val="Nadpis2"/>
        <w:numPr>
          <w:ilvl w:val="0"/>
          <w:numId w:val="0"/>
        </w:numPr>
        <w:ind w:left="792"/>
        <w:rPr>
          <w:rFonts w:ascii="Arial" w:hAnsi="Arial" w:cs="Arial"/>
          <w:color w:val="000000" w:themeColor="text1"/>
          <w:sz w:val="20"/>
          <w:szCs w:val="20"/>
        </w:rPr>
      </w:pPr>
    </w:p>
    <w:p w:rsidR="00DE7229" w:rsidRPr="003527C4" w:rsidRDefault="00DE7229" w:rsidP="00CE5357">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Financování </w:t>
      </w:r>
      <w:r w:rsidR="00C452DE" w:rsidRPr="003527C4">
        <w:rPr>
          <w:rFonts w:ascii="Arial" w:hAnsi="Arial" w:cs="Arial"/>
          <w:color w:val="000000" w:themeColor="text1"/>
          <w:sz w:val="20"/>
          <w:szCs w:val="20"/>
        </w:rPr>
        <w:t xml:space="preserve">center </w:t>
      </w:r>
      <w:proofErr w:type="spellStart"/>
      <w:r w:rsidR="00C452DE" w:rsidRPr="003527C4">
        <w:rPr>
          <w:rFonts w:ascii="Arial" w:hAnsi="Arial" w:cs="Arial"/>
          <w:color w:val="000000" w:themeColor="text1"/>
          <w:sz w:val="20"/>
          <w:szCs w:val="20"/>
        </w:rPr>
        <w:t>VaVaI</w:t>
      </w:r>
      <w:proofErr w:type="spellEnd"/>
      <w:r w:rsidRPr="003527C4">
        <w:rPr>
          <w:rFonts w:ascii="Arial" w:hAnsi="Arial" w:cs="Arial"/>
          <w:color w:val="000000" w:themeColor="text1"/>
          <w:sz w:val="20"/>
          <w:szCs w:val="20"/>
        </w:rPr>
        <w:t xml:space="preserve"> </w:t>
      </w:r>
      <w:r w:rsidR="006707C9" w:rsidRPr="003527C4">
        <w:rPr>
          <w:rFonts w:ascii="Arial" w:hAnsi="Arial" w:cs="Arial"/>
          <w:color w:val="000000" w:themeColor="text1"/>
          <w:sz w:val="20"/>
          <w:szCs w:val="20"/>
        </w:rPr>
        <w:t xml:space="preserve">ze státního rozpočtu </w:t>
      </w:r>
      <w:r w:rsidRPr="003527C4">
        <w:rPr>
          <w:rFonts w:ascii="Arial" w:hAnsi="Arial" w:cs="Arial"/>
          <w:color w:val="000000" w:themeColor="text1"/>
          <w:sz w:val="20"/>
          <w:szCs w:val="20"/>
        </w:rPr>
        <w:t>ČR</w:t>
      </w:r>
    </w:p>
    <w:p w:rsidR="003370D4" w:rsidRPr="003527C4" w:rsidRDefault="003370D4" w:rsidP="003370D4">
      <w:pPr>
        <w:jc w:val="both"/>
      </w:pPr>
    </w:p>
    <w:p w:rsidR="003370D4" w:rsidRDefault="003370D4" w:rsidP="003370D4">
      <w:pPr>
        <w:jc w:val="both"/>
        <w:rPr>
          <w:b/>
        </w:rPr>
      </w:pPr>
      <w:r w:rsidRPr="003527C4">
        <w:t>Financování ze státního rozpočtu je umožněno dle zákona č. 130/2002 Sb., o podpoře výzkumu, experimentálního vývoje a inovací</w:t>
      </w:r>
      <w:r w:rsidR="00BA7938">
        <w:t xml:space="preserve"> (dále jen „</w:t>
      </w:r>
      <w:proofErr w:type="spellStart"/>
      <w:r w:rsidR="00BA7938">
        <w:t>VaVaI</w:t>
      </w:r>
      <w:proofErr w:type="spellEnd"/>
      <w:r w:rsidR="00BA7938">
        <w:t>“)</w:t>
      </w:r>
      <w:r w:rsidRPr="003527C4">
        <w:t xml:space="preserve"> z veřejných prostředků a o změně některých souvisejících zákonů (zákon o podpoře výzkumu, experimentálního vývoje a inovací)</w:t>
      </w:r>
      <w:r w:rsidR="00D41D47">
        <w:t>, ve znění pozdějších předpisů</w:t>
      </w:r>
      <w:r w:rsidRPr="003527C4">
        <w:t xml:space="preserve">. </w:t>
      </w:r>
      <w:r w:rsidR="00A45F76">
        <w:t xml:space="preserve">Zákon rozlišuje dvě formy podpory: </w:t>
      </w:r>
      <w:r w:rsidR="00A45F76" w:rsidRPr="00A45F76">
        <w:rPr>
          <w:b/>
        </w:rPr>
        <w:t>ú</w:t>
      </w:r>
      <w:r w:rsidR="00A45F76">
        <w:rPr>
          <w:b/>
        </w:rPr>
        <w:t xml:space="preserve">čelovou a institucionální. </w:t>
      </w:r>
      <w:r w:rsidRPr="003527C4">
        <w:t>Podpora může být poskytnuta na dlouhodobý koncepční rozvoj</w:t>
      </w:r>
      <w:r w:rsidR="00E57FAE">
        <w:t xml:space="preserve"> na základě zhodnocení dosažených výsledků</w:t>
      </w:r>
      <w:r w:rsidRPr="003527C4">
        <w:t xml:space="preserve"> výzkumných organizací (dále jen „VO“) jako institucionální</w:t>
      </w:r>
      <w:r w:rsidR="00E57FAE">
        <w:t xml:space="preserve"> podpora</w:t>
      </w:r>
      <w:r w:rsidRPr="003527C4">
        <w:t xml:space="preserve">. Tyto tituly jsou však zavedeny bez vazby na OP </w:t>
      </w:r>
      <w:proofErr w:type="spellStart"/>
      <w:r w:rsidRPr="003527C4">
        <w:t>VaVpI</w:t>
      </w:r>
      <w:proofErr w:type="spellEnd"/>
      <w:r w:rsidRPr="003527C4">
        <w:t>.</w:t>
      </w:r>
      <w:r w:rsidR="007148DB" w:rsidRPr="006B3B8C">
        <w:rPr>
          <w:b/>
        </w:rPr>
        <w:t>.</w:t>
      </w:r>
    </w:p>
    <w:p w:rsidR="00DB42CB" w:rsidRPr="003527C4" w:rsidRDefault="00DB42CB" w:rsidP="00F871E2">
      <w:pPr>
        <w:jc w:val="both"/>
      </w:pPr>
    </w:p>
    <w:p w:rsidR="00DB42CB" w:rsidRPr="003527C4" w:rsidRDefault="00DB42CB" w:rsidP="00CE5357">
      <w:pPr>
        <w:pStyle w:val="Nadpis3"/>
        <w:numPr>
          <w:ilvl w:val="2"/>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Institucionální financování </w:t>
      </w:r>
    </w:p>
    <w:p w:rsidR="00F871E2" w:rsidRPr="003527C4" w:rsidRDefault="00F871E2" w:rsidP="00F871E2">
      <w:pPr>
        <w:jc w:val="both"/>
      </w:pPr>
    </w:p>
    <w:p w:rsidR="00F871E2" w:rsidRPr="00485092" w:rsidRDefault="00F871E2" w:rsidP="0033067A">
      <w:pPr>
        <w:jc w:val="both"/>
        <w:rPr>
          <w:rFonts w:cs="Arial"/>
          <w:color w:val="000000"/>
        </w:rPr>
      </w:pPr>
      <w:r w:rsidRPr="003527C4">
        <w:t xml:space="preserve">Pokud jde o </w:t>
      </w:r>
      <w:r w:rsidRPr="003527C4">
        <w:rPr>
          <w:b/>
        </w:rPr>
        <w:t xml:space="preserve">institucionální podporu na dlouhodobý koncepční rozvoj </w:t>
      </w:r>
      <w:r w:rsidR="003370D4" w:rsidRPr="003527C4">
        <w:rPr>
          <w:b/>
        </w:rPr>
        <w:t xml:space="preserve">VO, </w:t>
      </w:r>
      <w:r w:rsidRPr="003527C4">
        <w:t xml:space="preserve">kterou je možno použít na financování center </w:t>
      </w:r>
      <w:proofErr w:type="spellStart"/>
      <w:r w:rsidRPr="003527C4">
        <w:t>VaVpI</w:t>
      </w:r>
      <w:proofErr w:type="spellEnd"/>
      <w:r w:rsidR="0033067A" w:rsidRPr="003527C4">
        <w:t xml:space="preserve">, </w:t>
      </w:r>
      <w:r w:rsidR="009D5DF9">
        <w:t xml:space="preserve">je </w:t>
      </w:r>
      <w:r w:rsidR="00E57FAE">
        <w:t xml:space="preserve">konkrétní výše podpory stanovena vždy pouze na jeden rok, </w:t>
      </w:r>
      <w:r w:rsidRPr="003527C4">
        <w:t>v dalších letech</w:t>
      </w:r>
      <w:r w:rsidR="00E57FAE">
        <w:t xml:space="preserve"> její výše není známa</w:t>
      </w:r>
      <w:r w:rsidR="0033067A" w:rsidRPr="003527C4">
        <w:t>.</w:t>
      </w:r>
      <w:r w:rsidR="00F415AD">
        <w:t xml:space="preserve"> </w:t>
      </w:r>
      <w:r w:rsidR="00F415AD" w:rsidRPr="00205475">
        <w:rPr>
          <w:rFonts w:cs="Arial"/>
          <w:color w:val="000000"/>
        </w:rPr>
        <w:t>Hodnocení výzkumných organizací pro účely poskytování institucionální podpory na rozvoj se provádí podle Metodiky hodnocení výsledků výzkumných organizací a hodnocení výsledků ukončených programů, která je platná pro léta 2013-2015</w:t>
      </w:r>
      <w:r w:rsidR="00F415AD">
        <w:rPr>
          <w:rFonts w:cs="Arial"/>
          <w:color w:val="000000"/>
        </w:rPr>
        <w:t>.</w:t>
      </w:r>
      <w:r w:rsidR="00710B48">
        <w:rPr>
          <w:rFonts w:cs="Arial"/>
          <w:color w:val="000000"/>
        </w:rPr>
        <w:t xml:space="preserve"> </w:t>
      </w:r>
      <w:r w:rsidR="00710B48" w:rsidRPr="00485092">
        <w:rPr>
          <w:rFonts w:cs="Arial"/>
          <w:color w:val="000000"/>
        </w:rPr>
        <w:t>Metodika pro další období nebyla dosud stanovena. Tvorba metodiky je předmětem individuálního projektu národního: Efektivní systém hodnocení a financování výzkumu, vývoje a inovací.</w:t>
      </w:r>
    </w:p>
    <w:p w:rsidR="0033067A" w:rsidRPr="00485092" w:rsidRDefault="0033067A" w:rsidP="0033067A">
      <w:pPr>
        <w:jc w:val="both"/>
        <w:rPr>
          <w:rFonts w:cs="Arial"/>
          <w:color w:val="000000"/>
        </w:rPr>
      </w:pPr>
    </w:p>
    <w:p w:rsidR="00F871E2" w:rsidRPr="003527C4" w:rsidRDefault="0033067A" w:rsidP="0033067A">
      <w:pPr>
        <w:jc w:val="both"/>
      </w:pPr>
      <w:r w:rsidRPr="003527C4">
        <w:t>S</w:t>
      </w:r>
      <w:r w:rsidR="00E57FAE">
        <w:t> </w:t>
      </w:r>
      <w:r w:rsidR="00F871E2" w:rsidRPr="003527C4">
        <w:t>prostředky</w:t>
      </w:r>
      <w:r w:rsidR="00E57FAE">
        <w:t xml:space="preserve"> z institucionální podpory</w:t>
      </w:r>
      <w:r w:rsidR="00F871E2" w:rsidRPr="003527C4">
        <w:t xml:space="preserve"> </w:t>
      </w:r>
      <w:r w:rsidR="00E57FAE" w:rsidRPr="003527C4">
        <w:t xml:space="preserve">nakládají </w:t>
      </w:r>
      <w:r w:rsidR="00F871E2" w:rsidRPr="003527C4">
        <w:t xml:space="preserve">VO různě, zpravidla však rozdělují prostředky na organizační součásti algoritmem obdobným, jako je použit při rozdělování prostředků celým VO (tj. podle počtu </w:t>
      </w:r>
      <w:r w:rsidR="00E57FAE">
        <w:t xml:space="preserve">výsledků - např. </w:t>
      </w:r>
      <w:r w:rsidR="00F871E2" w:rsidRPr="003527C4">
        <w:t xml:space="preserve">publikací), nová pracoviště tedy budou mít </w:t>
      </w:r>
      <w:r w:rsidR="009D5DF9">
        <w:t>v řadě případů pravděpodobně</w:t>
      </w:r>
      <w:r w:rsidR="009D5DF9" w:rsidRPr="003527C4">
        <w:t xml:space="preserve"> </w:t>
      </w:r>
      <w:r w:rsidR="00F871E2" w:rsidRPr="003527C4">
        <w:t>slabší podporu</w:t>
      </w:r>
      <w:r w:rsidR="00E57FAE">
        <w:t xml:space="preserve"> s ohledem na nižší počet výsledků</w:t>
      </w:r>
      <w:r w:rsidRPr="003527C4">
        <w:t>. Tuto</w:t>
      </w:r>
      <w:r w:rsidR="00F871E2" w:rsidRPr="003527C4">
        <w:t xml:space="preserve"> podporu příjemcům – realizátorům projektu center </w:t>
      </w:r>
      <w:proofErr w:type="spellStart"/>
      <w:r w:rsidR="00F871E2" w:rsidRPr="003527C4">
        <w:t>VaVpI</w:t>
      </w:r>
      <w:proofErr w:type="spellEnd"/>
      <w:r w:rsidR="00F871E2" w:rsidRPr="003527C4">
        <w:t xml:space="preserve"> poskytují různí poskytovatelé (vysokým školám je podpora poskytována od MŠMT, </w:t>
      </w:r>
      <w:r w:rsidR="00E57FAE">
        <w:t xml:space="preserve">veřejným </w:t>
      </w:r>
      <w:r w:rsidR="00F871E2" w:rsidRPr="003527C4">
        <w:t>výzkumným institucím AV</w:t>
      </w:r>
      <w:r w:rsidRPr="003527C4">
        <w:t xml:space="preserve"> </w:t>
      </w:r>
      <w:r w:rsidR="00F871E2" w:rsidRPr="003527C4">
        <w:t>ČR od AV</w:t>
      </w:r>
      <w:r w:rsidRPr="003527C4">
        <w:t xml:space="preserve"> </w:t>
      </w:r>
      <w:r w:rsidR="00F871E2" w:rsidRPr="003527C4">
        <w:t>ČR, nemocnicím od MZ, atd.) těžko lze tedy případně koordinovat rozdělování prostředků jin</w:t>
      </w:r>
      <w:r w:rsidR="00DB42CB" w:rsidRPr="003527C4">
        <w:t xml:space="preserve">ým způsobem </w:t>
      </w:r>
      <w:r w:rsidR="00F871E2" w:rsidRPr="003527C4">
        <w:t>(zákon dává možnost poskytovateli použít jinou metodiku</w:t>
      </w:r>
      <w:r w:rsidRPr="003527C4">
        <w:t>, toho nicméně</w:t>
      </w:r>
      <w:r w:rsidR="00F871E2" w:rsidRPr="003527C4">
        <w:t xml:space="preserve"> </w:t>
      </w:r>
      <w:r w:rsidRPr="003527C4">
        <w:t>vy</w:t>
      </w:r>
      <w:r w:rsidR="00F871E2" w:rsidRPr="003527C4">
        <w:t>užívá jen AV</w:t>
      </w:r>
      <w:r w:rsidRPr="003527C4">
        <w:t xml:space="preserve"> </w:t>
      </w:r>
      <w:r w:rsidR="00F871E2" w:rsidRPr="003527C4">
        <w:t>ČR).</w:t>
      </w:r>
    </w:p>
    <w:p w:rsidR="00DB42CB" w:rsidRPr="003527C4" w:rsidRDefault="00DB42CB" w:rsidP="00DB42CB">
      <w:pPr>
        <w:pStyle w:val="Odstavecseseznamem"/>
        <w:jc w:val="both"/>
      </w:pPr>
    </w:p>
    <w:p w:rsidR="00850D5E" w:rsidRPr="003527C4" w:rsidRDefault="00850D5E" w:rsidP="00850D5E"/>
    <w:p w:rsidR="00CB552A" w:rsidRPr="003527C4" w:rsidRDefault="00DB42CB" w:rsidP="00CE5357">
      <w:pPr>
        <w:pStyle w:val="Nadpis3"/>
        <w:numPr>
          <w:ilvl w:val="2"/>
          <w:numId w:val="2"/>
        </w:numPr>
        <w:rPr>
          <w:rFonts w:ascii="Arial" w:hAnsi="Arial" w:cs="Arial"/>
          <w:color w:val="000000" w:themeColor="text1"/>
          <w:sz w:val="20"/>
          <w:szCs w:val="20"/>
        </w:rPr>
      </w:pPr>
      <w:r w:rsidRPr="003527C4">
        <w:rPr>
          <w:rFonts w:ascii="Arial" w:hAnsi="Arial" w:cs="Arial"/>
          <w:color w:val="000000" w:themeColor="text1"/>
          <w:sz w:val="20"/>
          <w:szCs w:val="20"/>
        </w:rPr>
        <w:t>Úč</w:t>
      </w:r>
      <w:r w:rsidR="00CB552A" w:rsidRPr="003527C4">
        <w:rPr>
          <w:rFonts w:ascii="Arial" w:hAnsi="Arial" w:cs="Arial"/>
          <w:color w:val="000000" w:themeColor="text1"/>
          <w:sz w:val="20"/>
          <w:szCs w:val="20"/>
        </w:rPr>
        <w:t xml:space="preserve">elové financování </w:t>
      </w:r>
    </w:p>
    <w:p w:rsidR="00850D5E" w:rsidRPr="003527C4" w:rsidRDefault="00850D5E" w:rsidP="00850D5E">
      <w:pPr>
        <w:rPr>
          <w:rFonts w:ascii="Arial" w:hAnsi="Arial" w:cs="Arial"/>
          <w:color w:val="FF0000"/>
          <w:sz w:val="20"/>
          <w:szCs w:val="20"/>
        </w:rPr>
      </w:pPr>
    </w:p>
    <w:p w:rsidR="00700591" w:rsidRDefault="00E73BBD" w:rsidP="00770723">
      <w:pPr>
        <w:widowControl/>
        <w:suppressAutoHyphens w:val="0"/>
        <w:autoSpaceDN/>
        <w:spacing w:after="200"/>
        <w:jc w:val="both"/>
        <w:textAlignment w:val="auto"/>
      </w:pPr>
      <w:proofErr w:type="spellStart"/>
      <w:r w:rsidRPr="00700591">
        <w:t>VaV</w:t>
      </w:r>
      <w:proofErr w:type="spellEnd"/>
      <w:r w:rsidRPr="00700591">
        <w:t xml:space="preserve"> c</w:t>
      </w:r>
      <w:r w:rsidR="00770723" w:rsidRPr="00700591">
        <w:t>entra získávají prostředky prostřednictvím</w:t>
      </w:r>
      <w:r w:rsidR="00D15CA7" w:rsidRPr="00700591">
        <w:t xml:space="preserve"> veřejných soutěží o účelovou podporu</w:t>
      </w:r>
      <w:r w:rsidR="00700591" w:rsidRPr="00700591">
        <w:t xml:space="preserve">, která je rovněž vymezena zákonem </w:t>
      </w:r>
      <w:r w:rsidR="00700591" w:rsidRPr="009B67DC">
        <w:t>č. 130/2002 Sb. Poskytovatelem může být aktuálně: Grantová agentura ČR, Technologická agentura ČR, Ministerstvo kultury, Ministerstvo průmyslu a obchodu, Ministe</w:t>
      </w:r>
      <w:r w:rsidR="00700591" w:rsidRPr="009B67DC">
        <w:t>r</w:t>
      </w:r>
      <w:r w:rsidR="00700591" w:rsidRPr="009B67DC">
        <w:t xml:space="preserve">stvo školství mládeže a tělovýchovy. Ministerstvo  vnitra, Ministerstvo  zdravotnictví, Ministerstvo obrany, Ministerstvo zemědělství, nebo územní samosprávný celek. </w:t>
      </w:r>
    </w:p>
    <w:p w:rsidR="00770723" w:rsidRDefault="00700591" w:rsidP="00770723">
      <w:pPr>
        <w:widowControl/>
        <w:suppressAutoHyphens w:val="0"/>
        <w:autoSpaceDN/>
        <w:spacing w:after="200"/>
        <w:jc w:val="both"/>
        <w:textAlignment w:val="auto"/>
      </w:pPr>
      <w:r w:rsidRPr="009B67DC">
        <w:t xml:space="preserve"> </w:t>
      </w:r>
      <w:r>
        <w:br/>
      </w:r>
      <w:r w:rsidR="00770723" w:rsidRPr="00700591">
        <w:t xml:space="preserve">Ačkoliv tyto zdroje představují pro </w:t>
      </w:r>
      <w:proofErr w:type="spellStart"/>
      <w:r w:rsidR="0033067A" w:rsidRPr="00700591">
        <w:t>VaV</w:t>
      </w:r>
      <w:proofErr w:type="spellEnd"/>
      <w:r w:rsidR="0033067A" w:rsidRPr="00700591">
        <w:t xml:space="preserve"> </w:t>
      </w:r>
      <w:r w:rsidR="00770723" w:rsidRPr="00700591">
        <w:t xml:space="preserve">centra </w:t>
      </w:r>
      <w:r w:rsidR="0033067A" w:rsidRPr="00700591">
        <w:t xml:space="preserve">důležitý </w:t>
      </w:r>
      <w:r w:rsidR="00770723" w:rsidRPr="00700591">
        <w:t xml:space="preserve">zdroj příjmů, bývají </w:t>
      </w:r>
      <w:r w:rsidR="0033067A" w:rsidRPr="00700591">
        <w:t xml:space="preserve">ze strany příjemců </w:t>
      </w:r>
      <w:r w:rsidR="00F85D99">
        <w:t>ča</w:t>
      </w:r>
      <w:r w:rsidR="00F85D99">
        <w:t>s</w:t>
      </w:r>
      <w:r w:rsidR="00F85D99">
        <w:t>to</w:t>
      </w:r>
      <w:r w:rsidR="00F85D99" w:rsidRPr="00700591">
        <w:t xml:space="preserve"> </w:t>
      </w:r>
      <w:r w:rsidR="00770723" w:rsidRPr="00700591">
        <w:t xml:space="preserve">kritizovány z </w:t>
      </w:r>
      <w:r w:rsidR="0033067A" w:rsidRPr="00700591">
        <w:t>důvodu</w:t>
      </w:r>
      <w:r w:rsidR="00770723" w:rsidRPr="00700591">
        <w:t xml:space="preserve"> </w:t>
      </w:r>
      <w:r w:rsidR="00F85D99">
        <w:t xml:space="preserve">jejich </w:t>
      </w:r>
      <w:r w:rsidR="00770723" w:rsidRPr="00700591">
        <w:t>příliš</w:t>
      </w:r>
      <w:r w:rsidR="00F85D99">
        <w:t>né fragmentace, v řadě případů</w:t>
      </w:r>
      <w:r w:rsidR="00770723" w:rsidRPr="00700591">
        <w:t xml:space="preserve"> malého objemu poskytované podpory, </w:t>
      </w:r>
      <w:r w:rsidR="00F85D99">
        <w:t>často</w:t>
      </w:r>
      <w:r w:rsidR="00F85D99" w:rsidRPr="00700591">
        <w:t xml:space="preserve"> </w:t>
      </w:r>
      <w:r w:rsidR="00770723" w:rsidRPr="00700591">
        <w:t>krátkodobé</w:t>
      </w:r>
      <w:r w:rsidR="00F85D99">
        <w:t>ho charakteru</w:t>
      </w:r>
      <w:r w:rsidR="00770723" w:rsidRPr="00700591">
        <w:t xml:space="preserve"> podpory </w:t>
      </w:r>
      <w:r w:rsidR="00F8763C" w:rsidRPr="00700591">
        <w:t xml:space="preserve">a nepředvídatelnosti ročních alokací </w:t>
      </w:r>
      <w:r w:rsidR="00770723" w:rsidRPr="00700591">
        <w:t>(svým čas</w:t>
      </w:r>
      <w:r w:rsidR="00770723" w:rsidRPr="00700591">
        <w:t>o</w:t>
      </w:r>
      <w:r w:rsidR="00770723" w:rsidRPr="00700591">
        <w:t>vým rozsahem příliš nevybízí centra k</w:t>
      </w:r>
      <w:r w:rsidR="005E4C9A">
        <w:t> </w:t>
      </w:r>
      <w:r w:rsidR="00770723" w:rsidRPr="00700591">
        <w:t>dlouhodobému</w:t>
      </w:r>
      <w:r w:rsidR="005E4C9A">
        <w:t xml:space="preserve"> a strategickému plánování</w:t>
      </w:r>
      <w:r w:rsidR="00770723" w:rsidRPr="00700591">
        <w:t xml:space="preserve"> výzkumu</w:t>
      </w:r>
      <w:r w:rsidR="005E4C9A">
        <w:t xml:space="preserve"> a výv</w:t>
      </w:r>
      <w:r w:rsidR="005E4C9A">
        <w:t>o</w:t>
      </w:r>
      <w:r w:rsidR="005E4C9A">
        <w:t>je</w:t>
      </w:r>
      <w:r w:rsidR="00770723" w:rsidRPr="00700591">
        <w:t>).</w:t>
      </w:r>
      <w:r w:rsidR="002C1F9E">
        <w:t xml:space="preserve"> </w:t>
      </w:r>
      <w:r w:rsidR="00F85D99">
        <w:t xml:space="preserve">Jednu z výjimek </w:t>
      </w:r>
      <w:r w:rsidR="002C1F9E">
        <w:t xml:space="preserve">tvoří podpora velkých infrastruktur </w:t>
      </w:r>
      <w:r w:rsidR="003B2E76">
        <w:t xml:space="preserve">pro </w:t>
      </w:r>
      <w:proofErr w:type="spellStart"/>
      <w:r w:rsidR="00F85D99">
        <w:t>VaVaI</w:t>
      </w:r>
      <w:proofErr w:type="spellEnd"/>
      <w:r w:rsidR="003B2E76">
        <w:t xml:space="preserve"> </w:t>
      </w:r>
      <w:r w:rsidR="002C1F9E">
        <w:t xml:space="preserve">- </w:t>
      </w:r>
      <w:r w:rsidR="002C1F9E">
        <w:rPr>
          <w:kern w:val="0"/>
        </w:rPr>
        <w:t>nástroj dlouhodobého a stabilního financování výzkumných infrastruktur, včetně jejich napojení na mezinárodní výzku</w:t>
      </w:r>
      <w:r w:rsidR="002C1F9E">
        <w:rPr>
          <w:kern w:val="0"/>
        </w:rPr>
        <w:t>m</w:t>
      </w:r>
      <w:r w:rsidR="002C1F9E">
        <w:rPr>
          <w:kern w:val="0"/>
        </w:rPr>
        <w:t>né infrastruktury</w:t>
      </w:r>
      <w:r w:rsidR="003B2E76">
        <w:rPr>
          <w:kern w:val="0"/>
        </w:rPr>
        <w:t>,</w:t>
      </w:r>
      <w:r w:rsidR="002C1F9E">
        <w:rPr>
          <w:kern w:val="0"/>
        </w:rPr>
        <w:t xml:space="preserve"> </w:t>
      </w:r>
      <w:r w:rsidR="00F85D99">
        <w:rPr>
          <w:kern w:val="0"/>
        </w:rPr>
        <w:t xml:space="preserve">a </w:t>
      </w:r>
      <w:r w:rsidR="003B2E76">
        <w:rPr>
          <w:kern w:val="0"/>
        </w:rPr>
        <w:t>z</w:t>
      </w:r>
      <w:r w:rsidR="002C1F9E">
        <w:rPr>
          <w:kern w:val="0"/>
        </w:rPr>
        <w:t xml:space="preserve">ejména pro „evropská centra excelence“ i zcela relevantní nástroj financování, protože právě tato centra </w:t>
      </w:r>
      <w:r w:rsidR="003B2E76">
        <w:rPr>
          <w:kern w:val="0"/>
        </w:rPr>
        <w:t xml:space="preserve">nebo jejich </w:t>
      </w:r>
      <w:r w:rsidR="00F85D99">
        <w:rPr>
          <w:kern w:val="0"/>
        </w:rPr>
        <w:t xml:space="preserve">významné </w:t>
      </w:r>
      <w:r w:rsidR="003B2E76">
        <w:rPr>
          <w:kern w:val="0"/>
        </w:rPr>
        <w:t xml:space="preserve">části </w:t>
      </w:r>
      <w:r w:rsidR="002C1F9E">
        <w:rPr>
          <w:kern w:val="0"/>
        </w:rPr>
        <w:t>splňují v dominantní míře charakter velké i</w:t>
      </w:r>
      <w:r w:rsidR="002C1F9E">
        <w:rPr>
          <w:kern w:val="0"/>
        </w:rPr>
        <w:t>n</w:t>
      </w:r>
      <w:r w:rsidR="002C1F9E">
        <w:rPr>
          <w:kern w:val="0"/>
        </w:rPr>
        <w:t xml:space="preserve">frastruktury pro </w:t>
      </w:r>
      <w:proofErr w:type="spellStart"/>
      <w:r w:rsidR="002C1F9E">
        <w:rPr>
          <w:kern w:val="0"/>
        </w:rPr>
        <w:t>VaVaI</w:t>
      </w:r>
      <w:proofErr w:type="spellEnd"/>
      <w:r w:rsidR="002C1F9E">
        <w:rPr>
          <w:kern w:val="0"/>
        </w:rPr>
        <w:t>.</w:t>
      </w:r>
    </w:p>
    <w:p w:rsidR="00A77AF8" w:rsidRPr="009B67DC" w:rsidRDefault="00A77AF8" w:rsidP="00770723">
      <w:pPr>
        <w:widowControl/>
        <w:suppressAutoHyphens w:val="0"/>
        <w:autoSpaceDN/>
        <w:spacing w:after="200"/>
        <w:jc w:val="both"/>
        <w:textAlignment w:val="auto"/>
      </w:pPr>
    </w:p>
    <w:p w:rsidR="003B3C1C" w:rsidRPr="003B3C1C" w:rsidRDefault="003B3C1C" w:rsidP="009B67DC">
      <w:pPr>
        <w:pStyle w:val="Nadpis3"/>
        <w:numPr>
          <w:ilvl w:val="3"/>
          <w:numId w:val="2"/>
        </w:numPr>
        <w:ind w:left="1723" w:hanging="646"/>
        <w:rPr>
          <w:rFonts w:ascii="Arial" w:hAnsi="Arial" w:cs="Arial"/>
          <w:color w:val="000000" w:themeColor="text1"/>
          <w:sz w:val="20"/>
          <w:szCs w:val="20"/>
        </w:rPr>
      </w:pPr>
      <w:r>
        <w:rPr>
          <w:rFonts w:ascii="Arial" w:hAnsi="Arial" w:cs="Arial"/>
          <w:color w:val="000000" w:themeColor="text1"/>
          <w:sz w:val="20"/>
          <w:szCs w:val="20"/>
        </w:rPr>
        <w:t>V</w:t>
      </w:r>
      <w:r w:rsidRPr="008E54D3">
        <w:rPr>
          <w:rFonts w:ascii="Arial" w:hAnsi="Arial" w:cs="Arial"/>
          <w:color w:val="000000" w:themeColor="text1"/>
          <w:sz w:val="20"/>
          <w:szCs w:val="20"/>
        </w:rPr>
        <w:t>elké infrastruktury pro výzkum, experimentální vývoj a inovace</w:t>
      </w:r>
    </w:p>
    <w:p w:rsidR="003B3C1C" w:rsidRPr="003527C4" w:rsidRDefault="003B3C1C" w:rsidP="003B3C1C"/>
    <w:p w:rsidR="003B3C1C" w:rsidRPr="003527C4" w:rsidRDefault="003B3C1C" w:rsidP="003B3C1C">
      <w:pPr>
        <w:pStyle w:val="Odstavecseseznamem"/>
        <w:ind w:left="0"/>
        <w:jc w:val="both"/>
        <w:rPr>
          <w:rFonts w:cs="Times New Roman"/>
          <w:szCs w:val="24"/>
        </w:rPr>
      </w:pPr>
      <w:r w:rsidRPr="003527C4">
        <w:rPr>
          <w:rFonts w:cs="Times New Roman"/>
          <w:color w:val="000000"/>
          <w:szCs w:val="24"/>
        </w:rPr>
        <w:t>Aktivita</w:t>
      </w:r>
      <w:r w:rsidRPr="003527C4">
        <w:rPr>
          <w:rFonts w:cs="Times New Roman"/>
          <w:szCs w:val="24"/>
        </w:rPr>
        <w:t xml:space="preserve"> MŠMT na podporu velké infrastruktury pro </w:t>
      </w:r>
      <w:proofErr w:type="spellStart"/>
      <w:r w:rsidRPr="003527C4">
        <w:rPr>
          <w:rFonts w:cs="Times New Roman"/>
          <w:szCs w:val="24"/>
        </w:rPr>
        <w:t>VaV</w:t>
      </w:r>
      <w:r w:rsidR="00BA7938">
        <w:rPr>
          <w:rFonts w:cs="Times New Roman"/>
          <w:szCs w:val="24"/>
        </w:rPr>
        <w:t>aI</w:t>
      </w:r>
      <w:proofErr w:type="spellEnd"/>
      <w:r w:rsidRPr="003527C4">
        <w:rPr>
          <w:rFonts w:cs="Times New Roman"/>
          <w:szCs w:val="24"/>
        </w:rPr>
        <w:t xml:space="preserve"> je </w:t>
      </w:r>
      <w:r>
        <w:rPr>
          <w:rFonts w:cs="Times New Roman"/>
          <w:szCs w:val="24"/>
        </w:rPr>
        <w:t xml:space="preserve">nástrojem účelové podpory </w:t>
      </w:r>
      <w:r w:rsidRPr="003527C4">
        <w:rPr>
          <w:rFonts w:cs="Times New Roman"/>
          <w:szCs w:val="24"/>
        </w:rPr>
        <w:t>zaměřen</w:t>
      </w:r>
      <w:r>
        <w:rPr>
          <w:rFonts w:cs="Times New Roman"/>
          <w:szCs w:val="24"/>
        </w:rPr>
        <w:t>ý</w:t>
      </w:r>
      <w:r w:rsidR="00D7463C">
        <w:rPr>
          <w:rFonts w:cs="Times New Roman"/>
          <w:szCs w:val="24"/>
        </w:rPr>
        <w:t>m</w:t>
      </w:r>
      <w:r w:rsidRPr="003527C4">
        <w:rPr>
          <w:rFonts w:cs="Times New Roman"/>
          <w:szCs w:val="24"/>
        </w:rPr>
        <w:t xml:space="preserve"> na </w:t>
      </w:r>
      <w:r w:rsidRPr="003527C4">
        <w:rPr>
          <w:rFonts w:cs="Times New Roman"/>
          <w:b/>
          <w:szCs w:val="24"/>
        </w:rPr>
        <w:t>podporu jedinečných výzkumných zařízení s vysokou finanční a</w:t>
      </w:r>
      <w:r>
        <w:rPr>
          <w:rFonts w:cs="Times New Roman"/>
          <w:b/>
          <w:szCs w:val="24"/>
        </w:rPr>
        <w:t> </w:t>
      </w:r>
      <w:r w:rsidRPr="003527C4">
        <w:rPr>
          <w:rFonts w:cs="Times New Roman"/>
          <w:b/>
          <w:szCs w:val="24"/>
        </w:rPr>
        <w:t>technologickou náročností</w:t>
      </w:r>
      <w:r w:rsidRPr="003527C4">
        <w:rPr>
          <w:rFonts w:cs="Times New Roman"/>
          <w:szCs w:val="24"/>
        </w:rPr>
        <w:t xml:space="preserve">, jejichž specifický význam v rámci národního výzkumného a inovačního systému ČR je umocňován i skutečností, že jednotlivé projekty velkých infrastruktur pro </w:t>
      </w:r>
      <w:proofErr w:type="spellStart"/>
      <w:r w:rsidRPr="003527C4">
        <w:rPr>
          <w:rFonts w:cs="Times New Roman"/>
          <w:szCs w:val="24"/>
        </w:rPr>
        <w:t>VaVaI</w:t>
      </w:r>
      <w:proofErr w:type="spellEnd"/>
      <w:r w:rsidRPr="003527C4">
        <w:rPr>
          <w:rFonts w:cs="Times New Roman"/>
          <w:szCs w:val="24"/>
        </w:rPr>
        <w:t xml:space="preserve"> jsou v souladu s legislativním rámcem podpory schvalovány vládou ČR. Velké infrastruktury pro </w:t>
      </w:r>
      <w:proofErr w:type="spellStart"/>
      <w:r w:rsidRPr="003527C4">
        <w:rPr>
          <w:rFonts w:cs="Times New Roman"/>
          <w:szCs w:val="24"/>
        </w:rPr>
        <w:t>VaVaI</w:t>
      </w:r>
      <w:proofErr w:type="spellEnd"/>
      <w:r w:rsidRPr="003527C4">
        <w:rPr>
          <w:rFonts w:cs="Times New Roman"/>
          <w:szCs w:val="24"/>
        </w:rPr>
        <w:t xml:space="preserve"> mají významnou integrační roli v aktuálně značně fragmentovaném systému podpory výzkumu, vývoje a inovací v ČR a umožňují tak koncentraci kritického množství kapacit a zdrojů pro provádění excelentního víceoborového výzkumu výrazného mezinárodního přesahu. </w:t>
      </w:r>
    </w:p>
    <w:p w:rsidR="003B3C1C" w:rsidRPr="003527C4" w:rsidRDefault="003B3C1C" w:rsidP="003B3C1C">
      <w:pPr>
        <w:pStyle w:val="Odstavecseseznamem"/>
        <w:ind w:left="0"/>
        <w:jc w:val="both"/>
        <w:rPr>
          <w:rFonts w:cs="Times New Roman"/>
          <w:szCs w:val="24"/>
        </w:rPr>
      </w:pPr>
    </w:p>
    <w:p w:rsidR="003B3C1C" w:rsidRPr="003527C4" w:rsidRDefault="003B3C1C" w:rsidP="003B3C1C">
      <w:pPr>
        <w:pStyle w:val="Odstavecseseznamem"/>
        <w:ind w:left="0"/>
        <w:jc w:val="both"/>
        <w:rPr>
          <w:rFonts w:cs="Times New Roman"/>
          <w:szCs w:val="24"/>
        </w:rPr>
      </w:pPr>
      <w:r w:rsidRPr="003527C4">
        <w:rPr>
          <w:rFonts w:cs="Times New Roman"/>
          <w:szCs w:val="24"/>
        </w:rPr>
        <w:t xml:space="preserve">V rámci aktivity na podporu velkých infrastruktur pro </w:t>
      </w:r>
      <w:proofErr w:type="spellStart"/>
      <w:r w:rsidRPr="003527C4">
        <w:rPr>
          <w:rFonts w:cs="Times New Roman"/>
          <w:szCs w:val="24"/>
        </w:rPr>
        <w:t>VaVaI</w:t>
      </w:r>
      <w:proofErr w:type="spellEnd"/>
      <w:r w:rsidRPr="003527C4">
        <w:rPr>
          <w:rFonts w:cs="Times New Roman"/>
          <w:szCs w:val="24"/>
        </w:rPr>
        <w:t xml:space="preserve"> můžeme rozlišit 3 relativně definičně ucelené skupiny projektů. První skupinu tvoří </w:t>
      </w:r>
      <w:r w:rsidRPr="003527C4">
        <w:rPr>
          <w:rFonts w:cs="Times New Roman"/>
          <w:b/>
          <w:szCs w:val="24"/>
        </w:rPr>
        <w:t xml:space="preserve">národní velké infrastruktury pro </w:t>
      </w:r>
      <w:proofErr w:type="spellStart"/>
      <w:r w:rsidRPr="003527C4">
        <w:rPr>
          <w:rFonts w:cs="Times New Roman"/>
          <w:b/>
          <w:szCs w:val="24"/>
        </w:rPr>
        <w:t>VaVaI</w:t>
      </w:r>
      <w:proofErr w:type="spellEnd"/>
      <w:r w:rsidRPr="003527C4">
        <w:rPr>
          <w:rFonts w:cs="Times New Roman"/>
          <w:b/>
          <w:szCs w:val="24"/>
        </w:rPr>
        <w:t xml:space="preserve"> s významným mezinárodním přesahem</w:t>
      </w:r>
      <w:r w:rsidRPr="003527C4">
        <w:rPr>
          <w:rFonts w:cs="Times New Roman"/>
          <w:szCs w:val="24"/>
        </w:rPr>
        <w:t xml:space="preserve"> (např. CESNET). Druhou skupinu tvoří </w:t>
      </w:r>
      <w:r w:rsidRPr="003527C4">
        <w:rPr>
          <w:rFonts w:cs="Times New Roman"/>
          <w:b/>
          <w:szCs w:val="24"/>
        </w:rPr>
        <w:t xml:space="preserve">velké infrastruktury pro </w:t>
      </w:r>
      <w:proofErr w:type="spellStart"/>
      <w:r w:rsidRPr="003527C4">
        <w:rPr>
          <w:rFonts w:cs="Times New Roman"/>
          <w:b/>
          <w:szCs w:val="24"/>
        </w:rPr>
        <w:t>VaVaI</w:t>
      </w:r>
      <w:proofErr w:type="spellEnd"/>
      <w:r w:rsidRPr="003527C4">
        <w:rPr>
          <w:rFonts w:cs="Times New Roman"/>
          <w:b/>
          <w:szCs w:val="24"/>
        </w:rPr>
        <w:t xml:space="preserve"> představující národní infrastrukturní uzel </w:t>
      </w:r>
      <w:r w:rsidR="00D7463C">
        <w:rPr>
          <w:rFonts w:cs="Times New Roman"/>
          <w:b/>
          <w:szCs w:val="24"/>
        </w:rPr>
        <w:t>evropských</w:t>
      </w:r>
      <w:r w:rsidR="00D7463C" w:rsidRPr="003527C4">
        <w:rPr>
          <w:rFonts w:cs="Times New Roman"/>
          <w:b/>
          <w:szCs w:val="24"/>
        </w:rPr>
        <w:t xml:space="preserve"> </w:t>
      </w:r>
      <w:r w:rsidRPr="003527C4">
        <w:rPr>
          <w:rFonts w:cs="Times New Roman"/>
          <w:b/>
          <w:szCs w:val="24"/>
        </w:rPr>
        <w:t>výzkumných infrastruktur</w:t>
      </w:r>
      <w:r w:rsidRPr="003527C4">
        <w:rPr>
          <w:rFonts w:cs="Times New Roman"/>
          <w:szCs w:val="24"/>
        </w:rPr>
        <w:t xml:space="preserve"> (např. CZ-OPENSCREEN). Třetí skupinu tvoří </w:t>
      </w:r>
      <w:r w:rsidRPr="003527C4">
        <w:rPr>
          <w:rFonts w:cs="Times New Roman"/>
          <w:b/>
          <w:szCs w:val="24"/>
        </w:rPr>
        <w:t xml:space="preserve">projekty velkých infrastruktur pro </w:t>
      </w:r>
      <w:proofErr w:type="spellStart"/>
      <w:r w:rsidRPr="003527C4">
        <w:rPr>
          <w:rFonts w:cs="Times New Roman"/>
          <w:b/>
          <w:szCs w:val="24"/>
        </w:rPr>
        <w:t>VaVaI</w:t>
      </w:r>
      <w:proofErr w:type="spellEnd"/>
      <w:r w:rsidRPr="003527C4">
        <w:rPr>
          <w:rFonts w:cs="Times New Roman"/>
          <w:b/>
          <w:szCs w:val="24"/>
        </w:rPr>
        <w:t xml:space="preserve"> ve formě účasti v zahraničních výzkumných infrastrukturách</w:t>
      </w:r>
      <w:r w:rsidRPr="003527C4">
        <w:rPr>
          <w:rFonts w:cs="Times New Roman"/>
          <w:szCs w:val="24"/>
        </w:rPr>
        <w:t xml:space="preserve"> (např. JHR – </w:t>
      </w:r>
      <w:proofErr w:type="spellStart"/>
      <w:r w:rsidRPr="003527C4">
        <w:rPr>
          <w:rFonts w:cs="Times New Roman"/>
          <w:szCs w:val="24"/>
        </w:rPr>
        <w:t>Jules</w:t>
      </w:r>
      <w:proofErr w:type="spellEnd"/>
      <w:r w:rsidRPr="003527C4">
        <w:rPr>
          <w:rFonts w:cs="Times New Roman"/>
          <w:szCs w:val="24"/>
        </w:rPr>
        <w:t xml:space="preserve"> </w:t>
      </w:r>
      <w:proofErr w:type="spellStart"/>
      <w:r w:rsidRPr="003527C4">
        <w:rPr>
          <w:rFonts w:cs="Times New Roman"/>
          <w:szCs w:val="24"/>
        </w:rPr>
        <w:t>Horowitz</w:t>
      </w:r>
      <w:proofErr w:type="spellEnd"/>
      <w:r w:rsidRPr="003527C4">
        <w:rPr>
          <w:rFonts w:cs="Times New Roman"/>
          <w:szCs w:val="24"/>
        </w:rPr>
        <w:t xml:space="preserve"> </w:t>
      </w:r>
      <w:proofErr w:type="spellStart"/>
      <w:r w:rsidRPr="003527C4">
        <w:rPr>
          <w:rFonts w:cs="Times New Roman"/>
          <w:szCs w:val="24"/>
        </w:rPr>
        <w:t>Reactor</w:t>
      </w:r>
      <w:proofErr w:type="spellEnd"/>
      <w:r w:rsidRPr="003527C4">
        <w:rPr>
          <w:rFonts w:cs="Times New Roman"/>
          <w:szCs w:val="24"/>
        </w:rPr>
        <w:t xml:space="preserve">). Prostřednictvím aktivity na podporu velkých infrastruktur pro </w:t>
      </w:r>
      <w:proofErr w:type="spellStart"/>
      <w:r w:rsidRPr="003527C4">
        <w:rPr>
          <w:rFonts w:cs="Times New Roman"/>
          <w:szCs w:val="24"/>
        </w:rPr>
        <w:t>VaVaI</w:t>
      </w:r>
      <w:proofErr w:type="spellEnd"/>
      <w:r w:rsidRPr="003527C4">
        <w:rPr>
          <w:rFonts w:cs="Times New Roman"/>
          <w:szCs w:val="24"/>
        </w:rPr>
        <w:t xml:space="preserve"> tak dochází k integraci národní výzkumné infrastruktury do zahraničních výzkumných infrastruktur panevropského, popř. globálního významu. Zapojení českých výzkumných týmů do zahraničních výzkumných infrastruktur a začlenění českých výzkumných infrastruktur do Evropského výzkumného prostoru (ERA) má poté výrazně pozitivní vliv rovněž na stimulaci excelence výzkumu v ČR, potažmo na spolupráci veřejného výzkumného sektoru s aplikační sférou. </w:t>
      </w:r>
    </w:p>
    <w:p w:rsidR="003B3C1C" w:rsidRPr="003527C4" w:rsidRDefault="003B3C1C" w:rsidP="003B3C1C">
      <w:pPr>
        <w:pStyle w:val="Odstavecseseznamem"/>
        <w:ind w:left="0"/>
        <w:jc w:val="both"/>
        <w:rPr>
          <w:rFonts w:cs="Times New Roman"/>
          <w:szCs w:val="24"/>
        </w:rPr>
      </w:pPr>
    </w:p>
    <w:p w:rsidR="003B3C1C" w:rsidRPr="009F42FC" w:rsidRDefault="003B3C1C" w:rsidP="003B3C1C">
      <w:pPr>
        <w:pStyle w:val="Textkomente"/>
        <w:jc w:val="both"/>
        <w:rPr>
          <w:rFonts w:cs="Times New Roman"/>
          <w:sz w:val="24"/>
          <w:szCs w:val="24"/>
        </w:rPr>
      </w:pPr>
      <w:r w:rsidRPr="008E54D3">
        <w:rPr>
          <w:rFonts w:cs="Times New Roman"/>
          <w:sz w:val="24"/>
          <w:szCs w:val="24"/>
        </w:rPr>
        <w:t xml:space="preserve">V současné době je v ČR financováno celkem 34 projektů velkých infrastruktur pro </w:t>
      </w:r>
      <w:proofErr w:type="spellStart"/>
      <w:r w:rsidRPr="008E54D3">
        <w:rPr>
          <w:rFonts w:cs="Times New Roman"/>
          <w:sz w:val="24"/>
          <w:szCs w:val="24"/>
        </w:rPr>
        <w:t>VaVaI</w:t>
      </w:r>
      <w:proofErr w:type="spellEnd"/>
      <w:r w:rsidRPr="008E54D3">
        <w:rPr>
          <w:rFonts w:cs="Times New Roman"/>
          <w:sz w:val="24"/>
          <w:szCs w:val="24"/>
        </w:rPr>
        <w:t xml:space="preserve"> s celkovou roční alokací</w:t>
      </w:r>
      <w:r w:rsidRPr="003527C4">
        <w:rPr>
          <w:rFonts w:cs="Times New Roman"/>
          <w:szCs w:val="24"/>
        </w:rPr>
        <w:t xml:space="preserve"> </w:t>
      </w:r>
      <w:r w:rsidRPr="008E54D3">
        <w:rPr>
          <w:rFonts w:cs="Times New Roman"/>
          <w:sz w:val="24"/>
          <w:szCs w:val="24"/>
        </w:rPr>
        <w:t xml:space="preserve">podpory blížící se výši 800 mil. Kč. Aktivita na podporu velkých infrastruktur byla MŠMT zahájena roku 2010, kdy byl přijat i strategický dokument ČR pro tuto oblast, tzv. </w:t>
      </w:r>
      <w:r w:rsidRPr="008E54D3">
        <w:rPr>
          <w:rFonts w:cs="Times New Roman"/>
          <w:b/>
          <w:sz w:val="24"/>
          <w:szCs w:val="24"/>
        </w:rPr>
        <w:t xml:space="preserve">Cestovní mapa ČR velkých infrastruktur pro </w:t>
      </w:r>
      <w:proofErr w:type="spellStart"/>
      <w:r w:rsidRPr="008E54D3">
        <w:rPr>
          <w:rFonts w:cs="Times New Roman"/>
          <w:b/>
          <w:sz w:val="24"/>
          <w:szCs w:val="24"/>
        </w:rPr>
        <w:t>VaVaI</w:t>
      </w:r>
      <w:proofErr w:type="spellEnd"/>
      <w:r w:rsidRPr="008E54D3">
        <w:rPr>
          <w:rFonts w:cs="Times New Roman"/>
          <w:sz w:val="24"/>
          <w:szCs w:val="24"/>
        </w:rPr>
        <w:t xml:space="preserve">. Její aktualizace proběhla roku 2011; s další aktualizací se počítá v návaznosti na probíhající </w:t>
      </w:r>
      <w:r w:rsidRPr="008E54D3">
        <w:rPr>
          <w:rFonts w:cs="Times New Roman"/>
          <w:b/>
          <w:sz w:val="24"/>
          <w:szCs w:val="24"/>
        </w:rPr>
        <w:t>komplexní mezinárodní hodnocení výzkumných infrastruktur ČR</w:t>
      </w:r>
      <w:r w:rsidRPr="008E54D3">
        <w:rPr>
          <w:rFonts w:cs="Times New Roman"/>
          <w:sz w:val="24"/>
          <w:szCs w:val="24"/>
        </w:rPr>
        <w:t xml:space="preserve"> v letech 2014 – 2015.</w:t>
      </w:r>
      <w:r w:rsidRPr="003527C4">
        <w:rPr>
          <w:rFonts w:cs="Times New Roman"/>
          <w:szCs w:val="24"/>
        </w:rPr>
        <w:t xml:space="preserve"> </w:t>
      </w:r>
      <w:r w:rsidRPr="009F42FC">
        <w:rPr>
          <w:rFonts w:cs="Times New Roman"/>
          <w:sz w:val="24"/>
          <w:szCs w:val="24"/>
        </w:rPr>
        <w:t xml:space="preserve">Aktuálně probíhající komplexní hodnocení výzkumných infrastruktur v ČR je velmi dobrým příslibem pro všeobecné zvýšení kvality evaluace </w:t>
      </w:r>
      <w:proofErr w:type="spellStart"/>
      <w:r w:rsidRPr="009F42FC">
        <w:rPr>
          <w:rFonts w:cs="Times New Roman"/>
          <w:sz w:val="24"/>
          <w:szCs w:val="24"/>
        </w:rPr>
        <w:t>VaVaI</w:t>
      </w:r>
      <w:proofErr w:type="spellEnd"/>
      <w:r w:rsidRPr="009F42FC">
        <w:rPr>
          <w:rFonts w:cs="Times New Roman"/>
          <w:sz w:val="24"/>
          <w:szCs w:val="24"/>
        </w:rPr>
        <w:t xml:space="preserve"> v ČR, zejména ve vztahu k podpoře excelentních finančně a technologicky vysoce náročných kapacit pro </w:t>
      </w:r>
      <w:proofErr w:type="spellStart"/>
      <w:r w:rsidRPr="009F42FC">
        <w:rPr>
          <w:rFonts w:cs="Times New Roman"/>
          <w:sz w:val="24"/>
          <w:szCs w:val="24"/>
        </w:rPr>
        <w:t>VaVaI</w:t>
      </w:r>
      <w:proofErr w:type="spellEnd"/>
      <w:r w:rsidRPr="009F42FC">
        <w:rPr>
          <w:rFonts w:cs="Times New Roman"/>
          <w:sz w:val="24"/>
          <w:szCs w:val="24"/>
        </w:rPr>
        <w:t>. Metodika připravená za tímto účelem splňuje velmi náročná kritéria obvyklá na mezinárodním poli; hodnocení budou provádět přední experti pohybující se dlouhodobě v problematice výzkumných infrastruktur a mající široké zkušenosti s ESFRI výzkumnými infrastrukturami. OP </w:t>
      </w:r>
      <w:proofErr w:type="spellStart"/>
      <w:r w:rsidRPr="009F42FC">
        <w:rPr>
          <w:rFonts w:cs="Times New Roman"/>
          <w:sz w:val="24"/>
          <w:szCs w:val="24"/>
        </w:rPr>
        <w:t>VaVpI</w:t>
      </w:r>
      <w:proofErr w:type="spellEnd"/>
      <w:r w:rsidRPr="009F42FC">
        <w:rPr>
          <w:rFonts w:cs="Times New Roman"/>
          <w:sz w:val="24"/>
          <w:szCs w:val="24"/>
        </w:rPr>
        <w:t xml:space="preserve"> centra, která splňují definici výzkumné infrastruktury, a která se do hodnocení přihlásí (a budou se tedy ucházet o podporu v rámci aktivity MŠMT na podporu velké infrastruktury pro </w:t>
      </w:r>
      <w:proofErr w:type="spellStart"/>
      <w:r w:rsidRPr="009F42FC">
        <w:rPr>
          <w:rFonts w:cs="Times New Roman"/>
          <w:sz w:val="24"/>
          <w:szCs w:val="24"/>
        </w:rPr>
        <w:t>VaVaI</w:t>
      </w:r>
      <w:proofErr w:type="spellEnd"/>
      <w:r w:rsidRPr="009F42FC">
        <w:rPr>
          <w:rFonts w:cs="Times New Roman"/>
          <w:sz w:val="24"/>
          <w:szCs w:val="24"/>
        </w:rPr>
        <w:t xml:space="preserve">), tak </w:t>
      </w:r>
      <w:r>
        <w:rPr>
          <w:rFonts w:cs="Times New Roman"/>
          <w:sz w:val="24"/>
          <w:szCs w:val="24"/>
        </w:rPr>
        <w:t>budou disponovat zcela aktuální zpětnou vazbou</w:t>
      </w:r>
      <w:r w:rsidRPr="009F42FC">
        <w:rPr>
          <w:rFonts w:cs="Times New Roman"/>
          <w:sz w:val="24"/>
          <w:szCs w:val="24"/>
        </w:rPr>
        <w:t xml:space="preserve"> ohledně kvality široké škály aspektů jejich fungování. I </w:t>
      </w:r>
      <w:r w:rsidRPr="008E54D3">
        <w:rPr>
          <w:rFonts w:cs="Times New Roman"/>
          <w:b/>
          <w:sz w:val="24"/>
          <w:szCs w:val="24"/>
        </w:rPr>
        <w:t xml:space="preserve">s ohledem na stávající výraznou fragmentaci systému podpory </w:t>
      </w:r>
      <w:proofErr w:type="spellStart"/>
      <w:r w:rsidRPr="008E54D3">
        <w:rPr>
          <w:rFonts w:cs="Times New Roman"/>
          <w:b/>
          <w:sz w:val="24"/>
          <w:szCs w:val="24"/>
        </w:rPr>
        <w:t>VaVaI</w:t>
      </w:r>
      <w:proofErr w:type="spellEnd"/>
      <w:r w:rsidRPr="008E54D3">
        <w:rPr>
          <w:rFonts w:cs="Times New Roman"/>
          <w:b/>
          <w:sz w:val="24"/>
          <w:szCs w:val="24"/>
        </w:rPr>
        <w:t xml:space="preserve"> v ČR (množství finančně malých a krátkodobých grantů) a nevyhnutelnou potřebu dlouhodobého a stabilního financování excelentní výzkumné infrastruktury</w:t>
      </w:r>
      <w:r w:rsidRPr="009F42FC">
        <w:rPr>
          <w:rFonts w:cs="Times New Roman"/>
          <w:sz w:val="24"/>
          <w:szCs w:val="24"/>
        </w:rPr>
        <w:t xml:space="preserve"> by měla být do budoucna věnována výrazná rozpočtová pozornost právě aktivitě MŠMT na podporu velké infrastruktury pro </w:t>
      </w:r>
      <w:proofErr w:type="spellStart"/>
      <w:r w:rsidRPr="009F42FC">
        <w:rPr>
          <w:rFonts w:cs="Times New Roman"/>
          <w:sz w:val="24"/>
          <w:szCs w:val="24"/>
        </w:rPr>
        <w:t>VaVaI</w:t>
      </w:r>
      <w:proofErr w:type="spellEnd"/>
      <w:r w:rsidRPr="009F42FC">
        <w:rPr>
          <w:rFonts w:cs="Times New Roman"/>
          <w:sz w:val="24"/>
          <w:szCs w:val="24"/>
        </w:rPr>
        <w:t xml:space="preserve">. Hodnocení zde bude probíhat podle těch nejvyšších mezinárodních kritérií; sama aktivita na podporu velké infrastruktury pro </w:t>
      </w:r>
      <w:proofErr w:type="spellStart"/>
      <w:r w:rsidRPr="009F42FC">
        <w:rPr>
          <w:rFonts w:cs="Times New Roman"/>
          <w:sz w:val="24"/>
          <w:szCs w:val="24"/>
        </w:rPr>
        <w:t>VaVaI</w:t>
      </w:r>
      <w:proofErr w:type="spellEnd"/>
      <w:r w:rsidRPr="009F42FC">
        <w:rPr>
          <w:rFonts w:cs="Times New Roman"/>
          <w:sz w:val="24"/>
          <w:szCs w:val="24"/>
        </w:rPr>
        <w:t xml:space="preserve"> je poté nástrojem dlouhodobého a stabilního financování těch kapacit, kter</w:t>
      </w:r>
      <w:r w:rsidR="00D7463C">
        <w:rPr>
          <w:rFonts w:cs="Times New Roman"/>
          <w:sz w:val="24"/>
          <w:szCs w:val="24"/>
        </w:rPr>
        <w:t>é</w:t>
      </w:r>
      <w:r w:rsidRPr="009F42FC">
        <w:rPr>
          <w:rFonts w:cs="Times New Roman"/>
          <w:sz w:val="24"/>
          <w:szCs w:val="24"/>
        </w:rPr>
        <w:t xml:space="preserve"> jsou excelentní, mají výrazný mezinárodní přesah a potřebují tak operovat s kvalitními a předvídatelnými rozpočty. </w:t>
      </w:r>
      <w:r>
        <w:rPr>
          <w:rStyle w:val="Znakapoznpodarou"/>
          <w:rFonts w:cs="Times New Roman"/>
          <w:sz w:val="24"/>
          <w:szCs w:val="24"/>
        </w:rPr>
        <w:footnoteReference w:id="8"/>
      </w:r>
    </w:p>
    <w:p w:rsidR="003B3C1C" w:rsidRPr="003527C4" w:rsidRDefault="003B3C1C" w:rsidP="003B3C1C">
      <w:pPr>
        <w:pStyle w:val="Odstavecseseznamem"/>
        <w:ind w:left="0"/>
        <w:jc w:val="both"/>
        <w:rPr>
          <w:rFonts w:cs="Times New Roman"/>
          <w:szCs w:val="24"/>
        </w:rPr>
      </w:pPr>
    </w:p>
    <w:p w:rsidR="003B3C1C" w:rsidRPr="003527C4" w:rsidRDefault="003B3C1C" w:rsidP="003B3C1C">
      <w:pPr>
        <w:pStyle w:val="Odstavecseseznamem"/>
        <w:ind w:left="0"/>
        <w:jc w:val="both"/>
        <w:rPr>
          <w:rFonts w:cs="Times New Roman"/>
          <w:szCs w:val="24"/>
        </w:rPr>
      </w:pPr>
      <w:r w:rsidRPr="003527C4">
        <w:rPr>
          <w:rFonts w:cs="Times New Roman"/>
          <w:szCs w:val="24"/>
        </w:rPr>
        <w:t xml:space="preserve">V nadcházejícím období bude i nadále klíčovým úkolem zabezpečit dlouhodobý rámec financování velkých infrastruktur pro </w:t>
      </w:r>
      <w:proofErr w:type="spellStart"/>
      <w:r w:rsidRPr="003527C4">
        <w:rPr>
          <w:rFonts w:cs="Times New Roman"/>
          <w:szCs w:val="24"/>
        </w:rPr>
        <w:t>VaVaI</w:t>
      </w:r>
      <w:proofErr w:type="spellEnd"/>
      <w:r w:rsidRPr="003527C4">
        <w:rPr>
          <w:rFonts w:cs="Times New Roman"/>
          <w:szCs w:val="24"/>
        </w:rPr>
        <w:t xml:space="preserve"> zajišťující jejich stabilitu, koncepční rozvoj a napojení na zahraniční výzkumné infrastruktury.</w:t>
      </w:r>
    </w:p>
    <w:p w:rsidR="003B3C1C" w:rsidRDefault="003B3C1C" w:rsidP="003B3C1C">
      <w:pPr>
        <w:pStyle w:val="Odstavecseseznamem"/>
        <w:ind w:left="0"/>
        <w:jc w:val="both"/>
        <w:rPr>
          <w:rFonts w:cs="Times New Roman"/>
          <w:szCs w:val="24"/>
        </w:rPr>
      </w:pPr>
    </w:p>
    <w:p w:rsidR="003B3C1C" w:rsidRPr="003527C4" w:rsidRDefault="003B3C1C" w:rsidP="003B3C1C">
      <w:pPr>
        <w:pStyle w:val="Odstavecseseznamem"/>
        <w:ind w:left="0"/>
        <w:jc w:val="both"/>
        <w:rPr>
          <w:rFonts w:cs="Times New Roman"/>
          <w:szCs w:val="24"/>
        </w:rPr>
      </w:pPr>
      <w:r w:rsidRPr="003527C4">
        <w:rPr>
          <w:rFonts w:cs="Times New Roman"/>
          <w:szCs w:val="24"/>
        </w:rPr>
        <w:t>Evropská centra excelence</w:t>
      </w:r>
      <w:r>
        <w:rPr>
          <w:rFonts w:cs="Times New Roman"/>
          <w:szCs w:val="24"/>
        </w:rPr>
        <w:t xml:space="preserve"> (PO 1)</w:t>
      </w:r>
      <w:r w:rsidRPr="003527C4">
        <w:rPr>
          <w:rFonts w:cs="Times New Roman"/>
          <w:szCs w:val="24"/>
        </w:rPr>
        <w:t xml:space="preserve"> a regionální centra výzkumu a vývoje</w:t>
      </w:r>
      <w:r>
        <w:rPr>
          <w:rFonts w:cs="Times New Roman"/>
          <w:szCs w:val="24"/>
        </w:rPr>
        <w:t xml:space="preserve"> (PO 2)</w:t>
      </w:r>
      <w:r w:rsidRPr="003527C4">
        <w:rPr>
          <w:rFonts w:cs="Times New Roman"/>
          <w:szCs w:val="24"/>
        </w:rPr>
        <w:t xml:space="preserve"> budovaná v letech 2007 – 2015 v rámci OP </w:t>
      </w:r>
      <w:proofErr w:type="spellStart"/>
      <w:r w:rsidRPr="003527C4">
        <w:rPr>
          <w:rFonts w:cs="Times New Roman"/>
          <w:szCs w:val="24"/>
        </w:rPr>
        <w:t>VaVpI</w:t>
      </w:r>
      <w:proofErr w:type="spellEnd"/>
      <w:r w:rsidRPr="003527C4">
        <w:rPr>
          <w:rFonts w:cs="Times New Roman"/>
          <w:szCs w:val="24"/>
        </w:rPr>
        <w:t xml:space="preserve"> za využití prostředků Evropského fondu regionálního rozvoje se mohou ucházet o poskytnutí podpory z aktivity na podporu velkých infrastruktur pro </w:t>
      </w:r>
      <w:proofErr w:type="spellStart"/>
      <w:r w:rsidRPr="003527C4">
        <w:rPr>
          <w:rFonts w:cs="Times New Roman"/>
          <w:szCs w:val="24"/>
        </w:rPr>
        <w:t>VaVaI</w:t>
      </w:r>
      <w:proofErr w:type="spellEnd"/>
      <w:r w:rsidRPr="003527C4">
        <w:rPr>
          <w:rFonts w:cs="Times New Roman"/>
          <w:szCs w:val="24"/>
        </w:rPr>
        <w:t xml:space="preserve"> v případě, že splňují </w:t>
      </w:r>
      <w:r w:rsidRPr="003527C4">
        <w:rPr>
          <w:rFonts w:cs="Times New Roman"/>
          <w:b/>
          <w:szCs w:val="24"/>
        </w:rPr>
        <w:t>metodicky stanovenou definici výzkumné infrastruktury</w:t>
      </w:r>
      <w:r w:rsidRPr="003527C4">
        <w:rPr>
          <w:rFonts w:cs="Times New Roman"/>
          <w:szCs w:val="24"/>
        </w:rPr>
        <w:t>.</w:t>
      </w:r>
      <w:r w:rsidRPr="003527C4">
        <w:rPr>
          <w:rStyle w:val="Znakapoznpodarou"/>
          <w:rFonts w:cs="Times New Roman"/>
          <w:szCs w:val="24"/>
        </w:rPr>
        <w:footnoteReference w:id="9"/>
      </w:r>
    </w:p>
    <w:p w:rsidR="003B3C1C" w:rsidRPr="003527C4" w:rsidRDefault="003B3C1C" w:rsidP="003B3C1C">
      <w:pPr>
        <w:pStyle w:val="Odstavecseseznamem"/>
        <w:ind w:left="360"/>
        <w:jc w:val="both"/>
        <w:rPr>
          <w:rFonts w:cs="Times New Roman"/>
          <w:szCs w:val="24"/>
          <w:u w:val="single"/>
        </w:rPr>
      </w:pPr>
    </w:p>
    <w:p w:rsidR="00850D5E" w:rsidRPr="003527C4" w:rsidRDefault="00850D5E" w:rsidP="00850D5E"/>
    <w:p w:rsidR="00DE7229" w:rsidRPr="003527C4" w:rsidRDefault="00C46E09" w:rsidP="009B67DC">
      <w:pPr>
        <w:pStyle w:val="Nadpis3"/>
        <w:numPr>
          <w:ilvl w:val="3"/>
          <w:numId w:val="2"/>
        </w:numPr>
        <w:rPr>
          <w:rFonts w:ascii="Arial" w:hAnsi="Arial" w:cs="Arial"/>
          <w:color w:val="000000" w:themeColor="text1"/>
          <w:sz w:val="20"/>
          <w:szCs w:val="20"/>
        </w:rPr>
      </w:pPr>
      <w:r w:rsidRPr="003527C4">
        <w:rPr>
          <w:rFonts w:ascii="Arial" w:hAnsi="Arial" w:cs="Arial"/>
          <w:color w:val="000000" w:themeColor="text1"/>
          <w:sz w:val="20"/>
          <w:szCs w:val="20"/>
        </w:rPr>
        <w:t>N</w:t>
      </w:r>
      <w:r w:rsidR="00DB42CB" w:rsidRPr="003527C4">
        <w:rPr>
          <w:rFonts w:ascii="Arial" w:hAnsi="Arial" w:cs="Arial"/>
          <w:color w:val="000000" w:themeColor="text1"/>
          <w:sz w:val="20"/>
          <w:szCs w:val="20"/>
        </w:rPr>
        <w:t xml:space="preserve">árodní program udržitelnosti </w:t>
      </w:r>
      <w:r w:rsidRPr="003527C4">
        <w:rPr>
          <w:rFonts w:ascii="Arial" w:hAnsi="Arial" w:cs="Arial"/>
          <w:color w:val="000000" w:themeColor="text1"/>
          <w:sz w:val="20"/>
          <w:szCs w:val="20"/>
        </w:rPr>
        <w:t xml:space="preserve">I a II </w:t>
      </w:r>
    </w:p>
    <w:p w:rsidR="00850D5E" w:rsidRPr="003527C4" w:rsidRDefault="00850D5E" w:rsidP="00850D5E"/>
    <w:p w:rsidR="001F4B12" w:rsidRPr="003527C4" w:rsidRDefault="00032763" w:rsidP="00032763">
      <w:pPr>
        <w:spacing w:after="120"/>
        <w:jc w:val="both"/>
        <w:rPr>
          <w:szCs w:val="28"/>
        </w:rPr>
      </w:pPr>
      <w:r w:rsidRPr="003527C4">
        <w:rPr>
          <w:szCs w:val="28"/>
        </w:rPr>
        <w:t xml:space="preserve">Vysoké finanční nároky na provoz podpořených </w:t>
      </w:r>
      <w:proofErr w:type="spellStart"/>
      <w:r w:rsidRPr="003527C4">
        <w:rPr>
          <w:szCs w:val="28"/>
        </w:rPr>
        <w:t>VaV</w:t>
      </w:r>
      <w:proofErr w:type="spellEnd"/>
      <w:r w:rsidRPr="003527C4">
        <w:rPr>
          <w:szCs w:val="28"/>
        </w:rPr>
        <w:t xml:space="preserve"> center po ukončení OP </w:t>
      </w:r>
      <w:proofErr w:type="spellStart"/>
      <w:r w:rsidRPr="003527C4">
        <w:rPr>
          <w:szCs w:val="28"/>
        </w:rPr>
        <w:t>VaVpI</w:t>
      </w:r>
      <w:proofErr w:type="spellEnd"/>
      <w:r w:rsidRPr="003527C4">
        <w:rPr>
          <w:szCs w:val="28"/>
        </w:rPr>
        <w:t xml:space="preserve"> si vyžádaly vznik Národního programu udržitelnosti (NPU I a II) v gesci Skupiny III MŠMT pro vysoké školství a výzkum, díky němuž má většina </w:t>
      </w:r>
      <w:proofErr w:type="spellStart"/>
      <w:r w:rsidRPr="003527C4">
        <w:rPr>
          <w:szCs w:val="28"/>
        </w:rPr>
        <w:t>VaV</w:t>
      </w:r>
      <w:proofErr w:type="spellEnd"/>
      <w:r w:rsidRPr="003527C4">
        <w:rPr>
          <w:szCs w:val="28"/>
        </w:rPr>
        <w:t xml:space="preserve"> center částečně zajištěnu finanční udržitelnost ve střednědobém výhledu. Jak bylo uvedeno výše, již při tvorbě OP </w:t>
      </w:r>
      <w:proofErr w:type="spellStart"/>
      <w:r w:rsidRPr="003527C4">
        <w:rPr>
          <w:szCs w:val="28"/>
        </w:rPr>
        <w:t>VaVpI</w:t>
      </w:r>
      <w:proofErr w:type="spellEnd"/>
      <w:r w:rsidRPr="003527C4">
        <w:rPr>
          <w:szCs w:val="28"/>
        </w:rPr>
        <w:t xml:space="preserve"> se Česká republika zavázala Evropské komisi k financování udržitelnosti vybudovaných </w:t>
      </w:r>
      <w:proofErr w:type="spellStart"/>
      <w:r w:rsidRPr="003527C4">
        <w:rPr>
          <w:szCs w:val="28"/>
        </w:rPr>
        <w:t>VaV</w:t>
      </w:r>
      <w:proofErr w:type="spellEnd"/>
      <w:r w:rsidRPr="003527C4">
        <w:rPr>
          <w:szCs w:val="28"/>
        </w:rPr>
        <w:t xml:space="preserve"> center z PO1 a PO2 po dobu pěti let od skončení projektu, tedy do roku 2020. </w:t>
      </w:r>
    </w:p>
    <w:p w:rsidR="00EA6D39" w:rsidRPr="003527C4" w:rsidRDefault="00EA6D39" w:rsidP="00EA6D39">
      <w:pPr>
        <w:spacing w:after="120"/>
        <w:jc w:val="both"/>
      </w:pPr>
      <w:r w:rsidRPr="003527C4">
        <w:t xml:space="preserve">Usnesením vlády ČR ze dne 19. června 2012 č. 444 byl schválen Národní program udržitelnosti I (dále jen „NPU I“) a usnesením vlády ČR ze dne 19. června 2012 č. 445 byl schválen Národní program udržitelnosti II (dále jen „NPU II“), a těmito právními akty byly schváleny i výdaje státního rozpočtu na výzkum, experimentální vývoj a inovace na tyto programy v deklarované výši 2 500 mil. Kč ročně až do roku 2020. Vzhledem k tomu, že projekty regionálních </w:t>
      </w:r>
      <w:proofErr w:type="spellStart"/>
      <w:r w:rsidR="00D11007" w:rsidRPr="003527C4">
        <w:t>VaV</w:t>
      </w:r>
      <w:proofErr w:type="spellEnd"/>
      <w:r w:rsidR="00D11007" w:rsidRPr="003527C4">
        <w:t xml:space="preserve"> </w:t>
      </w:r>
      <w:r w:rsidRPr="003527C4">
        <w:t>center (</w:t>
      </w:r>
      <w:r w:rsidR="00D11007" w:rsidRPr="003527C4">
        <w:t>PO</w:t>
      </w:r>
      <w:r w:rsidRPr="003527C4">
        <w:t xml:space="preserve"> 2 OP </w:t>
      </w:r>
      <w:proofErr w:type="spellStart"/>
      <w:r w:rsidRPr="003527C4">
        <w:t>VaVpI</w:t>
      </w:r>
      <w:proofErr w:type="spellEnd"/>
      <w:r w:rsidRPr="003527C4">
        <w:t>) jsou postupně ukončovány již od konce roku 2012, byly ve výdajích NPU I vyčleněny prostředky na podporu center již od roku 2013.</w:t>
      </w:r>
    </w:p>
    <w:p w:rsidR="001F4B12" w:rsidRPr="003527C4" w:rsidRDefault="001F4B12" w:rsidP="001F4B12">
      <w:pPr>
        <w:spacing w:after="120"/>
        <w:jc w:val="both"/>
        <w:rPr>
          <w:szCs w:val="28"/>
        </w:rPr>
      </w:pPr>
      <w:r w:rsidRPr="003527C4">
        <w:rPr>
          <w:szCs w:val="28"/>
        </w:rPr>
        <w:t xml:space="preserve">NPU I se po svém schválení posunul do implementační fáze - v současné době probíhá hodnocení projektových žádostí v rámci již 3. veřejné soutěže pro centra </w:t>
      </w:r>
      <w:proofErr w:type="spellStart"/>
      <w:r w:rsidRPr="003527C4">
        <w:rPr>
          <w:szCs w:val="28"/>
        </w:rPr>
        <w:t>VaV</w:t>
      </w:r>
      <w:proofErr w:type="spellEnd"/>
      <w:r w:rsidRPr="003527C4">
        <w:rPr>
          <w:szCs w:val="28"/>
        </w:rPr>
        <w:t xml:space="preserve">. Centra podpořená z tzv. velkých projektů OP </w:t>
      </w:r>
      <w:proofErr w:type="spellStart"/>
      <w:r w:rsidRPr="003527C4">
        <w:rPr>
          <w:szCs w:val="28"/>
        </w:rPr>
        <w:t>VaVpI</w:t>
      </w:r>
      <w:proofErr w:type="spellEnd"/>
      <w:r w:rsidRPr="003527C4">
        <w:rPr>
          <w:szCs w:val="28"/>
        </w:rPr>
        <w:t xml:space="preserve"> budou moci zažádat o podporu v rámci NPU II</w:t>
      </w:r>
      <w:r w:rsidR="009C4F90">
        <w:rPr>
          <w:szCs w:val="28"/>
        </w:rPr>
        <w:t>.</w:t>
      </w:r>
      <w:r w:rsidRPr="003527C4">
        <w:rPr>
          <w:szCs w:val="28"/>
        </w:rPr>
        <w:t xml:space="preserve"> který bude realizován v letech 2016-2020. Každý projekt podpořený z programu NPU I musí povinně prokazovat mezinárodní spolupráci</w:t>
      </w:r>
      <w:r w:rsidR="009C4F90">
        <w:rPr>
          <w:szCs w:val="28"/>
        </w:rPr>
        <w:t xml:space="preserve">, </w:t>
      </w:r>
      <w:r w:rsidR="009C4F90">
        <w:t>spolupráci s veřejným sektorem aplikační sféry</w:t>
      </w:r>
      <w:r w:rsidRPr="003527C4">
        <w:rPr>
          <w:szCs w:val="28"/>
        </w:rPr>
        <w:t xml:space="preserve"> a spolupráci s podniky, a to nejméně pěti projekty s dobou trvání alespoň jeden rok, s uplatněním společných výsledků</w:t>
      </w:r>
      <w:r w:rsidR="009C4F90">
        <w:rPr>
          <w:szCs w:val="28"/>
        </w:rPr>
        <w:t xml:space="preserve"> </w:t>
      </w:r>
      <w:r w:rsidR="009C4F90">
        <w:t>(nejméně 1 výsledek od každého typu spolupráce)</w:t>
      </w:r>
      <w:r w:rsidRPr="003527C4">
        <w:rPr>
          <w:szCs w:val="28"/>
        </w:rPr>
        <w:t xml:space="preserve">. </w:t>
      </w:r>
    </w:p>
    <w:p w:rsidR="00EA6D39" w:rsidRPr="003527C4" w:rsidRDefault="00EA6D39" w:rsidP="00EA6D39">
      <w:pPr>
        <w:spacing w:after="120"/>
        <w:jc w:val="both"/>
      </w:pPr>
    </w:p>
    <w:p w:rsidR="00EA6D39" w:rsidRPr="003527C4" w:rsidRDefault="00EA6D39" w:rsidP="006A11DC">
      <w:pPr>
        <w:rPr>
          <w:b/>
        </w:rPr>
      </w:pPr>
      <w:r w:rsidRPr="003527C4">
        <w:rPr>
          <w:b/>
        </w:rPr>
        <w:t xml:space="preserve">Tabulka 3 Výdaje státního rozpočtu na </w:t>
      </w:r>
      <w:r w:rsidR="00032763" w:rsidRPr="003527C4">
        <w:rPr>
          <w:b/>
        </w:rPr>
        <w:t>NPU I a II v</w:t>
      </w:r>
      <w:r w:rsidR="00E73BBD" w:rsidRPr="003527C4">
        <w:rPr>
          <w:b/>
        </w:rPr>
        <w:t> </w:t>
      </w:r>
      <w:r w:rsidR="00032763" w:rsidRPr="003527C4">
        <w:rPr>
          <w:b/>
        </w:rPr>
        <w:t>tis</w:t>
      </w:r>
      <w:r w:rsidR="00E73BBD" w:rsidRPr="003527C4">
        <w:rPr>
          <w:b/>
        </w:rPr>
        <w:t>.</w:t>
      </w:r>
      <w:r w:rsidR="00032763" w:rsidRPr="003527C4">
        <w:rPr>
          <w:b/>
        </w:rPr>
        <w:t xml:space="preserve"> Kč</w:t>
      </w:r>
    </w:p>
    <w:tbl>
      <w:tblPr>
        <w:tblW w:w="9336" w:type="dxa"/>
        <w:jc w:val="center"/>
        <w:tblInd w:w="55" w:type="dxa"/>
        <w:tblCellMar>
          <w:left w:w="70" w:type="dxa"/>
          <w:right w:w="70" w:type="dxa"/>
        </w:tblCellMar>
        <w:tblLook w:val="04A0" w:firstRow="1" w:lastRow="0" w:firstColumn="1" w:lastColumn="0" w:noHBand="0" w:noVBand="1"/>
      </w:tblPr>
      <w:tblGrid>
        <w:gridCol w:w="796"/>
        <w:gridCol w:w="940"/>
        <w:gridCol w:w="940"/>
        <w:gridCol w:w="940"/>
        <w:gridCol w:w="940"/>
        <w:gridCol w:w="940"/>
        <w:gridCol w:w="940"/>
        <w:gridCol w:w="940"/>
        <w:gridCol w:w="940"/>
        <w:gridCol w:w="1060"/>
      </w:tblGrid>
      <w:tr w:rsidR="00EA6D39" w:rsidRPr="003527C4" w:rsidTr="00734274">
        <w:trPr>
          <w:trHeight w:val="300"/>
          <w:jc w:val="center"/>
        </w:trPr>
        <w:tc>
          <w:tcPr>
            <w:tcW w:w="756"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c>
          <w:tcPr>
            <w:tcW w:w="940"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c>
          <w:tcPr>
            <w:tcW w:w="940"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c>
          <w:tcPr>
            <w:tcW w:w="940"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c>
          <w:tcPr>
            <w:tcW w:w="940"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c>
          <w:tcPr>
            <w:tcW w:w="940"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c>
          <w:tcPr>
            <w:tcW w:w="940"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c>
          <w:tcPr>
            <w:tcW w:w="940"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c>
          <w:tcPr>
            <w:tcW w:w="940"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c>
          <w:tcPr>
            <w:tcW w:w="1060" w:type="dxa"/>
            <w:tcBorders>
              <w:top w:val="nil"/>
              <w:left w:val="nil"/>
              <w:bottom w:val="nil"/>
              <w:right w:val="nil"/>
            </w:tcBorders>
            <w:shd w:val="clear" w:color="auto" w:fill="auto"/>
            <w:noWrap/>
            <w:vAlign w:val="bottom"/>
            <w:hideMark/>
          </w:tcPr>
          <w:p w:rsidR="00EA6D39" w:rsidRPr="003527C4" w:rsidRDefault="00EA6D39" w:rsidP="00734274">
            <w:pPr>
              <w:jc w:val="right"/>
              <w:rPr>
                <w:rFonts w:ascii="Calibri" w:eastAsia="Times New Roman" w:hAnsi="Calibri" w:cs="Calibri"/>
                <w:sz w:val="20"/>
                <w:szCs w:val="20"/>
                <w:lang w:eastAsia="cs-CZ"/>
              </w:rPr>
            </w:pPr>
          </w:p>
        </w:tc>
      </w:tr>
      <w:tr w:rsidR="00EA6D39" w:rsidRPr="003527C4" w:rsidTr="00734274">
        <w:trPr>
          <w:trHeight w:val="300"/>
          <w:jc w:val="center"/>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6D39" w:rsidRPr="003527C4" w:rsidRDefault="00EA6D39" w:rsidP="00734274">
            <w:pPr>
              <w:rPr>
                <w:rFonts w:eastAsia="Times New Roman" w:cstheme="minorHAnsi"/>
                <w:sz w:val="20"/>
                <w:szCs w:val="20"/>
                <w:lang w:eastAsia="cs-CZ"/>
              </w:rPr>
            </w:pP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EA6D39" w:rsidRPr="003527C4" w:rsidRDefault="00EA6D39" w:rsidP="00734274">
            <w:pPr>
              <w:jc w:val="center"/>
              <w:rPr>
                <w:rFonts w:eastAsia="Times New Roman" w:cstheme="minorHAnsi"/>
                <w:b/>
                <w:bCs/>
                <w:sz w:val="20"/>
                <w:szCs w:val="20"/>
                <w:lang w:eastAsia="cs-CZ"/>
              </w:rPr>
            </w:pPr>
            <w:r w:rsidRPr="003527C4">
              <w:rPr>
                <w:rFonts w:eastAsia="Times New Roman" w:cstheme="minorHAnsi"/>
                <w:b/>
                <w:bCs/>
                <w:sz w:val="20"/>
                <w:szCs w:val="20"/>
                <w:lang w:eastAsia="cs-CZ"/>
              </w:rPr>
              <w:t>2013</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EA6D39" w:rsidRPr="003527C4" w:rsidRDefault="00EA6D39" w:rsidP="00734274">
            <w:pPr>
              <w:jc w:val="center"/>
              <w:rPr>
                <w:rFonts w:eastAsia="Times New Roman" w:cstheme="minorHAnsi"/>
                <w:b/>
                <w:bCs/>
                <w:sz w:val="20"/>
                <w:szCs w:val="20"/>
                <w:lang w:eastAsia="cs-CZ"/>
              </w:rPr>
            </w:pPr>
            <w:r w:rsidRPr="003527C4">
              <w:rPr>
                <w:rFonts w:eastAsia="Times New Roman" w:cstheme="minorHAnsi"/>
                <w:b/>
                <w:bCs/>
                <w:sz w:val="20"/>
                <w:szCs w:val="20"/>
                <w:lang w:eastAsia="cs-CZ"/>
              </w:rPr>
              <w:t>2014</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EA6D39" w:rsidRPr="003527C4" w:rsidRDefault="00EA6D39" w:rsidP="00734274">
            <w:pPr>
              <w:jc w:val="center"/>
              <w:rPr>
                <w:rFonts w:eastAsia="Times New Roman" w:cstheme="minorHAnsi"/>
                <w:b/>
                <w:bCs/>
                <w:sz w:val="20"/>
                <w:szCs w:val="20"/>
                <w:lang w:eastAsia="cs-CZ"/>
              </w:rPr>
            </w:pPr>
            <w:r w:rsidRPr="003527C4">
              <w:rPr>
                <w:rFonts w:eastAsia="Times New Roman" w:cstheme="minorHAnsi"/>
                <w:b/>
                <w:bCs/>
                <w:sz w:val="20"/>
                <w:szCs w:val="20"/>
                <w:lang w:eastAsia="cs-CZ"/>
              </w:rPr>
              <w:t>2015</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EA6D39" w:rsidRPr="003527C4" w:rsidRDefault="00EA6D39" w:rsidP="00734274">
            <w:pPr>
              <w:jc w:val="center"/>
              <w:rPr>
                <w:rFonts w:eastAsia="Times New Roman" w:cstheme="minorHAnsi"/>
                <w:b/>
                <w:bCs/>
                <w:sz w:val="20"/>
                <w:szCs w:val="20"/>
                <w:lang w:eastAsia="cs-CZ"/>
              </w:rPr>
            </w:pPr>
            <w:r w:rsidRPr="003527C4">
              <w:rPr>
                <w:rFonts w:eastAsia="Times New Roman" w:cstheme="minorHAnsi"/>
                <w:b/>
                <w:bCs/>
                <w:sz w:val="20"/>
                <w:szCs w:val="20"/>
                <w:lang w:eastAsia="cs-CZ"/>
              </w:rPr>
              <w:t>2016</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EA6D39" w:rsidRPr="003527C4" w:rsidRDefault="00EA6D39" w:rsidP="00734274">
            <w:pPr>
              <w:jc w:val="center"/>
              <w:rPr>
                <w:rFonts w:eastAsia="Times New Roman" w:cstheme="minorHAnsi"/>
                <w:b/>
                <w:bCs/>
                <w:sz w:val="20"/>
                <w:szCs w:val="20"/>
                <w:lang w:eastAsia="cs-CZ"/>
              </w:rPr>
            </w:pPr>
            <w:r w:rsidRPr="003527C4">
              <w:rPr>
                <w:rFonts w:eastAsia="Times New Roman" w:cstheme="minorHAnsi"/>
                <w:b/>
                <w:bCs/>
                <w:sz w:val="20"/>
                <w:szCs w:val="20"/>
                <w:lang w:eastAsia="cs-CZ"/>
              </w:rPr>
              <w:t>2017</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EA6D39" w:rsidRPr="003527C4" w:rsidRDefault="00EA6D39" w:rsidP="00734274">
            <w:pPr>
              <w:jc w:val="center"/>
              <w:rPr>
                <w:rFonts w:eastAsia="Times New Roman" w:cstheme="minorHAnsi"/>
                <w:b/>
                <w:bCs/>
                <w:sz w:val="20"/>
                <w:szCs w:val="20"/>
                <w:lang w:eastAsia="cs-CZ"/>
              </w:rPr>
            </w:pPr>
            <w:r w:rsidRPr="003527C4">
              <w:rPr>
                <w:rFonts w:eastAsia="Times New Roman" w:cstheme="minorHAnsi"/>
                <w:b/>
                <w:bCs/>
                <w:sz w:val="20"/>
                <w:szCs w:val="20"/>
                <w:lang w:eastAsia="cs-CZ"/>
              </w:rPr>
              <w:t>2018</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EA6D39" w:rsidRPr="003527C4" w:rsidRDefault="00EA6D39" w:rsidP="00734274">
            <w:pPr>
              <w:jc w:val="center"/>
              <w:rPr>
                <w:rFonts w:eastAsia="Times New Roman" w:cstheme="minorHAnsi"/>
                <w:b/>
                <w:bCs/>
                <w:sz w:val="20"/>
                <w:szCs w:val="20"/>
                <w:lang w:eastAsia="cs-CZ"/>
              </w:rPr>
            </w:pPr>
            <w:r w:rsidRPr="003527C4">
              <w:rPr>
                <w:rFonts w:eastAsia="Times New Roman" w:cstheme="minorHAnsi"/>
                <w:b/>
                <w:bCs/>
                <w:sz w:val="20"/>
                <w:szCs w:val="20"/>
                <w:lang w:eastAsia="cs-CZ"/>
              </w:rPr>
              <w:t>2019</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EA6D39" w:rsidRPr="003527C4" w:rsidRDefault="00EA6D39" w:rsidP="00734274">
            <w:pPr>
              <w:jc w:val="center"/>
              <w:rPr>
                <w:rFonts w:eastAsia="Times New Roman" w:cstheme="minorHAnsi"/>
                <w:b/>
                <w:bCs/>
                <w:sz w:val="20"/>
                <w:szCs w:val="20"/>
                <w:lang w:eastAsia="cs-CZ"/>
              </w:rPr>
            </w:pPr>
            <w:r w:rsidRPr="003527C4">
              <w:rPr>
                <w:rFonts w:eastAsia="Times New Roman" w:cstheme="minorHAnsi"/>
                <w:b/>
                <w:bCs/>
                <w:sz w:val="20"/>
                <w:szCs w:val="20"/>
                <w:lang w:eastAsia="cs-CZ"/>
              </w:rPr>
              <w:t>2020</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EA6D39" w:rsidRPr="003527C4" w:rsidRDefault="00EA6D39" w:rsidP="00734274">
            <w:pPr>
              <w:jc w:val="center"/>
              <w:rPr>
                <w:rFonts w:eastAsia="Times New Roman" w:cstheme="minorHAnsi"/>
                <w:b/>
                <w:bCs/>
                <w:sz w:val="20"/>
                <w:szCs w:val="20"/>
                <w:lang w:eastAsia="cs-CZ"/>
              </w:rPr>
            </w:pPr>
            <w:r w:rsidRPr="003527C4">
              <w:rPr>
                <w:rFonts w:eastAsia="Times New Roman" w:cstheme="minorHAnsi"/>
                <w:b/>
                <w:bCs/>
                <w:sz w:val="20"/>
                <w:szCs w:val="20"/>
                <w:lang w:eastAsia="cs-CZ"/>
              </w:rPr>
              <w:t>Celkem</w:t>
            </w:r>
          </w:p>
        </w:tc>
      </w:tr>
      <w:tr w:rsidR="00EA6D39" w:rsidRPr="003527C4" w:rsidTr="00734274">
        <w:trPr>
          <w:trHeight w:val="300"/>
          <w:jc w:val="center"/>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EA6D39" w:rsidRPr="003527C4" w:rsidRDefault="00EA6D39" w:rsidP="00734274">
            <w:pPr>
              <w:rPr>
                <w:rFonts w:eastAsia="Times New Roman" w:cstheme="minorHAnsi"/>
                <w:b/>
                <w:bCs/>
                <w:sz w:val="20"/>
                <w:szCs w:val="20"/>
                <w:lang w:eastAsia="cs-CZ"/>
              </w:rPr>
            </w:pPr>
            <w:r w:rsidRPr="003527C4">
              <w:rPr>
                <w:rFonts w:eastAsia="Times New Roman" w:cstheme="minorHAnsi"/>
                <w:b/>
                <w:bCs/>
                <w:sz w:val="20"/>
                <w:szCs w:val="20"/>
                <w:lang w:eastAsia="cs-CZ"/>
              </w:rPr>
              <w:t>NPU I</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133 270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958 431</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1 644 766</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1 400 000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1 520 000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1 500 000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1 200 000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500 000</w:t>
            </w:r>
          </w:p>
        </w:tc>
        <w:tc>
          <w:tcPr>
            <w:tcW w:w="106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b/>
                <w:bCs/>
                <w:sz w:val="20"/>
                <w:szCs w:val="20"/>
                <w:lang w:eastAsia="cs-CZ"/>
              </w:rPr>
            </w:pPr>
            <w:r w:rsidRPr="003527C4">
              <w:rPr>
                <w:rFonts w:eastAsia="Times New Roman" w:cstheme="minorHAnsi"/>
                <w:b/>
                <w:bCs/>
                <w:sz w:val="20"/>
                <w:szCs w:val="20"/>
                <w:lang w:eastAsia="cs-CZ"/>
              </w:rPr>
              <w:t>8 856 467</w:t>
            </w:r>
          </w:p>
        </w:tc>
      </w:tr>
      <w:tr w:rsidR="00EA6D39" w:rsidRPr="003527C4" w:rsidTr="00734274">
        <w:trPr>
          <w:trHeight w:val="300"/>
          <w:jc w:val="center"/>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EA6D39" w:rsidRPr="003527C4" w:rsidRDefault="00EA6D39" w:rsidP="00734274">
            <w:pPr>
              <w:rPr>
                <w:rFonts w:eastAsia="Times New Roman" w:cstheme="minorHAnsi"/>
                <w:b/>
                <w:bCs/>
                <w:sz w:val="20"/>
                <w:szCs w:val="20"/>
                <w:lang w:eastAsia="cs-CZ"/>
              </w:rPr>
            </w:pPr>
            <w:r w:rsidRPr="003527C4">
              <w:rPr>
                <w:rFonts w:eastAsia="Times New Roman" w:cstheme="minorHAnsi"/>
                <w:b/>
                <w:bCs/>
                <w:sz w:val="20"/>
                <w:szCs w:val="20"/>
                <w:lang w:eastAsia="cs-CZ"/>
              </w:rPr>
              <w:t xml:space="preserve">NPU II </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1 100 000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980 000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1 000 000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1 300 000</w:t>
            </w:r>
          </w:p>
        </w:tc>
        <w:tc>
          <w:tcPr>
            <w:tcW w:w="94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2 000 000</w:t>
            </w:r>
          </w:p>
        </w:tc>
        <w:tc>
          <w:tcPr>
            <w:tcW w:w="1060" w:type="dxa"/>
            <w:tcBorders>
              <w:top w:val="nil"/>
              <w:left w:val="nil"/>
              <w:bottom w:val="single" w:sz="4" w:space="0" w:color="auto"/>
              <w:right w:val="single" w:sz="4" w:space="0" w:color="auto"/>
            </w:tcBorders>
            <w:shd w:val="clear" w:color="auto" w:fill="auto"/>
            <w:noWrap/>
            <w:vAlign w:val="center"/>
            <w:hideMark/>
          </w:tcPr>
          <w:p w:rsidR="00EA6D39" w:rsidRPr="003527C4" w:rsidRDefault="00EA6D39" w:rsidP="00734274">
            <w:pPr>
              <w:jc w:val="right"/>
              <w:rPr>
                <w:rFonts w:eastAsia="Times New Roman" w:cstheme="minorHAnsi"/>
                <w:b/>
                <w:bCs/>
                <w:sz w:val="20"/>
                <w:szCs w:val="20"/>
                <w:lang w:eastAsia="cs-CZ"/>
              </w:rPr>
            </w:pPr>
            <w:r w:rsidRPr="003527C4">
              <w:rPr>
                <w:rFonts w:eastAsia="Times New Roman" w:cstheme="minorHAnsi"/>
                <w:b/>
                <w:bCs/>
                <w:sz w:val="20"/>
                <w:szCs w:val="20"/>
                <w:lang w:eastAsia="cs-CZ"/>
              </w:rPr>
              <w:t>6 380 000</w:t>
            </w:r>
          </w:p>
        </w:tc>
      </w:tr>
      <w:tr w:rsidR="00EA6D39" w:rsidRPr="003527C4" w:rsidTr="00734274">
        <w:trPr>
          <w:trHeight w:val="300"/>
          <w:jc w:val="center"/>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EA6D39" w:rsidRPr="003527C4" w:rsidRDefault="00EA6D39" w:rsidP="00734274">
            <w:pPr>
              <w:rPr>
                <w:rFonts w:eastAsia="Times New Roman" w:cstheme="minorHAnsi"/>
                <w:b/>
                <w:bCs/>
                <w:sz w:val="20"/>
                <w:szCs w:val="20"/>
                <w:lang w:eastAsia="cs-CZ"/>
              </w:rPr>
            </w:pPr>
            <w:r w:rsidRPr="003527C4">
              <w:rPr>
                <w:rFonts w:eastAsia="Times New Roman" w:cstheme="minorHAnsi"/>
                <w:b/>
                <w:bCs/>
                <w:sz w:val="20"/>
                <w:szCs w:val="20"/>
                <w:lang w:eastAsia="cs-CZ"/>
              </w:rPr>
              <w:t>Celkem</w:t>
            </w:r>
          </w:p>
        </w:tc>
        <w:tc>
          <w:tcPr>
            <w:tcW w:w="940" w:type="dxa"/>
            <w:tcBorders>
              <w:top w:val="nil"/>
              <w:left w:val="nil"/>
              <w:bottom w:val="single" w:sz="4" w:space="0" w:color="auto"/>
              <w:right w:val="single" w:sz="4" w:space="0" w:color="auto"/>
            </w:tcBorders>
            <w:shd w:val="clear" w:color="auto" w:fill="auto"/>
            <w:noWrap/>
            <w:vAlign w:val="bottom"/>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133 270</w:t>
            </w:r>
          </w:p>
        </w:tc>
        <w:tc>
          <w:tcPr>
            <w:tcW w:w="940" w:type="dxa"/>
            <w:tcBorders>
              <w:top w:val="nil"/>
              <w:left w:val="nil"/>
              <w:bottom w:val="single" w:sz="4" w:space="0" w:color="auto"/>
              <w:right w:val="single" w:sz="4" w:space="0" w:color="auto"/>
            </w:tcBorders>
            <w:shd w:val="clear" w:color="auto" w:fill="auto"/>
            <w:noWrap/>
            <w:vAlign w:val="bottom"/>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958 431</w:t>
            </w:r>
          </w:p>
        </w:tc>
        <w:tc>
          <w:tcPr>
            <w:tcW w:w="940" w:type="dxa"/>
            <w:tcBorders>
              <w:top w:val="nil"/>
              <w:left w:val="nil"/>
              <w:bottom w:val="single" w:sz="4" w:space="0" w:color="auto"/>
              <w:right w:val="single" w:sz="4" w:space="0" w:color="auto"/>
            </w:tcBorders>
            <w:shd w:val="clear" w:color="auto" w:fill="auto"/>
            <w:noWrap/>
            <w:vAlign w:val="bottom"/>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1 644 766</w:t>
            </w:r>
          </w:p>
        </w:tc>
        <w:tc>
          <w:tcPr>
            <w:tcW w:w="940" w:type="dxa"/>
            <w:tcBorders>
              <w:top w:val="nil"/>
              <w:left w:val="nil"/>
              <w:bottom w:val="single" w:sz="4" w:space="0" w:color="auto"/>
              <w:right w:val="single" w:sz="4" w:space="0" w:color="auto"/>
            </w:tcBorders>
            <w:shd w:val="clear" w:color="auto" w:fill="auto"/>
            <w:noWrap/>
            <w:vAlign w:val="bottom"/>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2 500 000</w:t>
            </w:r>
          </w:p>
        </w:tc>
        <w:tc>
          <w:tcPr>
            <w:tcW w:w="940" w:type="dxa"/>
            <w:tcBorders>
              <w:top w:val="nil"/>
              <w:left w:val="nil"/>
              <w:bottom w:val="single" w:sz="4" w:space="0" w:color="auto"/>
              <w:right w:val="single" w:sz="4" w:space="0" w:color="auto"/>
            </w:tcBorders>
            <w:shd w:val="clear" w:color="auto" w:fill="auto"/>
            <w:noWrap/>
            <w:vAlign w:val="bottom"/>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2 500 000</w:t>
            </w:r>
          </w:p>
        </w:tc>
        <w:tc>
          <w:tcPr>
            <w:tcW w:w="940" w:type="dxa"/>
            <w:tcBorders>
              <w:top w:val="nil"/>
              <w:left w:val="nil"/>
              <w:bottom w:val="single" w:sz="4" w:space="0" w:color="auto"/>
              <w:right w:val="single" w:sz="4" w:space="0" w:color="auto"/>
            </w:tcBorders>
            <w:shd w:val="clear" w:color="auto" w:fill="auto"/>
            <w:noWrap/>
            <w:vAlign w:val="bottom"/>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2 500 000</w:t>
            </w:r>
          </w:p>
        </w:tc>
        <w:tc>
          <w:tcPr>
            <w:tcW w:w="940" w:type="dxa"/>
            <w:tcBorders>
              <w:top w:val="nil"/>
              <w:left w:val="nil"/>
              <w:bottom w:val="single" w:sz="4" w:space="0" w:color="auto"/>
              <w:right w:val="single" w:sz="4" w:space="0" w:color="auto"/>
            </w:tcBorders>
            <w:shd w:val="clear" w:color="auto" w:fill="auto"/>
            <w:noWrap/>
            <w:vAlign w:val="bottom"/>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2 500 000</w:t>
            </w:r>
          </w:p>
        </w:tc>
        <w:tc>
          <w:tcPr>
            <w:tcW w:w="940" w:type="dxa"/>
            <w:tcBorders>
              <w:top w:val="nil"/>
              <w:left w:val="nil"/>
              <w:bottom w:val="single" w:sz="4" w:space="0" w:color="auto"/>
              <w:right w:val="single" w:sz="4" w:space="0" w:color="auto"/>
            </w:tcBorders>
            <w:shd w:val="clear" w:color="auto" w:fill="auto"/>
            <w:noWrap/>
            <w:vAlign w:val="bottom"/>
            <w:hideMark/>
          </w:tcPr>
          <w:p w:rsidR="00EA6D39" w:rsidRPr="003527C4" w:rsidRDefault="00EA6D39" w:rsidP="00734274">
            <w:pPr>
              <w:jc w:val="right"/>
              <w:rPr>
                <w:rFonts w:eastAsia="Times New Roman" w:cstheme="minorHAnsi"/>
                <w:sz w:val="20"/>
                <w:szCs w:val="20"/>
                <w:lang w:eastAsia="cs-CZ"/>
              </w:rPr>
            </w:pPr>
            <w:r w:rsidRPr="003527C4">
              <w:rPr>
                <w:rFonts w:eastAsia="Times New Roman" w:cstheme="minorHAnsi"/>
                <w:sz w:val="20"/>
                <w:szCs w:val="20"/>
                <w:lang w:eastAsia="cs-CZ"/>
              </w:rPr>
              <w:t>2 500 000</w:t>
            </w:r>
          </w:p>
        </w:tc>
        <w:tc>
          <w:tcPr>
            <w:tcW w:w="1060" w:type="dxa"/>
            <w:tcBorders>
              <w:top w:val="nil"/>
              <w:left w:val="nil"/>
              <w:bottom w:val="single" w:sz="4" w:space="0" w:color="auto"/>
              <w:right w:val="single" w:sz="4" w:space="0" w:color="auto"/>
            </w:tcBorders>
            <w:shd w:val="clear" w:color="auto" w:fill="auto"/>
            <w:noWrap/>
            <w:vAlign w:val="bottom"/>
            <w:hideMark/>
          </w:tcPr>
          <w:p w:rsidR="00EA6D39" w:rsidRPr="003527C4" w:rsidRDefault="00EA6D39" w:rsidP="00734274">
            <w:pPr>
              <w:jc w:val="right"/>
              <w:rPr>
                <w:rFonts w:eastAsia="Times New Roman" w:cstheme="minorHAnsi"/>
                <w:b/>
                <w:bCs/>
                <w:sz w:val="20"/>
                <w:szCs w:val="20"/>
                <w:lang w:eastAsia="cs-CZ"/>
              </w:rPr>
            </w:pPr>
            <w:r w:rsidRPr="003527C4">
              <w:rPr>
                <w:rFonts w:eastAsia="Times New Roman" w:cstheme="minorHAnsi"/>
                <w:b/>
                <w:bCs/>
                <w:sz w:val="20"/>
                <w:szCs w:val="20"/>
                <w:lang w:eastAsia="cs-CZ"/>
              </w:rPr>
              <w:t>15 236 467</w:t>
            </w:r>
          </w:p>
        </w:tc>
      </w:tr>
    </w:tbl>
    <w:p w:rsidR="00EA6D39" w:rsidRPr="003527C4" w:rsidRDefault="00B52EC2" w:rsidP="00EA6D39">
      <w:pPr>
        <w:spacing w:after="120"/>
        <w:jc w:val="both"/>
      </w:pPr>
      <w:r>
        <w:t>* částky v</w:t>
      </w:r>
      <w:r w:rsidR="00247E5D">
        <w:t> </w:t>
      </w:r>
      <w:r>
        <w:t>Tabulce</w:t>
      </w:r>
      <w:r w:rsidR="00247E5D">
        <w:t xml:space="preserve"> 3</w:t>
      </w:r>
      <w:r>
        <w:t xml:space="preserve"> představují alokované prostředky MŠMT na NPU</w:t>
      </w:r>
      <w:r w:rsidR="00412421">
        <w:t xml:space="preserve"> I a II</w:t>
      </w:r>
      <w:r>
        <w:t xml:space="preserve"> v jednotlivých letech</w:t>
      </w:r>
    </w:p>
    <w:p w:rsidR="00EA6D39" w:rsidRPr="003527C4" w:rsidRDefault="00EA6D39" w:rsidP="00EA6D39">
      <w:pPr>
        <w:spacing w:after="120"/>
        <w:jc w:val="both"/>
      </w:pPr>
      <w:r w:rsidRPr="003527C4">
        <w:t>Národní programy udržitelnosti lze považovat za páteřní podpůrná opatření pro finanční udržitelnost vybudovaných center. Jsou to však programy podpory výzkumu, experimentálního vývoje a inovací podle zákona č. 130/2002 Sb., o podpoře výzkumu, experimentálního vývoje a inovací z veřejných prostředků a o změně některých souvisejících zákonů (zákon o podpoře výzkumu, experimentálního vývoje a inovací), ve znění pozdějších předpisů, a jako takové nemají za cíl zajištění pouhé existence centra, ale především zachování účelu, pro něž byla budována, zajištěním výzkumné a vývojové činnosti na nejvyšší úrovni dosahující nadstandardních výsledků.</w:t>
      </w:r>
    </w:p>
    <w:p w:rsidR="00EA6D39" w:rsidRPr="003527C4" w:rsidRDefault="00EA6D39" w:rsidP="00EA6D39">
      <w:pPr>
        <w:spacing w:after="120"/>
        <w:jc w:val="both"/>
      </w:pPr>
      <w:r w:rsidRPr="003527C4">
        <w:t xml:space="preserve">Podpora poskytovaná z národních programů udržitelnosti záměrně není 100 % a každý projekt musí postupně přejít i na jiné zdroje financování. Oba programy předpokládají </w:t>
      </w:r>
      <w:r w:rsidR="007D5EC0">
        <w:t>minimálně</w:t>
      </w:r>
      <w:r w:rsidRPr="003527C4">
        <w:t xml:space="preserve"> 50 % spolufinancování z jiných zdrojů.  V případě NPU I je těchto 50 % povinným vkladem, přičemž není stanoveno, z jakých finančních zdrojů bude spoluúčast hrazena. Tento zdroj závisí na typu výzkumné a vývojové činnosti a omezení podílu veřejné podpory podle Nařízení Ko</w:t>
      </w:r>
      <w:r w:rsidR="00DD7C96">
        <w:t>m</w:t>
      </w:r>
      <w:r w:rsidRPr="003527C4">
        <w:t>ise (ES) č. 800/2008 ze dne 6. srpna 2008, kterým se v souladu se články 87 a 88 Smlouvy o ES prohlašují některé kategorie podpory za slučitelné se společným trhem (obecné nařízení o blokových výjimkách).  V případě NPU II je v programu přímo stanoveno, že nejvyšší povolená míra podpory poskytovaná z programu bude činit 60 % z celkové výše uznaných nákladů a povinný podíl neveřejných prostředků bude v rozmezí od 30 do 60 %.</w:t>
      </w:r>
    </w:p>
    <w:p w:rsidR="00762A24" w:rsidRDefault="00762A24" w:rsidP="00EA6D39">
      <w:pPr>
        <w:spacing w:after="120"/>
        <w:jc w:val="both"/>
      </w:pPr>
    </w:p>
    <w:p w:rsidR="00EA6D39" w:rsidRPr="003527C4" w:rsidRDefault="00EA6D39" w:rsidP="00EA6D39">
      <w:pPr>
        <w:spacing w:after="120"/>
        <w:jc w:val="both"/>
      </w:pPr>
      <w:r w:rsidRPr="003527C4">
        <w:t>Každé z center vybudovaných z </w:t>
      </w:r>
      <w:proofErr w:type="gramStart"/>
      <w:r w:rsidRPr="003527C4">
        <w:t>OP</w:t>
      </w:r>
      <w:proofErr w:type="gramEnd"/>
      <w:r w:rsidRPr="003527C4">
        <w:t xml:space="preserve"> </w:t>
      </w:r>
      <w:proofErr w:type="spellStart"/>
      <w:r w:rsidRPr="003527C4">
        <w:t>VaVpI</w:t>
      </w:r>
      <w:proofErr w:type="spellEnd"/>
      <w:r w:rsidRPr="003527C4">
        <w:t xml:space="preserve"> může získat podporu v rámci jednoho projektu v NPU I nebo NPU II. Uznané náklady projektu musí vycházet z předpokládaných nákladů na udržitelnost centra uvedených v projektu OP </w:t>
      </w:r>
      <w:proofErr w:type="spellStart"/>
      <w:r w:rsidRPr="003527C4">
        <w:t>VaVpI</w:t>
      </w:r>
      <w:proofErr w:type="spellEnd"/>
      <w:r w:rsidRPr="003527C4">
        <w:t>.</w:t>
      </w:r>
    </w:p>
    <w:p w:rsidR="00D054A6" w:rsidRPr="003527C4" w:rsidRDefault="00D054A6" w:rsidP="001F4B12">
      <w:pPr>
        <w:spacing w:after="120"/>
        <w:jc w:val="both"/>
        <w:rPr>
          <w:szCs w:val="28"/>
        </w:rPr>
      </w:pPr>
      <w:r w:rsidRPr="003527C4">
        <w:rPr>
          <w:szCs w:val="28"/>
        </w:rPr>
        <w:t>V souvislosti s </w:t>
      </w:r>
      <w:r w:rsidR="00826649" w:rsidRPr="003527C4">
        <w:rPr>
          <w:szCs w:val="28"/>
        </w:rPr>
        <w:t>finanční garancí</w:t>
      </w:r>
      <w:r w:rsidR="00F42798" w:rsidRPr="003527C4">
        <w:rPr>
          <w:szCs w:val="28"/>
        </w:rPr>
        <w:t xml:space="preserve"> plynoucí z NPU </w:t>
      </w:r>
      <w:r w:rsidRPr="003527C4">
        <w:rPr>
          <w:szCs w:val="28"/>
        </w:rPr>
        <w:t>nicméně evaluace</w:t>
      </w:r>
      <w:r w:rsidR="0073220D" w:rsidRPr="003527C4">
        <w:rPr>
          <w:szCs w:val="28"/>
        </w:rPr>
        <w:t xml:space="preserve"> </w:t>
      </w:r>
      <w:proofErr w:type="spellStart"/>
      <w:r w:rsidR="0073220D" w:rsidRPr="003527C4">
        <w:rPr>
          <w:szCs w:val="28"/>
        </w:rPr>
        <w:t>VaV</w:t>
      </w:r>
      <w:proofErr w:type="spellEnd"/>
      <w:r w:rsidR="0073220D" w:rsidRPr="003527C4">
        <w:rPr>
          <w:szCs w:val="28"/>
        </w:rPr>
        <w:t xml:space="preserve"> center upozorňují na riziko podcenění vlastní </w:t>
      </w:r>
      <w:r w:rsidRPr="003527C4">
        <w:rPr>
          <w:szCs w:val="28"/>
        </w:rPr>
        <w:t>finanční udržitelnosti. Centra by naopak měla využít tento finančně zajištěný střednědobý horizont pro vypracování strategické vize, která by upevňovala jejich udržitelnost v dlouhodobém výhledu.</w:t>
      </w:r>
      <w:r w:rsidR="00322C99" w:rsidRPr="003527C4">
        <w:rPr>
          <w:szCs w:val="28"/>
        </w:rPr>
        <w:t xml:space="preserve"> Právě </w:t>
      </w:r>
      <w:r w:rsidRPr="003527C4">
        <w:rPr>
          <w:szCs w:val="28"/>
        </w:rPr>
        <w:t>tyto strategie v mnoha centrech chybí, a pakliže nejsou řešeny, může jejich abse</w:t>
      </w:r>
      <w:r w:rsidR="007E3002" w:rsidRPr="003527C4">
        <w:rPr>
          <w:szCs w:val="28"/>
        </w:rPr>
        <w:t>nce udržitelnost center ohrozit.</w:t>
      </w:r>
    </w:p>
    <w:p w:rsidR="00351FDC" w:rsidRPr="003527C4" w:rsidRDefault="00351FDC" w:rsidP="00850D5E">
      <w:pPr>
        <w:spacing w:after="120"/>
        <w:ind w:firstLine="426"/>
        <w:jc w:val="both"/>
        <w:rPr>
          <w:szCs w:val="28"/>
        </w:rPr>
      </w:pPr>
    </w:p>
    <w:p w:rsidR="00BC3A4C" w:rsidRPr="003527C4" w:rsidRDefault="00351FDC" w:rsidP="001374B0">
      <w:pPr>
        <w:pStyle w:val="Nadpis3"/>
        <w:numPr>
          <w:ilvl w:val="4"/>
          <w:numId w:val="2"/>
        </w:numPr>
        <w:rPr>
          <w:rFonts w:ascii="Arial" w:hAnsi="Arial" w:cs="Arial"/>
          <w:color w:val="000000" w:themeColor="text1"/>
          <w:sz w:val="20"/>
          <w:szCs w:val="20"/>
        </w:rPr>
      </w:pPr>
      <w:r w:rsidRPr="003527C4">
        <w:rPr>
          <w:rFonts w:ascii="Arial" w:hAnsi="Arial" w:cs="Arial"/>
          <w:color w:val="000000" w:themeColor="text1"/>
          <w:sz w:val="20"/>
          <w:szCs w:val="20"/>
        </w:rPr>
        <w:t>Rizika spojená s NPU</w:t>
      </w:r>
    </w:p>
    <w:p w:rsidR="00351FDC" w:rsidRPr="003527C4" w:rsidRDefault="00351FDC" w:rsidP="00351FDC"/>
    <w:p w:rsidR="00351FDC" w:rsidRPr="003527C4" w:rsidRDefault="00351FDC" w:rsidP="00351FDC">
      <w:pPr>
        <w:spacing w:after="120"/>
        <w:jc w:val="both"/>
      </w:pPr>
      <w:r w:rsidRPr="003527C4">
        <w:t>Výše prostředků, které lze v projektu NPU I nebo NPU II poskytnout, je závislá na ostatních finančních zdrojích, které se centru podaří získat. Nepodaří-li se příjemci zajistit dostatečný objem</w:t>
      </w:r>
      <w:r w:rsidR="0073220D" w:rsidRPr="003527C4">
        <w:t xml:space="preserve"> těchto</w:t>
      </w:r>
      <w:r w:rsidRPr="003527C4">
        <w:t xml:space="preserve"> finančních prostředků, nezíská podporu ve výši</w:t>
      </w:r>
      <w:r w:rsidR="0073220D" w:rsidRPr="003527C4">
        <w:t xml:space="preserve"> předložené žádosti</w:t>
      </w:r>
      <w:r w:rsidRPr="003527C4">
        <w:t>.</w:t>
      </w:r>
    </w:p>
    <w:p w:rsidR="00351FDC" w:rsidRPr="003527C4" w:rsidRDefault="00351FDC" w:rsidP="00351FDC">
      <w:pPr>
        <w:spacing w:after="120"/>
        <w:jc w:val="both"/>
      </w:pPr>
      <w:r w:rsidRPr="003527C4">
        <w:t xml:space="preserve">Do národních programů udržitelnosti nevstupují pouze centra z OP </w:t>
      </w:r>
      <w:proofErr w:type="spellStart"/>
      <w:r w:rsidRPr="003527C4">
        <w:t>VaVpI</w:t>
      </w:r>
      <w:proofErr w:type="spellEnd"/>
      <w:r w:rsidRPr="003527C4">
        <w:t xml:space="preserve"> budovaná v letech přípravy NPU I a NPU II, ale o podporu se mohou ucházet i výzkumná centra vybudovaná za podpory Operačního programu Pr</w:t>
      </w:r>
      <w:r w:rsidR="0066381A" w:rsidRPr="003527C4">
        <w:t>aha a konkurenceschopnost</w:t>
      </w:r>
      <w:r w:rsidR="00263D97">
        <w:t>, oblast podpory 3.1</w:t>
      </w:r>
      <w:r w:rsidR="0066381A" w:rsidRPr="003527C4">
        <w:t>.</w:t>
      </w:r>
    </w:p>
    <w:p w:rsidR="00351FDC" w:rsidRPr="003527C4" w:rsidRDefault="00351FDC" w:rsidP="00351FDC">
      <w:pPr>
        <w:spacing w:after="120"/>
        <w:jc w:val="both"/>
      </w:pPr>
      <w:r w:rsidRPr="003527C4">
        <w:t>Finanční prostředky na účelovou podporu NPU I a NPU II jsou v jednotlivých  letech vyčleněny v</w:t>
      </w:r>
      <w:r w:rsidR="0053387B" w:rsidRPr="003527C4">
        <w:t> odlišné výši</w:t>
      </w:r>
      <w:r w:rsidRPr="003527C4">
        <w:t>, než jsou předpokládané náklady na udržitelnost center. To se projevuje u NPU I již v roce 2013, kdy prostředky překračují 50 % podíl na financování udržitelnosti, takže prostředky zůstávají nedočerpány. Poskytovatel předpokládá, že tyto prostředky v podobě nároků z profilujících výdajů státního rozpočtu bude moci použít na financování projektů NPU I v následujících letech, avšak existuje riziko, že mu to nebude umožněno.</w:t>
      </w:r>
      <w:r w:rsidR="00133265">
        <w:t xml:space="preserve"> </w:t>
      </w:r>
      <w:r w:rsidR="00133265">
        <w:rPr>
          <w:rFonts w:cs="Arial"/>
          <w:color w:val="000000"/>
        </w:rPr>
        <w:t>S</w:t>
      </w:r>
      <w:r w:rsidR="00133265" w:rsidRPr="00205475">
        <w:rPr>
          <w:rFonts w:cs="Arial"/>
          <w:color w:val="000000"/>
        </w:rPr>
        <w:t>ouhrn předpo</w:t>
      </w:r>
      <w:r w:rsidR="00133265">
        <w:rPr>
          <w:rFonts w:cs="Arial"/>
          <w:color w:val="000000"/>
        </w:rPr>
        <w:t xml:space="preserve">kládaných nákladů jednotlivých </w:t>
      </w:r>
      <w:proofErr w:type="spellStart"/>
      <w:r w:rsidR="00133265">
        <w:rPr>
          <w:rFonts w:cs="Arial"/>
          <w:color w:val="000000"/>
        </w:rPr>
        <w:t>VaV</w:t>
      </w:r>
      <w:proofErr w:type="spellEnd"/>
      <w:r w:rsidR="00133265">
        <w:rPr>
          <w:rFonts w:cs="Arial"/>
          <w:color w:val="000000"/>
        </w:rPr>
        <w:t xml:space="preserve"> c</w:t>
      </w:r>
      <w:r w:rsidR="00133265" w:rsidRPr="00205475">
        <w:rPr>
          <w:rFonts w:cs="Arial"/>
          <w:color w:val="000000"/>
        </w:rPr>
        <w:t xml:space="preserve">enter na jejich udržitelnost přesahuje rozpočty jednotlivých </w:t>
      </w:r>
      <w:r w:rsidR="00133265">
        <w:rPr>
          <w:rFonts w:cs="Arial"/>
          <w:color w:val="000000"/>
        </w:rPr>
        <w:t>NPU I a II celkem o </w:t>
      </w:r>
      <w:r w:rsidR="00133265" w:rsidRPr="00205475">
        <w:rPr>
          <w:rFonts w:cs="Arial"/>
          <w:color w:val="000000"/>
        </w:rPr>
        <w:t>cca 600 mil. Kč</w:t>
      </w:r>
      <w:r w:rsidR="00133265">
        <w:rPr>
          <w:rFonts w:cs="Arial"/>
          <w:color w:val="000000"/>
        </w:rPr>
        <w:t xml:space="preserve"> (viz </w:t>
      </w:r>
      <w:proofErr w:type="spellStart"/>
      <w:r w:rsidR="00133265">
        <w:rPr>
          <w:rFonts w:cs="Arial"/>
          <w:color w:val="000000"/>
        </w:rPr>
        <w:t>Tab</w:t>
      </w:r>
      <w:proofErr w:type="spellEnd"/>
      <w:r w:rsidR="00133265">
        <w:rPr>
          <w:rFonts w:cs="Arial"/>
          <w:color w:val="000000"/>
        </w:rPr>
        <w:t xml:space="preserve"> 2a),</w:t>
      </w:r>
      <w:r w:rsidR="00133265" w:rsidRPr="00205475">
        <w:rPr>
          <w:rFonts w:cs="Arial"/>
          <w:color w:val="000000"/>
        </w:rPr>
        <w:t xml:space="preserve"> deficit je </w:t>
      </w:r>
      <w:r w:rsidR="00133265">
        <w:rPr>
          <w:rFonts w:cs="Arial"/>
          <w:color w:val="000000"/>
        </w:rPr>
        <w:t xml:space="preserve">zřejmý </w:t>
      </w:r>
      <w:r w:rsidR="00133265" w:rsidRPr="00205475">
        <w:rPr>
          <w:rFonts w:cs="Arial"/>
          <w:color w:val="000000"/>
        </w:rPr>
        <w:t>především v letech 2015 – 2018.</w:t>
      </w:r>
      <w:r w:rsidRPr="003527C4">
        <w:t xml:space="preserve"> </w:t>
      </w:r>
    </w:p>
    <w:p w:rsidR="00351FDC" w:rsidRPr="003527C4" w:rsidRDefault="00351FDC" w:rsidP="00351FDC">
      <w:pPr>
        <w:spacing w:after="120"/>
        <w:jc w:val="both"/>
      </w:pPr>
      <w:r w:rsidRPr="003527C4">
        <w:t>Předpokládané výdaje na udržitelnost nejsou v jednotlivých letech konstantní, ale sledují křivku postupného náběhu, resp. ukončování projektů, zatímco každoroční celková částka na oba programy je v</w:t>
      </w:r>
      <w:r w:rsidR="0053387B" w:rsidRPr="003527C4">
        <w:t xml:space="preserve"> letech 2016 až 2020 konstantní. </w:t>
      </w:r>
      <w:r w:rsidRPr="003527C4">
        <w:t xml:space="preserve">V roce 2020 je patrný zdánlivý přebytek prostředků, avšak reálné ukončování projektů je v řadě případů zpožděné a velký vliv na čerpání bude mít zejména v závěru NPU II očekávané fázování projektu </w:t>
      </w:r>
      <w:proofErr w:type="spellStart"/>
      <w:r w:rsidRPr="003527C4">
        <w:t>Extreme</w:t>
      </w:r>
      <w:proofErr w:type="spellEnd"/>
      <w:r w:rsidRPr="003527C4">
        <w:t xml:space="preserve"> </w:t>
      </w:r>
      <w:proofErr w:type="spellStart"/>
      <w:r w:rsidRPr="003527C4">
        <w:t>Light</w:t>
      </w:r>
      <w:proofErr w:type="spellEnd"/>
      <w:r w:rsidRPr="003527C4">
        <w:t xml:space="preserve"> </w:t>
      </w:r>
      <w:proofErr w:type="spellStart"/>
      <w:r w:rsidRPr="003527C4">
        <w:t>Infrastructure</w:t>
      </w:r>
      <w:proofErr w:type="spellEnd"/>
      <w:r w:rsidRPr="003527C4">
        <w:t>, které vláda ČR vzala na vědomí usnesením ze dne 15. května 2013 č. 350.</w:t>
      </w:r>
    </w:p>
    <w:p w:rsidR="00351FDC" w:rsidRPr="003527C4" w:rsidRDefault="00351FDC" w:rsidP="00351FDC">
      <w:pPr>
        <w:spacing w:after="120"/>
        <w:jc w:val="both"/>
      </w:pPr>
      <w:r w:rsidRPr="003527C4">
        <w:rPr>
          <w:b/>
        </w:rPr>
        <w:t>Velmi významným rizikem národních programů udržitelnosti jsou omezené možnosti výdajů státního rozpočtu na výzkum, experimentální vývoj a inovace</w:t>
      </w:r>
      <w:r w:rsidRPr="003527C4">
        <w:t xml:space="preserve">. </w:t>
      </w:r>
    </w:p>
    <w:p w:rsidR="00351FDC" w:rsidRPr="003527C4" w:rsidRDefault="00351FDC" w:rsidP="00351FDC"/>
    <w:p w:rsidR="00DE7229" w:rsidRPr="003527C4" w:rsidRDefault="00DE7229" w:rsidP="001374B0">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Financování center ze zdrojů </w:t>
      </w:r>
      <w:r w:rsidR="006707C9" w:rsidRPr="003527C4">
        <w:rPr>
          <w:rFonts w:ascii="Arial" w:hAnsi="Arial" w:cs="Arial"/>
          <w:color w:val="000000" w:themeColor="text1"/>
          <w:sz w:val="20"/>
          <w:szCs w:val="20"/>
        </w:rPr>
        <w:t xml:space="preserve">mimo </w:t>
      </w:r>
      <w:r w:rsidRPr="003527C4">
        <w:rPr>
          <w:rFonts w:ascii="Arial" w:hAnsi="Arial" w:cs="Arial"/>
          <w:color w:val="000000" w:themeColor="text1"/>
          <w:sz w:val="20"/>
          <w:szCs w:val="20"/>
        </w:rPr>
        <w:t>státní rozpočet ČR</w:t>
      </w:r>
    </w:p>
    <w:p w:rsidR="00BC3A4C" w:rsidRPr="003527C4" w:rsidRDefault="00BC3A4C" w:rsidP="00BC3A4C"/>
    <w:p w:rsidR="00BC3A4C" w:rsidRPr="003527C4" w:rsidRDefault="00322C99" w:rsidP="00850D5E">
      <w:pPr>
        <w:spacing w:after="120"/>
        <w:ind w:firstLine="426"/>
        <w:jc w:val="both"/>
        <w:rPr>
          <w:color w:val="000000"/>
        </w:rPr>
      </w:pPr>
      <w:r w:rsidRPr="003527C4">
        <w:rPr>
          <w:color w:val="000000"/>
        </w:rPr>
        <w:t xml:space="preserve">Významnou </w:t>
      </w:r>
      <w:r w:rsidR="00BC3A4C" w:rsidRPr="003527C4">
        <w:rPr>
          <w:color w:val="000000"/>
        </w:rPr>
        <w:t xml:space="preserve">skupinu zdrojů financování center </w:t>
      </w:r>
      <w:proofErr w:type="spellStart"/>
      <w:r w:rsidR="00BC3A4C" w:rsidRPr="003527C4">
        <w:rPr>
          <w:color w:val="000000"/>
        </w:rPr>
        <w:t>VaV</w:t>
      </w:r>
      <w:proofErr w:type="spellEnd"/>
      <w:r w:rsidR="00BC3A4C" w:rsidRPr="003527C4">
        <w:rPr>
          <w:color w:val="000000"/>
        </w:rPr>
        <w:t xml:space="preserve"> mimo státní rozpočet ČR, kter</w:t>
      </w:r>
      <w:r w:rsidR="00B720FC" w:rsidRPr="003527C4">
        <w:rPr>
          <w:color w:val="000000"/>
        </w:rPr>
        <w:t>ý</w:t>
      </w:r>
      <w:r w:rsidR="00BC3A4C" w:rsidRPr="003527C4">
        <w:rPr>
          <w:color w:val="000000"/>
        </w:rPr>
        <w:t xml:space="preserve"> má zásadní úlohu v dlouhodobé udržitelnosti infrastruktur, tvoří prostředky získané ze smluvního výzkumu a mezinárodních grantů. Jejich role je důležitá, neboť v případě jejich výpadku proporcionálně narůstá tlak na státní rozpoč</w:t>
      </w:r>
      <w:r w:rsidR="00B720FC" w:rsidRPr="003527C4">
        <w:rPr>
          <w:color w:val="000000"/>
        </w:rPr>
        <w:t>et</w:t>
      </w:r>
      <w:r w:rsidR="00BC3A4C" w:rsidRPr="003527C4">
        <w:rPr>
          <w:color w:val="000000"/>
        </w:rPr>
        <w:t xml:space="preserve">. Cílové hodnoty </w:t>
      </w:r>
      <w:r w:rsidR="000B4C2B" w:rsidRPr="003527C4">
        <w:rPr>
          <w:color w:val="000000"/>
        </w:rPr>
        <w:t xml:space="preserve">monitorovacích indikátorů vztahujících se k financování </w:t>
      </w:r>
      <w:proofErr w:type="spellStart"/>
      <w:r w:rsidR="000B4C2B" w:rsidRPr="003527C4">
        <w:rPr>
          <w:color w:val="000000"/>
        </w:rPr>
        <w:t>VaV</w:t>
      </w:r>
      <w:proofErr w:type="spellEnd"/>
      <w:r w:rsidR="000B4C2B" w:rsidRPr="003527C4">
        <w:rPr>
          <w:color w:val="000000"/>
        </w:rPr>
        <w:t xml:space="preserve"> center mimo </w:t>
      </w:r>
      <w:r w:rsidR="00B720FC" w:rsidRPr="003527C4">
        <w:rPr>
          <w:color w:val="000000"/>
        </w:rPr>
        <w:t xml:space="preserve">státní rozpočet </w:t>
      </w:r>
      <w:r w:rsidR="000B4C2B" w:rsidRPr="003527C4">
        <w:rPr>
          <w:color w:val="000000"/>
        </w:rPr>
        <w:t>ČR (</w:t>
      </w:r>
      <w:r w:rsidR="00BC3A4C" w:rsidRPr="003527C4">
        <w:rPr>
          <w:color w:val="000000"/>
        </w:rPr>
        <w:t>objemu smluvního výzkumu a mezinárodních grantů</w:t>
      </w:r>
      <w:r w:rsidR="000B4C2B" w:rsidRPr="003527C4">
        <w:rPr>
          <w:color w:val="000000"/>
        </w:rPr>
        <w:t>)</w:t>
      </w:r>
      <w:r w:rsidR="00BC3A4C" w:rsidRPr="003527C4">
        <w:rPr>
          <w:color w:val="000000"/>
        </w:rPr>
        <w:t xml:space="preserve"> ukazují významný nepoměr mezi tím, čeho dosahovaly mateřské </w:t>
      </w:r>
      <w:r w:rsidR="007E3002" w:rsidRPr="003527C4">
        <w:rPr>
          <w:color w:val="000000"/>
        </w:rPr>
        <w:t>instituce v předchozích letech</w:t>
      </w:r>
      <w:r w:rsidR="007E3002" w:rsidRPr="003527C4">
        <w:rPr>
          <w:rStyle w:val="Znakapoznpodarou"/>
          <w:color w:val="000000"/>
        </w:rPr>
        <w:footnoteReference w:id="10"/>
      </w:r>
      <w:r w:rsidR="00BC3A4C" w:rsidRPr="003527C4">
        <w:rPr>
          <w:color w:val="000000"/>
        </w:rPr>
        <w:t xml:space="preserve"> a tím, co se očekává od vznikajících </w:t>
      </w:r>
      <w:proofErr w:type="spellStart"/>
      <w:r w:rsidR="00BC3A4C" w:rsidRPr="003527C4">
        <w:rPr>
          <w:color w:val="000000"/>
        </w:rPr>
        <w:t>VaV</w:t>
      </w:r>
      <w:proofErr w:type="spellEnd"/>
      <w:r w:rsidR="00BC3A4C" w:rsidRPr="003527C4">
        <w:rPr>
          <w:color w:val="000000"/>
        </w:rPr>
        <w:t xml:space="preserve"> center. </w:t>
      </w:r>
    </w:p>
    <w:p w:rsidR="00BC3A4C" w:rsidRPr="003527C4" w:rsidRDefault="00BC3A4C" w:rsidP="00BC3A4C"/>
    <w:p w:rsidR="00BB55FB" w:rsidRDefault="00BB55FB" w:rsidP="00231775">
      <w:pPr>
        <w:pStyle w:val="Nadpis3"/>
        <w:numPr>
          <w:ilvl w:val="2"/>
          <w:numId w:val="2"/>
        </w:numPr>
        <w:rPr>
          <w:rFonts w:ascii="Arial" w:hAnsi="Arial" w:cs="Arial"/>
          <w:color w:val="000000" w:themeColor="text1"/>
          <w:sz w:val="20"/>
          <w:szCs w:val="20"/>
        </w:rPr>
      </w:pPr>
      <w:r w:rsidRPr="003527C4">
        <w:rPr>
          <w:rFonts w:ascii="Arial" w:hAnsi="Arial" w:cs="Arial"/>
          <w:color w:val="000000" w:themeColor="text1"/>
          <w:sz w:val="20"/>
          <w:szCs w:val="20"/>
        </w:rPr>
        <w:t>Mezinárodní granty</w:t>
      </w:r>
      <w:r w:rsidR="00F15E6B">
        <w:rPr>
          <w:rFonts w:ascii="Arial" w:hAnsi="Arial" w:cs="Arial"/>
          <w:color w:val="000000" w:themeColor="text1"/>
          <w:sz w:val="20"/>
          <w:szCs w:val="20"/>
        </w:rPr>
        <w:t xml:space="preserve"> - </w:t>
      </w:r>
      <w:r w:rsidR="00F15E6B" w:rsidRPr="003527C4">
        <w:rPr>
          <w:rFonts w:ascii="Arial" w:hAnsi="Arial" w:cs="Arial"/>
          <w:color w:val="000000" w:themeColor="text1"/>
          <w:sz w:val="20"/>
          <w:szCs w:val="20"/>
        </w:rPr>
        <w:t>Rámcový program EU pro výzkum a inovace Horizont 2020</w:t>
      </w:r>
    </w:p>
    <w:p w:rsidR="00E27427" w:rsidRPr="003527C4" w:rsidRDefault="00E27427" w:rsidP="00E27427">
      <w:pPr>
        <w:jc w:val="both"/>
        <w:rPr>
          <w:rFonts w:cs="Times New Roman"/>
        </w:rPr>
      </w:pPr>
    </w:p>
    <w:p w:rsidR="00E27427" w:rsidRPr="003527C4" w:rsidRDefault="00E27427" w:rsidP="00E27427">
      <w:pPr>
        <w:jc w:val="both"/>
        <w:rPr>
          <w:rFonts w:cs="Times New Roman"/>
        </w:rPr>
      </w:pPr>
      <w:r w:rsidRPr="003527C4">
        <w:rPr>
          <w:rFonts w:cs="Times New Roman"/>
        </w:rPr>
        <w:t xml:space="preserve">Rámcový program EU pro výzkum a inovace Horizont 2020 bude v letech 2014–2020 představovat hlavní nástroj EU pro podporu výzkumu, vývoje a inovací a významnou měrou přispěje k naplňování cílů Unie inovací, jedné z vlajkových iniciativ strategie Evropa 2020, a dalšímu formování a rozvoji Evropského výzkumného prostoru (ERA). Jeho prostřednictvím budou výzkumné a inovační aktivity v rámci EU v daném období podpořeny částkou dosahující 80 miliard eur. </w:t>
      </w:r>
    </w:p>
    <w:p w:rsidR="00E27427" w:rsidRPr="003527C4" w:rsidRDefault="00E27427" w:rsidP="00E27427">
      <w:pPr>
        <w:jc w:val="both"/>
        <w:rPr>
          <w:rFonts w:cs="Times New Roman"/>
        </w:rPr>
      </w:pPr>
    </w:p>
    <w:p w:rsidR="00E27427" w:rsidRPr="003527C4" w:rsidRDefault="00E27427" w:rsidP="00E27427">
      <w:pPr>
        <w:jc w:val="both"/>
        <w:rPr>
          <w:rFonts w:cs="Times New Roman"/>
        </w:rPr>
      </w:pPr>
      <w:r w:rsidRPr="003527C4">
        <w:rPr>
          <w:rFonts w:cs="Times New Roman"/>
        </w:rPr>
        <w:t xml:space="preserve">Základní právní rámec programu Horizont 2020 je tvořen čtyřmi legislativními dokumenty, které byly finálně schváleny na zasedání Rady pro konkurenceschopnost dne 3. prosince 2013 </w:t>
      </w:r>
      <w:r w:rsidR="00166C81" w:rsidRPr="003527C4">
        <w:rPr>
          <w:rFonts w:cs="Times New Roman"/>
        </w:rPr>
        <w:t>a</w:t>
      </w:r>
      <w:r w:rsidR="00166C81">
        <w:rPr>
          <w:rFonts w:cs="Times New Roman"/>
        </w:rPr>
        <w:t> </w:t>
      </w:r>
      <w:r w:rsidRPr="003527C4">
        <w:rPr>
          <w:rFonts w:cs="Times New Roman"/>
        </w:rPr>
        <w:t>v platnost vstoupily zveřejněním v Úředním věstníku EU dne 20. 12. 2013. Jedná se o:</w:t>
      </w:r>
    </w:p>
    <w:p w:rsidR="00E27427" w:rsidRPr="003527C4" w:rsidRDefault="00E27427" w:rsidP="00E27427">
      <w:pPr>
        <w:jc w:val="both"/>
        <w:rPr>
          <w:rFonts w:cs="Times New Roman"/>
        </w:rPr>
      </w:pPr>
    </w:p>
    <w:p w:rsidR="00E27427" w:rsidRPr="003527C4" w:rsidRDefault="00E27427" w:rsidP="00CE5357">
      <w:pPr>
        <w:pStyle w:val="Odstavecseseznamem"/>
        <w:widowControl/>
        <w:numPr>
          <w:ilvl w:val="0"/>
          <w:numId w:val="6"/>
        </w:numPr>
        <w:suppressAutoHyphens w:val="0"/>
        <w:autoSpaceDN/>
        <w:contextualSpacing w:val="0"/>
        <w:jc w:val="both"/>
        <w:textAlignment w:val="auto"/>
        <w:rPr>
          <w:rFonts w:cs="Times New Roman"/>
          <w:szCs w:val="24"/>
        </w:rPr>
      </w:pPr>
      <w:r w:rsidRPr="003527C4">
        <w:rPr>
          <w:rFonts w:cs="Times New Roman"/>
          <w:szCs w:val="24"/>
        </w:rPr>
        <w:t>„Nařízení Evropského parlamentu a Rady (EU) č. 1291/2013 ze dne 11. prosince 2013, kterým se zavádí</w:t>
      </w:r>
      <w:r w:rsidRPr="003527C4">
        <w:rPr>
          <w:rFonts w:cs="Times New Roman"/>
          <w:bCs/>
          <w:szCs w:val="24"/>
        </w:rPr>
        <w:t xml:space="preserve"> </w:t>
      </w:r>
      <w:r w:rsidRPr="003527C4">
        <w:rPr>
          <w:rFonts w:cs="Times New Roman"/>
          <w:b/>
          <w:bCs/>
          <w:szCs w:val="24"/>
        </w:rPr>
        <w:t>Horizont 2020 – rámcový program pro výzkum a inovace (2014 – 2020)</w:t>
      </w:r>
      <w:r w:rsidRPr="003527C4">
        <w:rPr>
          <w:rFonts w:cs="Times New Roman"/>
          <w:bCs/>
          <w:szCs w:val="24"/>
        </w:rPr>
        <w:t xml:space="preserve"> </w:t>
      </w:r>
      <w:r w:rsidRPr="003527C4">
        <w:rPr>
          <w:rFonts w:cs="Times New Roman"/>
          <w:szCs w:val="24"/>
        </w:rPr>
        <w:t>a ruší rozhodnutí č. 1982/2006/ES“;</w:t>
      </w:r>
    </w:p>
    <w:p w:rsidR="00E27427" w:rsidRPr="003527C4" w:rsidRDefault="00E27427" w:rsidP="00E27427">
      <w:pPr>
        <w:pStyle w:val="Odstavecseseznamem"/>
        <w:ind w:left="360"/>
        <w:contextualSpacing w:val="0"/>
        <w:jc w:val="both"/>
        <w:rPr>
          <w:rFonts w:cs="Times New Roman"/>
          <w:szCs w:val="24"/>
        </w:rPr>
      </w:pPr>
    </w:p>
    <w:p w:rsidR="00E27427" w:rsidRPr="003527C4" w:rsidRDefault="00E27427" w:rsidP="00CE5357">
      <w:pPr>
        <w:pStyle w:val="Odstavecseseznamem"/>
        <w:widowControl/>
        <w:numPr>
          <w:ilvl w:val="0"/>
          <w:numId w:val="6"/>
        </w:numPr>
        <w:suppressAutoHyphens w:val="0"/>
        <w:autoSpaceDN/>
        <w:contextualSpacing w:val="0"/>
        <w:jc w:val="both"/>
        <w:textAlignment w:val="auto"/>
        <w:rPr>
          <w:rFonts w:cs="Times New Roman"/>
          <w:szCs w:val="24"/>
        </w:rPr>
      </w:pPr>
      <w:r w:rsidRPr="003527C4">
        <w:rPr>
          <w:rFonts w:cs="Times New Roman"/>
          <w:szCs w:val="24"/>
        </w:rPr>
        <w:t xml:space="preserve">„Nařízení Evropského parlamentu a Rady (EU) č. 1290/2013 ze dne 11. prosince 2013, kterým se stanoví </w:t>
      </w:r>
      <w:r w:rsidRPr="003527C4">
        <w:rPr>
          <w:rFonts w:cs="Times New Roman"/>
          <w:b/>
          <w:bCs/>
          <w:szCs w:val="24"/>
        </w:rPr>
        <w:t xml:space="preserve">pravidla pro účast a šíření výsledků Horizontu 2020 </w:t>
      </w:r>
      <w:r w:rsidRPr="003527C4">
        <w:rPr>
          <w:rFonts w:cs="Times New Roman"/>
          <w:b/>
          <w:szCs w:val="24"/>
        </w:rPr>
        <w:t>– rámcového programu pro výzkum a inovace (2014 – 2020)</w:t>
      </w:r>
      <w:r w:rsidRPr="003527C4">
        <w:rPr>
          <w:rFonts w:cs="Times New Roman"/>
          <w:szCs w:val="24"/>
        </w:rPr>
        <w:t xml:space="preserve"> a zrušuje nařízení (ES) č. 1906/2006“;</w:t>
      </w:r>
    </w:p>
    <w:p w:rsidR="00E27427" w:rsidRPr="003527C4" w:rsidRDefault="00E27427" w:rsidP="00E27427">
      <w:pPr>
        <w:pStyle w:val="Odstavecseseznamem"/>
        <w:ind w:left="360"/>
        <w:contextualSpacing w:val="0"/>
        <w:jc w:val="both"/>
        <w:rPr>
          <w:rFonts w:cs="Times New Roman"/>
          <w:szCs w:val="24"/>
        </w:rPr>
      </w:pPr>
    </w:p>
    <w:p w:rsidR="00E27427" w:rsidRPr="003527C4" w:rsidRDefault="00E27427" w:rsidP="00CE5357">
      <w:pPr>
        <w:pStyle w:val="Odstavecseseznamem"/>
        <w:widowControl/>
        <w:numPr>
          <w:ilvl w:val="0"/>
          <w:numId w:val="6"/>
        </w:numPr>
        <w:suppressAutoHyphens w:val="0"/>
        <w:autoSpaceDN/>
        <w:contextualSpacing w:val="0"/>
        <w:jc w:val="both"/>
        <w:textAlignment w:val="auto"/>
        <w:rPr>
          <w:rFonts w:cs="Times New Roman"/>
          <w:szCs w:val="24"/>
        </w:rPr>
      </w:pPr>
      <w:r w:rsidRPr="003527C4">
        <w:rPr>
          <w:rFonts w:cs="Times New Roman"/>
          <w:szCs w:val="24"/>
        </w:rPr>
        <w:t xml:space="preserve">„Rozhodnutí Rady ze dne 3. prosince 2013 o </w:t>
      </w:r>
      <w:r w:rsidRPr="003527C4">
        <w:rPr>
          <w:rFonts w:cs="Times New Roman"/>
          <w:b/>
          <w:szCs w:val="24"/>
        </w:rPr>
        <w:t>zavedení zvláštního programu, kterým se pr</w:t>
      </w:r>
      <w:r w:rsidRPr="003527C4">
        <w:rPr>
          <w:rFonts w:cs="Times New Roman"/>
          <w:b/>
          <w:szCs w:val="24"/>
        </w:rPr>
        <w:t>o</w:t>
      </w:r>
      <w:r w:rsidRPr="003527C4">
        <w:rPr>
          <w:rFonts w:cs="Times New Roman"/>
          <w:b/>
          <w:szCs w:val="24"/>
        </w:rPr>
        <w:t>vádí Horizont 2020 – rámcový program pro výzkum a inovace (2014 – 2020)</w:t>
      </w:r>
      <w:r w:rsidRPr="003527C4">
        <w:rPr>
          <w:rFonts w:cs="Times New Roman"/>
          <w:szCs w:val="24"/>
        </w:rPr>
        <w:t>;</w:t>
      </w:r>
    </w:p>
    <w:p w:rsidR="00E27427" w:rsidRPr="003527C4" w:rsidRDefault="00E27427" w:rsidP="00E27427">
      <w:pPr>
        <w:pStyle w:val="Odstavecseseznamem"/>
        <w:ind w:left="360"/>
        <w:contextualSpacing w:val="0"/>
        <w:jc w:val="both"/>
        <w:rPr>
          <w:rFonts w:cs="Times New Roman"/>
          <w:szCs w:val="24"/>
        </w:rPr>
      </w:pPr>
    </w:p>
    <w:p w:rsidR="00E27427" w:rsidRPr="003527C4" w:rsidRDefault="00E27427" w:rsidP="00CE5357">
      <w:pPr>
        <w:pStyle w:val="Odstavecseseznamem"/>
        <w:widowControl/>
        <w:numPr>
          <w:ilvl w:val="0"/>
          <w:numId w:val="6"/>
        </w:numPr>
        <w:suppressAutoHyphens w:val="0"/>
        <w:autoSpaceDN/>
        <w:contextualSpacing w:val="0"/>
        <w:jc w:val="both"/>
        <w:textAlignment w:val="auto"/>
        <w:rPr>
          <w:rFonts w:cs="Times New Roman"/>
          <w:szCs w:val="24"/>
        </w:rPr>
      </w:pPr>
      <w:r w:rsidRPr="003527C4">
        <w:rPr>
          <w:rFonts w:cs="Times New Roman"/>
          <w:szCs w:val="24"/>
        </w:rPr>
        <w:t xml:space="preserve">„Nařízení Rady (EURATOM) č. 1314/2013 ze dne 16. prosince 2013 o </w:t>
      </w:r>
      <w:r w:rsidRPr="003527C4">
        <w:rPr>
          <w:rFonts w:cs="Times New Roman"/>
          <w:b/>
          <w:bCs/>
          <w:szCs w:val="24"/>
        </w:rPr>
        <w:t>programu Evropského společenství pro atomovou energii pro výzkum a odbornou přípravu (2014 – 2018)</w:t>
      </w:r>
      <w:r w:rsidRPr="003527C4">
        <w:rPr>
          <w:rFonts w:cs="Times New Roman"/>
          <w:szCs w:val="24"/>
        </w:rPr>
        <w:t>, který doplňuje Horizont 2020 – rámcový program pro výzkum a inovace“.</w:t>
      </w:r>
    </w:p>
    <w:p w:rsidR="00E27427" w:rsidRPr="003527C4" w:rsidRDefault="00E27427" w:rsidP="00E27427">
      <w:pPr>
        <w:pStyle w:val="Odstavecseseznamem"/>
        <w:ind w:left="360"/>
        <w:contextualSpacing w:val="0"/>
        <w:jc w:val="both"/>
        <w:rPr>
          <w:rFonts w:cs="Times New Roman"/>
          <w:szCs w:val="24"/>
        </w:rPr>
      </w:pPr>
    </w:p>
    <w:p w:rsidR="00E27427" w:rsidRPr="003527C4" w:rsidRDefault="00E27427" w:rsidP="00E27427">
      <w:pPr>
        <w:jc w:val="both"/>
        <w:rPr>
          <w:rFonts w:cs="Times New Roman"/>
        </w:rPr>
      </w:pPr>
      <w:r w:rsidRPr="003527C4">
        <w:rPr>
          <w:rFonts w:cs="Times New Roman"/>
        </w:rPr>
        <w:t xml:space="preserve">Program Horizont 2020 přímo navazuje na 7. rámcový program EU pro výzkum, technologický rozvoj a demonstrace implementovaný v letech 2007 – 2013 a nově zahrnuje i inovační aktivity Rámcového programu pro konkurenceschopnost a inovace a aktivity Evropského inovačního a technologického institutu. Cílů programu Horizont 20202 bude dosahováno prostřednictvím tří vzájemně propojených pilířů, jimiž jsou (1) Vynikající věda; (2) Vedoucí postavení v průmyslu </w:t>
      </w:r>
      <w:r w:rsidR="00166C81" w:rsidRPr="003527C4">
        <w:rPr>
          <w:rFonts w:cs="Times New Roman"/>
        </w:rPr>
        <w:t>a</w:t>
      </w:r>
      <w:r w:rsidR="00166C81">
        <w:rPr>
          <w:rFonts w:cs="Times New Roman"/>
        </w:rPr>
        <w:t> </w:t>
      </w:r>
      <w:r w:rsidRPr="003527C4">
        <w:rPr>
          <w:rFonts w:cs="Times New Roman"/>
        </w:rPr>
        <w:t>(3)</w:t>
      </w:r>
      <w:r w:rsidR="00B256D3" w:rsidRPr="003527C4">
        <w:rPr>
          <w:rFonts w:cs="Times New Roman"/>
        </w:rPr>
        <w:t> </w:t>
      </w:r>
      <w:r w:rsidRPr="003527C4">
        <w:rPr>
          <w:rFonts w:cs="Times New Roman"/>
        </w:rPr>
        <w:t>Společenské výzvy.</w:t>
      </w:r>
    </w:p>
    <w:p w:rsidR="00E27427" w:rsidRPr="003527C4" w:rsidRDefault="00E27427" w:rsidP="00E27427">
      <w:pPr>
        <w:jc w:val="both"/>
        <w:rPr>
          <w:rFonts w:cs="Times New Roman"/>
        </w:rPr>
      </w:pPr>
    </w:p>
    <w:p w:rsidR="00E27427" w:rsidRPr="003527C4" w:rsidRDefault="00E27427" w:rsidP="00E27427">
      <w:pPr>
        <w:jc w:val="both"/>
        <w:rPr>
          <w:rFonts w:cs="Times New Roman"/>
        </w:rPr>
      </w:pPr>
      <w:r w:rsidRPr="003527C4">
        <w:rPr>
          <w:rFonts w:cs="Times New Roman"/>
        </w:rPr>
        <w:t xml:space="preserve">Ve srovnání s předchozími rámcovými programy zahrnuje program Horizont 2020 řadu nových prvků. Výraznější důraz je kladen na propojování výzkumu a inovací, tedy podporu celého inovačního řetězce a transformaci výsledků výzkumu v produkty uplatnitelné na trhu. Z pohledu potenciálních účastníků je poté klíčová </w:t>
      </w:r>
      <w:r w:rsidR="00B256D3" w:rsidRPr="003527C4">
        <w:rPr>
          <w:rFonts w:cs="Times New Roman"/>
        </w:rPr>
        <w:t>skutečnost, že program Horizont </w:t>
      </w:r>
      <w:r w:rsidRPr="003527C4">
        <w:rPr>
          <w:rFonts w:cs="Times New Roman"/>
        </w:rPr>
        <w:t xml:space="preserve">2020 obsahuje řadu opatření směřovaných ke zjednodušení. Kromě samotné struktury je zjednodušení obsaženo především v navrženém modelu financování, který počítá s použitím jednotné sazby financování pro všechny účastníky a všechny aktivity za použití pevné sazby na úhradu nepřímých nákladů. Dále by mělo dojít k výraznému zkrácení doby do udělení grantu, z čehož by měli mít užitek opět účastníci programu. Díky zjednodušenému přístupu a jednodušším pravidlům by program Horizont 2020 měl podpořit účast průmyslu na výzkumných a inovačních aktivitách v rámci EU a rovněž přilákat řadu nových účastníků, kteří dosud nemají s rámcovými programy zkušenosti. </w:t>
      </w:r>
    </w:p>
    <w:p w:rsidR="00E27427" w:rsidRPr="003527C4" w:rsidRDefault="00E27427" w:rsidP="00E27427">
      <w:pPr>
        <w:jc w:val="both"/>
        <w:rPr>
          <w:rFonts w:cs="Times New Roman"/>
        </w:rPr>
      </w:pPr>
    </w:p>
    <w:p w:rsidR="00E27427" w:rsidRPr="003527C4" w:rsidRDefault="00E27427" w:rsidP="00E27427">
      <w:pPr>
        <w:jc w:val="both"/>
        <w:rPr>
          <w:rFonts w:cs="Times New Roman"/>
        </w:rPr>
      </w:pPr>
      <w:r w:rsidRPr="003527C4">
        <w:rPr>
          <w:rFonts w:cs="Times New Roman"/>
        </w:rPr>
        <w:t xml:space="preserve">Implementace programu Horizont 2020 byla </w:t>
      </w:r>
      <w:r w:rsidR="00D7463C">
        <w:rPr>
          <w:rFonts w:cs="Times New Roman"/>
        </w:rPr>
        <w:t xml:space="preserve">oficiálně </w:t>
      </w:r>
      <w:r w:rsidRPr="003527C4">
        <w:rPr>
          <w:rFonts w:cs="Times New Roman"/>
        </w:rPr>
        <w:t xml:space="preserve">zahájena ke dni 1. 1. 2014 a probíhá prostřednictvím pracovních programů, které blíže specifikují dílčí aktivity pro následující dvouleté období. Pracovní programy tak obsahují přesná zaměření a finanční alokace vyhlašovaných výzev v jednotlivých oblastech. Na základě pracovních programů pro roky 2014 – 2015 tak byly dne 11. prosince 2013 vyhlášeny první výzvy programu. V prvních dvou letech dosáhne podpora </w:t>
      </w:r>
      <w:proofErr w:type="spellStart"/>
      <w:r w:rsidRPr="003527C4">
        <w:rPr>
          <w:rFonts w:cs="Times New Roman"/>
        </w:rPr>
        <w:t>VaVaI</w:t>
      </w:r>
      <w:proofErr w:type="spellEnd"/>
      <w:r w:rsidRPr="003527C4">
        <w:rPr>
          <w:rFonts w:cs="Times New Roman"/>
        </w:rPr>
        <w:t xml:space="preserve"> prostřednictvím programu Horizont 2020 výše až 15 miliard eur. Výzvy programu Horizont 2020 se na rozdíl od předcházejícího období vyznačují méně preskriptivním pojetím a širším zaměřením. Celkově je po dobu implementace tohoto programu plánován nižší počet výzev, které však ponechávají větší volnost pro žadatele. </w:t>
      </w:r>
    </w:p>
    <w:p w:rsidR="00E27427" w:rsidRPr="003527C4" w:rsidRDefault="00E27427" w:rsidP="00E27427">
      <w:pPr>
        <w:jc w:val="both"/>
        <w:rPr>
          <w:rFonts w:cs="Times New Roman"/>
        </w:rPr>
      </w:pPr>
    </w:p>
    <w:p w:rsidR="00E27427" w:rsidRPr="003527C4" w:rsidRDefault="00E27427" w:rsidP="00E27427">
      <w:pPr>
        <w:jc w:val="both"/>
        <w:rPr>
          <w:rFonts w:cs="Times New Roman"/>
          <w:bCs/>
        </w:rPr>
      </w:pPr>
      <w:r w:rsidRPr="003527C4">
        <w:rPr>
          <w:rFonts w:cs="Times New Roman"/>
        </w:rPr>
        <w:t xml:space="preserve">Nedílnou součást programu Horizont 2020 tvoří rovněž </w:t>
      </w:r>
      <w:r w:rsidRPr="003527C4">
        <w:rPr>
          <w:rFonts w:cs="Times New Roman"/>
          <w:b/>
        </w:rPr>
        <w:t>partnerství v oblasti veřejného sektoru realizované prostřednictvím iniciativ na základě čl. 185 Smlouvy o fungování EU</w:t>
      </w:r>
      <w:r w:rsidRPr="003527C4">
        <w:rPr>
          <w:rFonts w:cs="Times New Roman"/>
        </w:rPr>
        <w:t xml:space="preserve"> (dále jen „SFEU“) a partnerství soukromého a veřejného sektoru implementované skrze iniciativy na základě </w:t>
      </w:r>
      <w:r w:rsidR="00D7463C" w:rsidRPr="003527C4">
        <w:rPr>
          <w:rFonts w:cs="Times New Roman"/>
        </w:rPr>
        <w:t>čl</w:t>
      </w:r>
      <w:r w:rsidR="00D7463C">
        <w:rPr>
          <w:rFonts w:cs="Times New Roman"/>
        </w:rPr>
        <w:t>.</w:t>
      </w:r>
      <w:r w:rsidR="00D7463C" w:rsidRPr="003527C4">
        <w:rPr>
          <w:rFonts w:cs="Times New Roman"/>
        </w:rPr>
        <w:t xml:space="preserve"> </w:t>
      </w:r>
      <w:r w:rsidRPr="003527C4">
        <w:rPr>
          <w:rFonts w:cs="Times New Roman"/>
        </w:rPr>
        <w:t xml:space="preserve">187 SFEU. </w:t>
      </w:r>
      <w:r w:rsidRPr="003527C4">
        <w:rPr>
          <w:rFonts w:cs="Times New Roman"/>
          <w:bCs/>
        </w:rPr>
        <w:t xml:space="preserve">Čl. 185 SFEU umožňuje EU po souhlasu členských států stanovit společná pravidla pro účast na výzkumných programech prováděných členskými státy, tedy určité koordinaci národních programů výzkumu a vývoje ve vybraných tematických oblastech. V rámci programu Horizont 2020 budou realizovaná tato partnerství v oblastech aktivního a asistovaného žití (AAL 2 – </w:t>
      </w:r>
      <w:proofErr w:type="spellStart"/>
      <w:r w:rsidRPr="003527C4">
        <w:rPr>
          <w:rFonts w:cs="Times New Roman"/>
          <w:bCs/>
        </w:rPr>
        <w:t>Active</w:t>
      </w:r>
      <w:proofErr w:type="spellEnd"/>
      <w:r w:rsidRPr="003527C4">
        <w:rPr>
          <w:rFonts w:cs="Times New Roman"/>
          <w:bCs/>
        </w:rPr>
        <w:t xml:space="preserve"> and </w:t>
      </w:r>
      <w:proofErr w:type="spellStart"/>
      <w:r w:rsidRPr="003527C4">
        <w:rPr>
          <w:rFonts w:cs="Times New Roman"/>
          <w:bCs/>
        </w:rPr>
        <w:t>Assisted</w:t>
      </w:r>
      <w:proofErr w:type="spellEnd"/>
      <w:r w:rsidRPr="003527C4">
        <w:rPr>
          <w:rFonts w:cs="Times New Roman"/>
          <w:bCs/>
        </w:rPr>
        <w:t xml:space="preserve"> </w:t>
      </w:r>
      <w:proofErr w:type="spellStart"/>
      <w:r w:rsidRPr="003527C4">
        <w:rPr>
          <w:rFonts w:cs="Times New Roman"/>
          <w:bCs/>
        </w:rPr>
        <w:t>Living</w:t>
      </w:r>
      <w:proofErr w:type="spellEnd"/>
      <w:r w:rsidRPr="003527C4">
        <w:rPr>
          <w:rFonts w:cs="Times New Roman"/>
          <w:bCs/>
        </w:rPr>
        <w:t xml:space="preserve"> </w:t>
      </w:r>
      <w:proofErr w:type="spellStart"/>
      <w:r w:rsidRPr="003527C4">
        <w:rPr>
          <w:rFonts w:cs="Times New Roman"/>
          <w:bCs/>
        </w:rPr>
        <w:t>Research</w:t>
      </w:r>
      <w:proofErr w:type="spellEnd"/>
      <w:r w:rsidRPr="003527C4">
        <w:rPr>
          <w:rFonts w:cs="Times New Roman"/>
          <w:bCs/>
        </w:rPr>
        <w:t xml:space="preserve"> and </w:t>
      </w:r>
      <w:proofErr w:type="spellStart"/>
      <w:r w:rsidRPr="003527C4">
        <w:rPr>
          <w:rFonts w:cs="Times New Roman"/>
          <w:bCs/>
        </w:rPr>
        <w:t>Development</w:t>
      </w:r>
      <w:proofErr w:type="spellEnd"/>
      <w:r w:rsidRPr="003527C4">
        <w:rPr>
          <w:rFonts w:cs="Times New Roman"/>
          <w:bCs/>
        </w:rPr>
        <w:t xml:space="preserve"> </w:t>
      </w:r>
      <w:proofErr w:type="spellStart"/>
      <w:r w:rsidRPr="003527C4">
        <w:rPr>
          <w:rFonts w:cs="Times New Roman"/>
          <w:bCs/>
        </w:rPr>
        <w:t>Programme</w:t>
      </w:r>
      <w:proofErr w:type="spellEnd"/>
      <w:r w:rsidRPr="003527C4">
        <w:rPr>
          <w:rFonts w:cs="Times New Roman"/>
          <w:bCs/>
        </w:rPr>
        <w:t xml:space="preserve">), klinických testů (EDCTP 2 – </w:t>
      </w:r>
      <w:proofErr w:type="spellStart"/>
      <w:r w:rsidRPr="003527C4">
        <w:rPr>
          <w:rFonts w:cs="Times New Roman"/>
          <w:bCs/>
        </w:rPr>
        <w:t>European</w:t>
      </w:r>
      <w:proofErr w:type="spellEnd"/>
      <w:r w:rsidRPr="003527C4">
        <w:rPr>
          <w:rFonts w:cs="Times New Roman"/>
          <w:bCs/>
        </w:rPr>
        <w:t xml:space="preserve"> and </w:t>
      </w:r>
      <w:proofErr w:type="spellStart"/>
      <w:r w:rsidRPr="003527C4">
        <w:rPr>
          <w:rFonts w:cs="Times New Roman"/>
          <w:bCs/>
        </w:rPr>
        <w:t>Developing</w:t>
      </w:r>
      <w:proofErr w:type="spellEnd"/>
      <w:r w:rsidRPr="003527C4">
        <w:rPr>
          <w:rFonts w:cs="Times New Roman"/>
          <w:bCs/>
        </w:rPr>
        <w:t xml:space="preserve"> </w:t>
      </w:r>
      <w:proofErr w:type="spellStart"/>
      <w:r w:rsidRPr="003527C4">
        <w:rPr>
          <w:rFonts w:cs="Times New Roman"/>
          <w:bCs/>
        </w:rPr>
        <w:t>Countries</w:t>
      </w:r>
      <w:proofErr w:type="spellEnd"/>
      <w:r w:rsidRPr="003527C4">
        <w:rPr>
          <w:rFonts w:cs="Times New Roman"/>
          <w:bCs/>
        </w:rPr>
        <w:t xml:space="preserve"> </w:t>
      </w:r>
      <w:proofErr w:type="spellStart"/>
      <w:r w:rsidRPr="003527C4">
        <w:rPr>
          <w:rFonts w:cs="Times New Roman"/>
          <w:bCs/>
        </w:rPr>
        <w:t>Clinical</w:t>
      </w:r>
      <w:proofErr w:type="spellEnd"/>
      <w:r w:rsidRPr="003527C4">
        <w:rPr>
          <w:rFonts w:cs="Times New Roman"/>
          <w:bCs/>
        </w:rPr>
        <w:t xml:space="preserve"> </w:t>
      </w:r>
      <w:proofErr w:type="spellStart"/>
      <w:r w:rsidRPr="003527C4">
        <w:rPr>
          <w:rFonts w:cs="Times New Roman"/>
          <w:bCs/>
        </w:rPr>
        <w:t>Trials</w:t>
      </w:r>
      <w:proofErr w:type="spellEnd"/>
      <w:r w:rsidRPr="003527C4">
        <w:rPr>
          <w:rFonts w:cs="Times New Roman"/>
          <w:bCs/>
        </w:rPr>
        <w:t xml:space="preserve"> </w:t>
      </w:r>
      <w:proofErr w:type="spellStart"/>
      <w:r w:rsidRPr="003527C4">
        <w:rPr>
          <w:rFonts w:cs="Times New Roman"/>
          <w:bCs/>
        </w:rPr>
        <w:t>Partnership</w:t>
      </w:r>
      <w:proofErr w:type="spellEnd"/>
      <w:r w:rsidRPr="003527C4">
        <w:rPr>
          <w:rFonts w:cs="Times New Roman"/>
          <w:bCs/>
        </w:rPr>
        <w:t xml:space="preserve">), metrologického výzkumu </w:t>
      </w:r>
      <w:r w:rsidR="00166C81" w:rsidRPr="003527C4">
        <w:rPr>
          <w:rFonts w:cs="Times New Roman"/>
          <w:bCs/>
        </w:rPr>
        <w:t>a</w:t>
      </w:r>
      <w:r w:rsidR="00166C81">
        <w:rPr>
          <w:rFonts w:cs="Times New Roman"/>
          <w:bCs/>
        </w:rPr>
        <w:t> </w:t>
      </w:r>
      <w:r w:rsidRPr="003527C4">
        <w:rPr>
          <w:rFonts w:cs="Times New Roman"/>
          <w:bCs/>
        </w:rPr>
        <w:t xml:space="preserve">inovací (EMPIR – </w:t>
      </w:r>
      <w:proofErr w:type="spellStart"/>
      <w:r w:rsidRPr="003527C4">
        <w:rPr>
          <w:rFonts w:cs="Times New Roman"/>
          <w:bCs/>
        </w:rPr>
        <w:t>European</w:t>
      </w:r>
      <w:proofErr w:type="spellEnd"/>
      <w:r w:rsidRPr="003527C4">
        <w:rPr>
          <w:rFonts w:cs="Times New Roman"/>
          <w:bCs/>
        </w:rPr>
        <w:t xml:space="preserve"> Metrology </w:t>
      </w:r>
      <w:proofErr w:type="spellStart"/>
      <w:r w:rsidRPr="003527C4">
        <w:rPr>
          <w:rFonts w:cs="Times New Roman"/>
          <w:bCs/>
        </w:rPr>
        <w:t>Programme</w:t>
      </w:r>
      <w:proofErr w:type="spellEnd"/>
      <w:r w:rsidRPr="003527C4">
        <w:rPr>
          <w:rFonts w:cs="Times New Roman"/>
          <w:bCs/>
        </w:rPr>
        <w:t xml:space="preserve"> </w:t>
      </w:r>
      <w:proofErr w:type="spellStart"/>
      <w:r w:rsidRPr="003527C4">
        <w:rPr>
          <w:rFonts w:cs="Times New Roman"/>
          <w:bCs/>
        </w:rPr>
        <w:t>for</w:t>
      </w:r>
      <w:proofErr w:type="spellEnd"/>
      <w:r w:rsidRPr="003527C4">
        <w:rPr>
          <w:rFonts w:cs="Times New Roman"/>
          <w:bCs/>
        </w:rPr>
        <w:t xml:space="preserve"> </w:t>
      </w:r>
      <w:proofErr w:type="spellStart"/>
      <w:r w:rsidRPr="003527C4">
        <w:rPr>
          <w:rFonts w:cs="Times New Roman"/>
          <w:bCs/>
        </w:rPr>
        <w:t>Innovation</w:t>
      </w:r>
      <w:proofErr w:type="spellEnd"/>
      <w:r w:rsidRPr="003527C4">
        <w:rPr>
          <w:rFonts w:cs="Times New Roman"/>
          <w:bCs/>
        </w:rPr>
        <w:t xml:space="preserve"> and </w:t>
      </w:r>
      <w:proofErr w:type="spellStart"/>
      <w:r w:rsidRPr="003527C4">
        <w:rPr>
          <w:rFonts w:cs="Times New Roman"/>
          <w:bCs/>
        </w:rPr>
        <w:t>Research</w:t>
      </w:r>
      <w:proofErr w:type="spellEnd"/>
      <w:r w:rsidRPr="003527C4">
        <w:rPr>
          <w:rFonts w:cs="Times New Roman"/>
          <w:bCs/>
        </w:rPr>
        <w:t xml:space="preserve">) a aplikovaného výzkumu a vývoje </w:t>
      </w:r>
      <w:r w:rsidR="00D7463C">
        <w:rPr>
          <w:rFonts w:cs="Times New Roman"/>
          <w:bCs/>
        </w:rPr>
        <w:t xml:space="preserve">prováděného </w:t>
      </w:r>
      <w:r w:rsidRPr="003527C4">
        <w:rPr>
          <w:rFonts w:cs="Times New Roman"/>
          <w:bCs/>
        </w:rPr>
        <w:t>malý</w:t>
      </w:r>
      <w:r w:rsidR="00D7463C">
        <w:rPr>
          <w:rFonts w:cs="Times New Roman"/>
          <w:bCs/>
        </w:rPr>
        <w:t>mi</w:t>
      </w:r>
      <w:r w:rsidRPr="003527C4">
        <w:rPr>
          <w:rFonts w:cs="Times New Roman"/>
          <w:bCs/>
        </w:rPr>
        <w:t xml:space="preserve"> a střední</w:t>
      </w:r>
      <w:r w:rsidR="00D7463C">
        <w:rPr>
          <w:rFonts w:cs="Times New Roman"/>
          <w:bCs/>
        </w:rPr>
        <w:t>mi</w:t>
      </w:r>
      <w:r w:rsidRPr="003527C4">
        <w:rPr>
          <w:rFonts w:cs="Times New Roman"/>
          <w:bCs/>
        </w:rPr>
        <w:t xml:space="preserve"> podnik</w:t>
      </w:r>
      <w:r w:rsidR="00D7463C">
        <w:rPr>
          <w:rFonts w:cs="Times New Roman"/>
          <w:bCs/>
        </w:rPr>
        <w:t>y</w:t>
      </w:r>
      <w:r w:rsidRPr="003527C4">
        <w:rPr>
          <w:rFonts w:cs="Times New Roman"/>
          <w:bCs/>
        </w:rPr>
        <w:t xml:space="preserve"> (EUROSTARS 2). Partnerství v oblasti veřejného sektoru mají přispět ke snížení fragmentace výzkumného a inovačního úsilí a předejít tak nežádoucímu zdvojování úsilí ve vybraných oblastech napříč EU. </w:t>
      </w:r>
    </w:p>
    <w:p w:rsidR="00E27427" w:rsidRPr="003527C4" w:rsidRDefault="00E27427" w:rsidP="00E27427">
      <w:pPr>
        <w:jc w:val="both"/>
        <w:rPr>
          <w:rFonts w:cs="Times New Roman"/>
          <w:bCs/>
        </w:rPr>
      </w:pPr>
    </w:p>
    <w:p w:rsidR="00D7463C" w:rsidRPr="00D7463C" w:rsidRDefault="00E27427" w:rsidP="00D7463C">
      <w:pPr>
        <w:jc w:val="both"/>
        <w:rPr>
          <w:rFonts w:cs="Times New Roman"/>
        </w:rPr>
      </w:pPr>
      <w:r w:rsidRPr="003527C4">
        <w:rPr>
          <w:rFonts w:cs="Times New Roman"/>
          <w:b/>
          <w:bCs/>
        </w:rPr>
        <w:t xml:space="preserve">Iniciativy na základě čl. 187 SFEU umožňují implementaci </w:t>
      </w:r>
      <w:r w:rsidRPr="003527C4">
        <w:rPr>
          <w:rFonts w:cs="Times New Roman"/>
          <w:b/>
        </w:rPr>
        <w:t>společných technologických iniciativ</w:t>
      </w:r>
      <w:r w:rsidRPr="003527C4">
        <w:rPr>
          <w:rFonts w:cs="Times New Roman"/>
        </w:rPr>
        <w:t xml:space="preserve"> (dále jen „JTI“), které představují partnerství veřejného a soukromého sektoru s definovanou výzkumnou a inovační agendou ve strategicky významných oblastech výzkumu a vývoje s potenciálně vysokou přidanou hodnotou pro ekonomiku a konkurenceschopnost EU. JTI by měly zejména přispět k navýšení výdajů soukromého sektoru do inovačních aktivit</w:t>
      </w:r>
      <w:r w:rsidR="00D7463C">
        <w:rPr>
          <w:rFonts w:cs="Times New Roman"/>
        </w:rPr>
        <w:t xml:space="preserve">, přičemž jako součást rámcového programu Horizont 2020 budou JTI realizována v oblastech </w:t>
      </w:r>
      <w:r w:rsidR="00D7463C" w:rsidRPr="00D7463C">
        <w:rPr>
          <w:rFonts w:cs="Times New Roman"/>
        </w:rPr>
        <w:t>průmysl</w:t>
      </w:r>
      <w:r w:rsidR="00D7463C">
        <w:rPr>
          <w:rFonts w:cs="Times New Roman"/>
        </w:rPr>
        <w:t>u</w:t>
      </w:r>
      <w:r w:rsidR="00D7463C" w:rsidRPr="00D7463C">
        <w:rPr>
          <w:rFonts w:cs="Times New Roman"/>
        </w:rPr>
        <w:t xml:space="preserve"> založen</w:t>
      </w:r>
      <w:r w:rsidR="00D7463C">
        <w:rPr>
          <w:rFonts w:cs="Times New Roman"/>
        </w:rPr>
        <w:t>ého</w:t>
      </w:r>
      <w:r w:rsidR="00D7463C" w:rsidRPr="00D7463C">
        <w:rPr>
          <w:rFonts w:cs="Times New Roman"/>
        </w:rPr>
        <w:t xml:space="preserve"> na biotechnologiích (BBI – Bio-</w:t>
      </w:r>
      <w:proofErr w:type="spellStart"/>
      <w:r w:rsidR="00D7463C" w:rsidRPr="00D7463C">
        <w:rPr>
          <w:rFonts w:cs="Times New Roman"/>
        </w:rPr>
        <w:t>based</w:t>
      </w:r>
      <w:proofErr w:type="spellEnd"/>
      <w:r w:rsidR="00D7463C" w:rsidRPr="00D7463C">
        <w:rPr>
          <w:rFonts w:cs="Times New Roman"/>
        </w:rPr>
        <w:t xml:space="preserve"> </w:t>
      </w:r>
      <w:proofErr w:type="spellStart"/>
      <w:r w:rsidR="00D7463C" w:rsidRPr="00D7463C">
        <w:rPr>
          <w:rFonts w:cs="Times New Roman"/>
        </w:rPr>
        <w:t>Industries</w:t>
      </w:r>
      <w:proofErr w:type="spellEnd"/>
      <w:r w:rsidR="00D7463C" w:rsidRPr="00D7463C">
        <w:rPr>
          <w:rFonts w:cs="Times New Roman"/>
        </w:rPr>
        <w:t>); leteck</w:t>
      </w:r>
      <w:r w:rsidR="00D7463C">
        <w:rPr>
          <w:rFonts w:cs="Times New Roman"/>
        </w:rPr>
        <w:t>é</w:t>
      </w:r>
      <w:r w:rsidR="00D7463C" w:rsidRPr="00D7463C">
        <w:rPr>
          <w:rFonts w:cs="Times New Roman"/>
        </w:rPr>
        <w:t xml:space="preserve"> </w:t>
      </w:r>
      <w:r w:rsidR="00D7463C">
        <w:rPr>
          <w:rFonts w:cs="Times New Roman"/>
        </w:rPr>
        <w:t>dopravy</w:t>
      </w:r>
      <w:r w:rsidR="00D7463C" w:rsidRPr="00D7463C">
        <w:rPr>
          <w:rFonts w:cs="Times New Roman"/>
        </w:rPr>
        <w:t xml:space="preserve"> (</w:t>
      </w:r>
      <w:proofErr w:type="spellStart"/>
      <w:r w:rsidR="00D7463C" w:rsidRPr="00D7463C">
        <w:rPr>
          <w:rFonts w:cs="Times New Roman"/>
        </w:rPr>
        <w:t>Clean</w:t>
      </w:r>
      <w:proofErr w:type="spellEnd"/>
      <w:r w:rsidR="00D7463C" w:rsidRPr="00D7463C">
        <w:rPr>
          <w:rFonts w:cs="Times New Roman"/>
        </w:rPr>
        <w:t xml:space="preserve"> </w:t>
      </w:r>
      <w:proofErr w:type="spellStart"/>
      <w:r w:rsidR="00D7463C" w:rsidRPr="00D7463C">
        <w:rPr>
          <w:rFonts w:cs="Times New Roman"/>
        </w:rPr>
        <w:t>Sky</w:t>
      </w:r>
      <w:proofErr w:type="spellEnd"/>
      <w:r w:rsidR="00D7463C" w:rsidRPr="00D7463C">
        <w:rPr>
          <w:rFonts w:cs="Times New Roman"/>
        </w:rPr>
        <w:t xml:space="preserve"> 2); vestavěn</w:t>
      </w:r>
      <w:r w:rsidR="00D7463C">
        <w:rPr>
          <w:rFonts w:cs="Times New Roman"/>
        </w:rPr>
        <w:t>ých</w:t>
      </w:r>
      <w:r w:rsidR="00D7463C" w:rsidRPr="00D7463C">
        <w:rPr>
          <w:rFonts w:cs="Times New Roman"/>
        </w:rPr>
        <w:t xml:space="preserve"> počítačov</w:t>
      </w:r>
      <w:r w:rsidR="00D7463C">
        <w:rPr>
          <w:rFonts w:cs="Times New Roman"/>
        </w:rPr>
        <w:t xml:space="preserve">ých systémů, mikro- a </w:t>
      </w:r>
      <w:proofErr w:type="spellStart"/>
      <w:r w:rsidR="00D7463C">
        <w:rPr>
          <w:rFonts w:cs="Times New Roman"/>
        </w:rPr>
        <w:t>nano</w:t>
      </w:r>
      <w:proofErr w:type="spellEnd"/>
      <w:r w:rsidR="00D7463C">
        <w:rPr>
          <w:rFonts w:cs="Times New Roman"/>
        </w:rPr>
        <w:t>-elektroniky a inteligentních systémů</w:t>
      </w:r>
      <w:r w:rsidR="00D7463C" w:rsidRPr="00D7463C">
        <w:rPr>
          <w:rFonts w:cs="Times New Roman"/>
        </w:rPr>
        <w:t xml:space="preserve"> (ECSEL – </w:t>
      </w:r>
      <w:proofErr w:type="spellStart"/>
      <w:r w:rsidR="00D7463C" w:rsidRPr="00D7463C">
        <w:rPr>
          <w:rFonts w:cs="Times New Roman"/>
        </w:rPr>
        <w:t>Electronic</w:t>
      </w:r>
      <w:proofErr w:type="spellEnd"/>
      <w:r w:rsidR="00D7463C" w:rsidRPr="00D7463C">
        <w:rPr>
          <w:rFonts w:cs="Times New Roman"/>
        </w:rPr>
        <w:t xml:space="preserve"> </w:t>
      </w:r>
      <w:proofErr w:type="spellStart"/>
      <w:r w:rsidR="00D7463C" w:rsidRPr="00D7463C">
        <w:rPr>
          <w:rFonts w:cs="Times New Roman"/>
        </w:rPr>
        <w:t>Components</w:t>
      </w:r>
      <w:proofErr w:type="spellEnd"/>
      <w:r w:rsidR="00D7463C" w:rsidRPr="00D7463C">
        <w:rPr>
          <w:rFonts w:cs="Times New Roman"/>
        </w:rPr>
        <w:t xml:space="preserve"> </w:t>
      </w:r>
      <w:r w:rsidR="005E4C9A">
        <w:rPr>
          <w:rFonts w:cs="Times New Roman"/>
        </w:rPr>
        <w:t>and</w:t>
      </w:r>
      <w:r w:rsidR="00D7463C" w:rsidRPr="00D7463C">
        <w:rPr>
          <w:rFonts w:cs="Times New Roman"/>
        </w:rPr>
        <w:t xml:space="preserve"> Systems </w:t>
      </w:r>
      <w:proofErr w:type="spellStart"/>
      <w:r w:rsidR="00D7463C" w:rsidRPr="00D7463C">
        <w:rPr>
          <w:rFonts w:cs="Times New Roman"/>
        </w:rPr>
        <w:t>for</w:t>
      </w:r>
      <w:proofErr w:type="spellEnd"/>
      <w:r w:rsidR="00D7463C" w:rsidRPr="00D7463C">
        <w:rPr>
          <w:rFonts w:cs="Times New Roman"/>
        </w:rPr>
        <w:t xml:space="preserve"> </w:t>
      </w:r>
      <w:proofErr w:type="spellStart"/>
      <w:r w:rsidR="00D7463C" w:rsidRPr="00D7463C">
        <w:rPr>
          <w:rFonts w:cs="Times New Roman"/>
        </w:rPr>
        <w:t>European</w:t>
      </w:r>
      <w:proofErr w:type="spellEnd"/>
      <w:r w:rsidR="00D7463C" w:rsidRPr="00D7463C">
        <w:rPr>
          <w:rFonts w:cs="Times New Roman"/>
        </w:rPr>
        <w:t xml:space="preserve"> </w:t>
      </w:r>
      <w:proofErr w:type="spellStart"/>
      <w:r w:rsidR="00D7463C" w:rsidRPr="00D7463C">
        <w:rPr>
          <w:rFonts w:cs="Times New Roman"/>
        </w:rPr>
        <w:t>Leadership</w:t>
      </w:r>
      <w:proofErr w:type="spellEnd"/>
      <w:r w:rsidR="00D7463C" w:rsidRPr="00D7463C">
        <w:rPr>
          <w:rFonts w:cs="Times New Roman"/>
        </w:rPr>
        <w:t>); inovativní</w:t>
      </w:r>
      <w:r w:rsidR="00D7463C">
        <w:rPr>
          <w:rFonts w:cs="Times New Roman"/>
        </w:rPr>
        <w:t>ch</w:t>
      </w:r>
      <w:r w:rsidR="00D7463C" w:rsidRPr="00D7463C">
        <w:rPr>
          <w:rFonts w:cs="Times New Roman"/>
        </w:rPr>
        <w:t xml:space="preserve"> léčiv (IMI 2 – </w:t>
      </w:r>
      <w:proofErr w:type="spellStart"/>
      <w:r w:rsidR="00D7463C" w:rsidRPr="00D7463C">
        <w:rPr>
          <w:rFonts w:cs="Times New Roman"/>
        </w:rPr>
        <w:t>Innovative</w:t>
      </w:r>
      <w:proofErr w:type="spellEnd"/>
      <w:r w:rsidR="00D7463C" w:rsidRPr="00D7463C">
        <w:rPr>
          <w:rFonts w:cs="Times New Roman"/>
        </w:rPr>
        <w:t xml:space="preserve"> </w:t>
      </w:r>
      <w:proofErr w:type="spellStart"/>
      <w:r w:rsidR="00D7463C" w:rsidRPr="00D7463C">
        <w:rPr>
          <w:rFonts w:cs="Times New Roman"/>
        </w:rPr>
        <w:t>Medicines</w:t>
      </w:r>
      <w:proofErr w:type="spellEnd"/>
      <w:r w:rsidR="00D7463C" w:rsidRPr="00D7463C">
        <w:rPr>
          <w:rFonts w:cs="Times New Roman"/>
        </w:rPr>
        <w:t xml:space="preserve"> </w:t>
      </w:r>
      <w:proofErr w:type="spellStart"/>
      <w:r w:rsidR="00D7463C" w:rsidRPr="00D7463C">
        <w:rPr>
          <w:rFonts w:cs="Times New Roman"/>
        </w:rPr>
        <w:t>Initiative</w:t>
      </w:r>
      <w:proofErr w:type="spellEnd"/>
      <w:r w:rsidR="00D7463C" w:rsidRPr="00D7463C">
        <w:rPr>
          <w:rFonts w:cs="Times New Roman"/>
        </w:rPr>
        <w:t xml:space="preserve">); </w:t>
      </w:r>
      <w:r w:rsidR="00D7463C">
        <w:rPr>
          <w:rFonts w:cs="Times New Roman"/>
        </w:rPr>
        <w:t xml:space="preserve">využití </w:t>
      </w:r>
      <w:r w:rsidR="00D7463C" w:rsidRPr="00D7463C">
        <w:rPr>
          <w:rFonts w:cs="Times New Roman"/>
        </w:rPr>
        <w:t>palivov</w:t>
      </w:r>
      <w:r w:rsidR="00D7463C">
        <w:rPr>
          <w:rFonts w:cs="Times New Roman"/>
        </w:rPr>
        <w:t>ých</w:t>
      </w:r>
      <w:r w:rsidR="00D7463C" w:rsidRPr="00D7463C">
        <w:rPr>
          <w:rFonts w:cs="Times New Roman"/>
        </w:rPr>
        <w:t xml:space="preserve"> článk</w:t>
      </w:r>
      <w:r w:rsidR="00D7463C">
        <w:rPr>
          <w:rFonts w:cs="Times New Roman"/>
        </w:rPr>
        <w:t>ů</w:t>
      </w:r>
      <w:r w:rsidR="00D7463C" w:rsidRPr="00D7463C">
        <w:rPr>
          <w:rFonts w:cs="Times New Roman"/>
        </w:rPr>
        <w:t xml:space="preserve"> a vodík</w:t>
      </w:r>
      <w:r w:rsidR="00D7463C">
        <w:rPr>
          <w:rFonts w:cs="Times New Roman"/>
        </w:rPr>
        <w:t>u v energetice</w:t>
      </w:r>
      <w:r w:rsidR="00D7463C" w:rsidRPr="00D7463C">
        <w:rPr>
          <w:rFonts w:cs="Times New Roman"/>
        </w:rPr>
        <w:t xml:space="preserve"> (FCH 2 – </w:t>
      </w:r>
      <w:proofErr w:type="spellStart"/>
      <w:r w:rsidR="00D7463C" w:rsidRPr="00D7463C">
        <w:rPr>
          <w:rFonts w:cs="Times New Roman"/>
        </w:rPr>
        <w:t>Fuel</w:t>
      </w:r>
      <w:proofErr w:type="spellEnd"/>
      <w:r w:rsidR="00D7463C" w:rsidRPr="00D7463C">
        <w:rPr>
          <w:rFonts w:cs="Times New Roman"/>
        </w:rPr>
        <w:t xml:space="preserve"> </w:t>
      </w:r>
      <w:proofErr w:type="spellStart"/>
      <w:r w:rsidR="00D7463C" w:rsidRPr="00D7463C">
        <w:rPr>
          <w:rFonts w:cs="Times New Roman"/>
        </w:rPr>
        <w:t>Cells</w:t>
      </w:r>
      <w:proofErr w:type="spellEnd"/>
      <w:r w:rsidR="00D7463C" w:rsidRPr="00D7463C">
        <w:rPr>
          <w:rFonts w:cs="Times New Roman"/>
        </w:rPr>
        <w:t xml:space="preserve"> </w:t>
      </w:r>
      <w:r w:rsidR="00D7463C">
        <w:rPr>
          <w:rFonts w:cs="Times New Roman"/>
        </w:rPr>
        <w:t>and</w:t>
      </w:r>
      <w:r w:rsidR="00D7463C" w:rsidRPr="00D7463C">
        <w:rPr>
          <w:rFonts w:cs="Times New Roman"/>
        </w:rPr>
        <w:t xml:space="preserve"> Hydrogen Joint Technology </w:t>
      </w:r>
      <w:proofErr w:type="spellStart"/>
      <w:r w:rsidR="00D7463C" w:rsidRPr="00D7463C">
        <w:rPr>
          <w:rFonts w:cs="Times New Roman"/>
        </w:rPr>
        <w:t>Initiative</w:t>
      </w:r>
      <w:proofErr w:type="spellEnd"/>
      <w:r w:rsidR="00D7463C" w:rsidRPr="00D7463C">
        <w:rPr>
          <w:rFonts w:cs="Times New Roman"/>
        </w:rPr>
        <w:t xml:space="preserve">) </w:t>
      </w:r>
      <w:r w:rsidR="00D7463C">
        <w:rPr>
          <w:rFonts w:cs="Times New Roman"/>
        </w:rPr>
        <w:t xml:space="preserve">a </w:t>
      </w:r>
      <w:r w:rsidR="00D7463C" w:rsidRPr="00D7463C">
        <w:rPr>
          <w:rFonts w:cs="Times New Roman"/>
        </w:rPr>
        <w:t>železniční infrastruktur</w:t>
      </w:r>
      <w:r w:rsidR="00D7463C">
        <w:rPr>
          <w:rFonts w:cs="Times New Roman"/>
        </w:rPr>
        <w:t>y</w:t>
      </w:r>
      <w:r w:rsidR="00D7463C" w:rsidRPr="00D7463C">
        <w:rPr>
          <w:rFonts w:cs="Times New Roman"/>
        </w:rPr>
        <w:t xml:space="preserve"> (S2R – Shift to </w:t>
      </w:r>
      <w:proofErr w:type="spellStart"/>
      <w:r w:rsidR="00D7463C" w:rsidRPr="00D7463C">
        <w:rPr>
          <w:rFonts w:cs="Times New Roman"/>
        </w:rPr>
        <w:t>Rail</w:t>
      </w:r>
      <w:proofErr w:type="spellEnd"/>
      <w:r w:rsidR="00D7463C" w:rsidRPr="00D7463C">
        <w:rPr>
          <w:rFonts w:cs="Times New Roman"/>
        </w:rPr>
        <w:t xml:space="preserve">). </w:t>
      </w:r>
    </w:p>
    <w:p w:rsidR="00D7463C" w:rsidRPr="00D7463C" w:rsidRDefault="00D7463C" w:rsidP="00D7463C">
      <w:pPr>
        <w:jc w:val="both"/>
        <w:rPr>
          <w:rFonts w:cs="Times New Roman"/>
        </w:rPr>
      </w:pPr>
    </w:p>
    <w:p w:rsidR="00E27427" w:rsidRPr="003527C4" w:rsidRDefault="00D7463C" w:rsidP="00D7463C">
      <w:pPr>
        <w:jc w:val="both"/>
        <w:rPr>
          <w:rFonts w:cs="Times New Roman"/>
        </w:rPr>
      </w:pPr>
      <w:r w:rsidRPr="00D7463C">
        <w:rPr>
          <w:rFonts w:cs="Times New Roman"/>
        </w:rPr>
        <w:t>Současně budou v oblasti partnerství veřejného a soukromého sektoru realizována tzv. kontraktační partnerství v oblastech progresivních výrobních postupů (</w:t>
      </w:r>
      <w:proofErr w:type="spellStart"/>
      <w:r w:rsidRPr="00D7463C">
        <w:rPr>
          <w:rFonts w:cs="Times New Roman"/>
        </w:rPr>
        <w:t>Factories</w:t>
      </w:r>
      <w:proofErr w:type="spellEnd"/>
      <w:r w:rsidRPr="00D7463C">
        <w:rPr>
          <w:rFonts w:cs="Times New Roman"/>
        </w:rPr>
        <w:t xml:space="preserve"> </w:t>
      </w:r>
      <w:proofErr w:type="spellStart"/>
      <w:r w:rsidRPr="00D7463C">
        <w:rPr>
          <w:rFonts w:cs="Times New Roman"/>
        </w:rPr>
        <w:t>of</w:t>
      </w:r>
      <w:proofErr w:type="spellEnd"/>
      <w:r w:rsidRPr="00D7463C">
        <w:rPr>
          <w:rFonts w:cs="Times New Roman"/>
        </w:rPr>
        <w:t xml:space="preserve"> </w:t>
      </w:r>
      <w:proofErr w:type="spellStart"/>
      <w:r w:rsidRPr="00D7463C">
        <w:rPr>
          <w:rFonts w:cs="Times New Roman"/>
        </w:rPr>
        <w:t>the</w:t>
      </w:r>
      <w:proofErr w:type="spellEnd"/>
      <w:r w:rsidRPr="00D7463C">
        <w:rPr>
          <w:rFonts w:cs="Times New Roman"/>
        </w:rPr>
        <w:t xml:space="preserve"> </w:t>
      </w:r>
      <w:proofErr w:type="spellStart"/>
      <w:r w:rsidRPr="00D7463C">
        <w:rPr>
          <w:rFonts w:cs="Times New Roman"/>
        </w:rPr>
        <w:t>Future</w:t>
      </w:r>
      <w:proofErr w:type="spellEnd"/>
      <w:r w:rsidRPr="00D7463C">
        <w:rPr>
          <w:rFonts w:cs="Times New Roman"/>
        </w:rPr>
        <w:t>); energeticky efektivní architektury (</w:t>
      </w:r>
      <w:proofErr w:type="spellStart"/>
      <w:r w:rsidRPr="00D7463C">
        <w:rPr>
          <w:rFonts w:cs="Times New Roman"/>
        </w:rPr>
        <w:t>Energy</w:t>
      </w:r>
      <w:proofErr w:type="spellEnd"/>
      <w:r w:rsidRPr="00D7463C">
        <w:rPr>
          <w:rFonts w:cs="Times New Roman"/>
        </w:rPr>
        <w:t xml:space="preserve"> </w:t>
      </w:r>
      <w:proofErr w:type="spellStart"/>
      <w:r w:rsidRPr="00D7463C">
        <w:rPr>
          <w:rFonts w:cs="Times New Roman"/>
        </w:rPr>
        <w:t>Efficient</w:t>
      </w:r>
      <w:proofErr w:type="spellEnd"/>
      <w:r w:rsidRPr="00D7463C">
        <w:rPr>
          <w:rFonts w:cs="Times New Roman"/>
        </w:rPr>
        <w:t xml:space="preserve"> </w:t>
      </w:r>
      <w:proofErr w:type="spellStart"/>
      <w:r w:rsidRPr="00D7463C">
        <w:rPr>
          <w:rFonts w:cs="Times New Roman"/>
        </w:rPr>
        <w:t>Buildings</w:t>
      </w:r>
      <w:proofErr w:type="spellEnd"/>
      <w:r w:rsidRPr="00D7463C">
        <w:rPr>
          <w:rFonts w:cs="Times New Roman"/>
        </w:rPr>
        <w:t>); automobilového průmyslu (</w:t>
      </w:r>
      <w:proofErr w:type="spellStart"/>
      <w:r w:rsidRPr="00D7463C">
        <w:rPr>
          <w:rFonts w:cs="Times New Roman"/>
        </w:rPr>
        <w:t>European</w:t>
      </w:r>
      <w:proofErr w:type="spellEnd"/>
      <w:r w:rsidRPr="00D7463C">
        <w:rPr>
          <w:rFonts w:cs="Times New Roman"/>
        </w:rPr>
        <w:t xml:space="preserve"> Green Car </w:t>
      </w:r>
      <w:proofErr w:type="spellStart"/>
      <w:r w:rsidRPr="00D7463C">
        <w:rPr>
          <w:rFonts w:cs="Times New Roman"/>
        </w:rPr>
        <w:t>initiative</w:t>
      </w:r>
      <w:proofErr w:type="spellEnd"/>
      <w:r w:rsidRPr="00D7463C">
        <w:rPr>
          <w:rFonts w:cs="Times New Roman"/>
        </w:rPr>
        <w:t>), informačních a komunikačních technologií (</w:t>
      </w:r>
      <w:proofErr w:type="spellStart"/>
      <w:r w:rsidRPr="00D7463C">
        <w:rPr>
          <w:rFonts w:cs="Times New Roman"/>
        </w:rPr>
        <w:t>Future</w:t>
      </w:r>
      <w:proofErr w:type="spellEnd"/>
      <w:r w:rsidRPr="00D7463C">
        <w:rPr>
          <w:rFonts w:cs="Times New Roman"/>
        </w:rPr>
        <w:t xml:space="preserve"> Internet); udržitelné průmyslové výroby (</w:t>
      </w:r>
      <w:proofErr w:type="spellStart"/>
      <w:r w:rsidRPr="00D7463C">
        <w:rPr>
          <w:rFonts w:cs="Times New Roman"/>
        </w:rPr>
        <w:t>Sustainable</w:t>
      </w:r>
      <w:proofErr w:type="spellEnd"/>
      <w:r w:rsidRPr="00D7463C">
        <w:rPr>
          <w:rFonts w:cs="Times New Roman"/>
        </w:rPr>
        <w:t xml:space="preserve"> </w:t>
      </w:r>
      <w:proofErr w:type="spellStart"/>
      <w:r w:rsidRPr="00D7463C">
        <w:rPr>
          <w:rFonts w:cs="Times New Roman"/>
        </w:rPr>
        <w:t>Process</w:t>
      </w:r>
      <w:proofErr w:type="spellEnd"/>
      <w:r w:rsidRPr="00D7463C">
        <w:rPr>
          <w:rFonts w:cs="Times New Roman"/>
        </w:rPr>
        <w:t xml:space="preserve"> </w:t>
      </w:r>
      <w:proofErr w:type="spellStart"/>
      <w:r w:rsidRPr="00D7463C">
        <w:rPr>
          <w:rFonts w:cs="Times New Roman"/>
        </w:rPr>
        <w:t>Industry</w:t>
      </w:r>
      <w:proofErr w:type="spellEnd"/>
      <w:r w:rsidRPr="00D7463C">
        <w:rPr>
          <w:rFonts w:cs="Times New Roman"/>
        </w:rPr>
        <w:t>); robotiky (</w:t>
      </w:r>
      <w:proofErr w:type="spellStart"/>
      <w:r w:rsidRPr="00D7463C">
        <w:rPr>
          <w:rFonts w:cs="Times New Roman"/>
        </w:rPr>
        <w:t>Robotics</w:t>
      </w:r>
      <w:proofErr w:type="spellEnd"/>
      <w:r w:rsidRPr="00D7463C">
        <w:rPr>
          <w:rFonts w:cs="Times New Roman"/>
        </w:rPr>
        <w:t xml:space="preserve">), </w:t>
      </w:r>
      <w:proofErr w:type="spellStart"/>
      <w:r w:rsidRPr="00D7463C">
        <w:rPr>
          <w:rFonts w:cs="Times New Roman"/>
        </w:rPr>
        <w:t>fotoniky</w:t>
      </w:r>
      <w:proofErr w:type="spellEnd"/>
      <w:r w:rsidRPr="00D7463C">
        <w:rPr>
          <w:rFonts w:cs="Times New Roman"/>
        </w:rPr>
        <w:t xml:space="preserve"> (</w:t>
      </w:r>
      <w:proofErr w:type="spellStart"/>
      <w:r w:rsidRPr="00D7463C">
        <w:rPr>
          <w:rFonts w:cs="Times New Roman"/>
        </w:rPr>
        <w:t>Photonics</w:t>
      </w:r>
      <w:proofErr w:type="spellEnd"/>
      <w:r w:rsidRPr="00D7463C">
        <w:rPr>
          <w:rFonts w:cs="Times New Roman"/>
        </w:rPr>
        <w:t>); a počítačových technologií (</w:t>
      </w:r>
      <w:proofErr w:type="spellStart"/>
      <w:r w:rsidRPr="00D7463C">
        <w:rPr>
          <w:rFonts w:cs="Times New Roman"/>
        </w:rPr>
        <w:t>High</w:t>
      </w:r>
      <w:proofErr w:type="spellEnd"/>
      <w:r w:rsidRPr="00D7463C">
        <w:rPr>
          <w:rFonts w:cs="Times New Roman"/>
        </w:rPr>
        <w:t xml:space="preserve"> Performance </w:t>
      </w:r>
      <w:proofErr w:type="spellStart"/>
      <w:r w:rsidRPr="00D7463C">
        <w:rPr>
          <w:rFonts w:cs="Times New Roman"/>
        </w:rPr>
        <w:t>Computing</w:t>
      </w:r>
      <w:proofErr w:type="spellEnd"/>
      <w:r w:rsidRPr="00D7463C">
        <w:rPr>
          <w:rFonts w:cs="Times New Roman"/>
        </w:rPr>
        <w:t>)</w:t>
      </w:r>
      <w:r w:rsidR="00E27427" w:rsidRPr="003527C4">
        <w:rPr>
          <w:rFonts w:cs="Times New Roman"/>
        </w:rPr>
        <w:t xml:space="preserve">. </w:t>
      </w:r>
    </w:p>
    <w:p w:rsidR="00E27427" w:rsidRPr="003527C4" w:rsidRDefault="00E27427" w:rsidP="00E27427">
      <w:pPr>
        <w:jc w:val="both"/>
        <w:rPr>
          <w:rFonts w:cs="Times New Roman"/>
        </w:rPr>
      </w:pPr>
    </w:p>
    <w:p w:rsidR="00E27427" w:rsidRPr="003527C4" w:rsidRDefault="00166C81" w:rsidP="00E27427">
      <w:pPr>
        <w:jc w:val="both"/>
        <w:rPr>
          <w:rFonts w:cs="Times New Roman"/>
        </w:rPr>
      </w:pPr>
      <w:r>
        <w:t xml:space="preserve">Rozvoj a prohlubování mezinárodní spolupráce ČR ve výzkumu a vývoji podporuje </w:t>
      </w:r>
      <w:r w:rsidR="00BA69B2">
        <w:t xml:space="preserve">dále </w:t>
      </w:r>
      <w:r w:rsidR="003B3C1C">
        <w:t xml:space="preserve">MŠMT </w:t>
      </w:r>
      <w:r>
        <w:t>prostřednictvím několika programů výzkumu</w:t>
      </w:r>
      <w:r w:rsidR="00EA01F4">
        <w:t>,</w:t>
      </w:r>
      <w:r>
        <w:t xml:space="preserve"> vývoje </w:t>
      </w:r>
      <w:r w:rsidR="00EA01F4">
        <w:t xml:space="preserve">a inovací </w:t>
      </w:r>
      <w:r>
        <w:t xml:space="preserve">zaměřených na podporu zapojení do mezinárodní výzkumné infrastruktury i projektové financování výzkumných týmů. </w:t>
      </w:r>
      <w:r w:rsidRPr="0047331B">
        <w:t>Program</w:t>
      </w:r>
      <w:r w:rsidRPr="009E3574">
        <w:rPr>
          <w:b/>
        </w:rPr>
        <w:t xml:space="preserve"> INGO</w:t>
      </w:r>
      <w:r w:rsidR="00263D97">
        <w:rPr>
          <w:b/>
        </w:rPr>
        <w:t> </w:t>
      </w:r>
      <w:r w:rsidRPr="009E3574">
        <w:rPr>
          <w:b/>
        </w:rPr>
        <w:t>II</w:t>
      </w:r>
      <w:r w:rsidRPr="009E3574">
        <w:t xml:space="preserve"> je nástrojem podpory účasti českých výzkumných organizací v aktivitách evropských i mimoevropských nevládních výzkumných organizací.</w:t>
      </w:r>
      <w:r>
        <w:t xml:space="preserve"> </w:t>
      </w:r>
      <w:r w:rsidRPr="0047331B">
        <w:t>Program</w:t>
      </w:r>
      <w:r w:rsidRPr="0047331B">
        <w:rPr>
          <w:b/>
        </w:rPr>
        <w:t xml:space="preserve"> COST CZ</w:t>
      </w:r>
      <w:r>
        <w:t xml:space="preserve"> přímo navazuje na mezinárodní program </w:t>
      </w:r>
      <w:r w:rsidRPr="0047331B">
        <w:t>COST (</w:t>
      </w:r>
      <w:proofErr w:type="spellStart"/>
      <w:r w:rsidRPr="0047331B">
        <w:t>European</w:t>
      </w:r>
      <w:proofErr w:type="spellEnd"/>
      <w:r w:rsidRPr="0047331B">
        <w:t xml:space="preserve"> </w:t>
      </w:r>
      <w:proofErr w:type="spellStart"/>
      <w:r w:rsidRPr="0047331B">
        <w:t>Cooperation</w:t>
      </w:r>
      <w:proofErr w:type="spellEnd"/>
      <w:r w:rsidRPr="0047331B">
        <w:t xml:space="preserve"> in Science and Technology) </w:t>
      </w:r>
      <w:r>
        <w:t xml:space="preserve">a zaměřuje se na zvyšování účasti výzkumných týmů </w:t>
      </w:r>
      <w:r w:rsidRPr="0047331B">
        <w:t xml:space="preserve">ČR v mezinárodních projektech výzkumu a vývoje </w:t>
      </w:r>
      <w:r>
        <w:t>(zejména rámcových programech</w:t>
      </w:r>
      <w:r w:rsidR="00EA01F4">
        <w:t xml:space="preserve"> EU</w:t>
      </w:r>
      <w:r>
        <w:t>)</w:t>
      </w:r>
      <w:r w:rsidR="00EA01F4">
        <w:t>, a to</w:t>
      </w:r>
      <w:r>
        <w:t xml:space="preserve"> podporou</w:t>
      </w:r>
      <w:r w:rsidRPr="0047331B">
        <w:t xml:space="preserve"> </w:t>
      </w:r>
      <w:proofErr w:type="spellStart"/>
      <w:r>
        <w:t>networkingu</w:t>
      </w:r>
      <w:proofErr w:type="spellEnd"/>
      <w:r>
        <w:t xml:space="preserve"> a </w:t>
      </w:r>
      <w:r w:rsidRPr="0047331B">
        <w:t>provázání vnitrostátních přípravných výzkumných procesů.</w:t>
      </w:r>
      <w:r>
        <w:t xml:space="preserve"> </w:t>
      </w:r>
      <w:r w:rsidRPr="0047331B">
        <w:t>Zapoj</w:t>
      </w:r>
      <w:r>
        <w:t>ování</w:t>
      </w:r>
      <w:r w:rsidRPr="0047331B">
        <w:t xml:space="preserve"> českých průmyslových podniků</w:t>
      </w:r>
      <w:r>
        <w:t>, ale i</w:t>
      </w:r>
      <w:r w:rsidR="00EA01F4">
        <w:t> </w:t>
      </w:r>
      <w:r>
        <w:t>výzkumných organizací</w:t>
      </w:r>
      <w:r w:rsidRPr="0047331B">
        <w:t xml:space="preserve"> do mezinárodní spolupráce v</w:t>
      </w:r>
      <w:r w:rsidR="00EA01F4">
        <w:t xml:space="preserve"> oblastech </w:t>
      </w:r>
      <w:r w:rsidRPr="0047331B">
        <w:t xml:space="preserve">aplikovaném výzkumu </w:t>
      </w:r>
      <w:r>
        <w:t xml:space="preserve">a vývoji je </w:t>
      </w:r>
      <w:r w:rsidRPr="0047331B">
        <w:t>podpor</w:t>
      </w:r>
      <w:r>
        <w:t>ován</w:t>
      </w:r>
      <w:r w:rsidRPr="0047331B">
        <w:t xml:space="preserve"> prostřednictvím programu </w:t>
      </w:r>
      <w:r w:rsidRPr="0047331B">
        <w:rPr>
          <w:b/>
        </w:rPr>
        <w:t>EUREKA CZ</w:t>
      </w:r>
      <w:r>
        <w:t xml:space="preserve">, který navazuje na mezinárodní program EUREKA. V rámci dvoustranné spolupráce ve výzkumu a vývoji poskytuje </w:t>
      </w:r>
      <w:r w:rsidR="00BA69B2">
        <w:t>MŠMT</w:t>
      </w:r>
      <w:r>
        <w:t xml:space="preserve"> podporu na </w:t>
      </w:r>
      <w:r w:rsidR="00EA01F4">
        <w:t>bilaterální</w:t>
      </w:r>
      <w:r>
        <w:t xml:space="preserve"> projekty základního a aplikovaného výzkumu prostřednictvím programů </w:t>
      </w:r>
      <w:r w:rsidRPr="00C9772A">
        <w:rPr>
          <w:b/>
        </w:rPr>
        <w:t>KONTAKT II</w:t>
      </w:r>
      <w:r>
        <w:t xml:space="preserve">, </w:t>
      </w:r>
      <w:r w:rsidRPr="00C9772A">
        <w:rPr>
          <w:b/>
        </w:rPr>
        <w:t>GESHER/MOST</w:t>
      </w:r>
      <w:r>
        <w:t xml:space="preserve"> a aktivity </w:t>
      </w:r>
      <w:r w:rsidRPr="00C9772A">
        <w:rPr>
          <w:b/>
        </w:rPr>
        <w:t>MOBILITY</w:t>
      </w:r>
      <w:r>
        <w:t xml:space="preserve">. </w:t>
      </w:r>
      <w:r w:rsidR="00E27427" w:rsidRPr="003527C4">
        <w:rPr>
          <w:rFonts w:cs="Times New Roman"/>
        </w:rPr>
        <w:t xml:space="preserve">Specifickým nástrojem bilaterální spolupráce je poté </w:t>
      </w:r>
      <w:r w:rsidR="00E27427" w:rsidRPr="003527C4">
        <w:rPr>
          <w:rFonts w:cs="Times New Roman"/>
          <w:b/>
        </w:rPr>
        <w:t>Česko-norský výzkumný program</w:t>
      </w:r>
      <w:r w:rsidR="00E27427" w:rsidRPr="003527C4">
        <w:rPr>
          <w:rFonts w:cs="Times New Roman"/>
        </w:rPr>
        <w:t xml:space="preserve"> spočívající ve využití prostředků finančních mechanismů EHP/Norsko.   </w:t>
      </w:r>
      <w:r w:rsidR="00E27427" w:rsidRPr="003527C4">
        <w:rPr>
          <w:rFonts w:cs="Times New Roman"/>
          <w:b/>
          <w:u w:val="single"/>
        </w:rPr>
        <w:t xml:space="preserve"> </w:t>
      </w:r>
    </w:p>
    <w:p w:rsidR="00FC2217" w:rsidRPr="003527C4" w:rsidRDefault="000E44DB" w:rsidP="00BB13CC">
      <w:pPr>
        <w:pStyle w:val="Nadpis3"/>
        <w:numPr>
          <w:ilvl w:val="3"/>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Mezinárodní granty v centrech OP </w:t>
      </w:r>
      <w:proofErr w:type="spellStart"/>
      <w:r w:rsidRPr="003527C4">
        <w:rPr>
          <w:rFonts w:ascii="Arial" w:hAnsi="Arial" w:cs="Arial"/>
          <w:color w:val="000000" w:themeColor="text1"/>
          <w:sz w:val="20"/>
          <w:szCs w:val="20"/>
        </w:rPr>
        <w:t>VaVpI</w:t>
      </w:r>
      <w:proofErr w:type="spellEnd"/>
    </w:p>
    <w:p w:rsidR="000E44DB" w:rsidRPr="003527C4" w:rsidRDefault="000E44DB" w:rsidP="000E44DB"/>
    <w:p w:rsidR="005A15EE" w:rsidRPr="003527C4" w:rsidRDefault="005A15EE" w:rsidP="005A15EE">
      <w:pPr>
        <w:jc w:val="both"/>
        <w:rPr>
          <w:color w:val="000000"/>
        </w:rPr>
      </w:pPr>
      <w:r w:rsidRPr="003527C4">
        <w:rPr>
          <w:color w:val="000000"/>
        </w:rPr>
        <w:t xml:space="preserve">V rámci evaluací 17 center OP </w:t>
      </w:r>
      <w:proofErr w:type="spellStart"/>
      <w:r w:rsidRPr="003527C4">
        <w:rPr>
          <w:color w:val="000000"/>
        </w:rPr>
        <w:t>VaVpI</w:t>
      </w:r>
      <w:proofErr w:type="spellEnd"/>
      <w:r w:rsidRPr="003527C4">
        <w:rPr>
          <w:color w:val="000000"/>
        </w:rPr>
        <w:t xml:space="preserve"> bylo zjištěno, že financování z mezinárodních grantů (především 7. Rámcový program a </w:t>
      </w:r>
      <w:proofErr w:type="spellStart"/>
      <w:r w:rsidRPr="003527C4">
        <w:rPr>
          <w:color w:val="000000"/>
        </w:rPr>
        <w:t>Horizon</w:t>
      </w:r>
      <w:proofErr w:type="spellEnd"/>
      <w:r w:rsidRPr="003527C4">
        <w:rPr>
          <w:color w:val="000000"/>
        </w:rPr>
        <w:t xml:space="preserve"> 2020) není v současné době centry vnímáno jako realistické, důkazem čehož je i nízká úspěšnost (cca 10</w:t>
      </w:r>
      <w:r w:rsidR="000E078B">
        <w:rPr>
          <w:color w:val="000000"/>
        </w:rPr>
        <w:t xml:space="preserve"> </w:t>
      </w:r>
      <w:r w:rsidRPr="003527C4">
        <w:rPr>
          <w:color w:val="000000"/>
        </w:rPr>
        <w:t xml:space="preserve">%) projektových žádostí. </w:t>
      </w:r>
    </w:p>
    <w:p w:rsidR="005A15EE" w:rsidRPr="003527C4" w:rsidRDefault="005A15EE" w:rsidP="005A15EE">
      <w:pPr>
        <w:jc w:val="both"/>
        <w:rPr>
          <w:color w:val="000000"/>
        </w:rPr>
      </w:pPr>
    </w:p>
    <w:p w:rsidR="005A15EE" w:rsidRPr="003527C4" w:rsidRDefault="005A15EE" w:rsidP="005A15EE">
      <w:pPr>
        <w:jc w:val="both"/>
        <w:rPr>
          <w:color w:val="000000" w:themeColor="text1"/>
        </w:rPr>
      </w:pPr>
      <w:r w:rsidRPr="003527C4">
        <w:rPr>
          <w:color w:val="000000" w:themeColor="text1"/>
        </w:rPr>
        <w:t>Řada příjemců v</w:t>
      </w:r>
      <w:r w:rsidR="00B24892" w:rsidRPr="003527C4">
        <w:rPr>
          <w:color w:val="000000" w:themeColor="text1"/>
        </w:rPr>
        <w:t> počáteční fázi realizace</w:t>
      </w:r>
      <w:r w:rsidRPr="003527C4">
        <w:rPr>
          <w:color w:val="000000" w:themeColor="text1"/>
        </w:rPr>
        <w:t xml:space="preserve"> nečerpá žádné mezinárodní granty a ve chvíli kdy </w:t>
      </w:r>
      <w:proofErr w:type="spellStart"/>
      <w:r w:rsidRPr="003527C4">
        <w:rPr>
          <w:color w:val="000000" w:themeColor="text1"/>
        </w:rPr>
        <w:t>VaV</w:t>
      </w:r>
      <w:proofErr w:type="spellEnd"/>
      <w:r w:rsidR="00A53AFD">
        <w:rPr>
          <w:color w:val="000000" w:themeColor="text1"/>
        </w:rPr>
        <w:t> </w:t>
      </w:r>
      <w:r w:rsidRPr="003527C4">
        <w:rPr>
          <w:color w:val="000000" w:themeColor="text1"/>
        </w:rPr>
        <w:t xml:space="preserve">centra zahájí svou činnost, nelze reálně očekávat prudký nárůst příjmů z mezinárodních zdrojů (kde jsou navíc subjekty z ČR, až na ojedinělé výjimky, velmi málo úspěšné i ve srovnání s dalšími zeměmi). </w:t>
      </w:r>
      <w:r w:rsidRPr="003527C4">
        <w:rPr>
          <w:b/>
          <w:color w:val="000000" w:themeColor="text1"/>
        </w:rPr>
        <w:t>V roce 2015 se předpokládá nárůst objemu prostředků získaných z mezinárodních grantů o 3</w:t>
      </w:r>
      <w:r w:rsidR="00A44EF8">
        <w:rPr>
          <w:b/>
          <w:color w:val="000000" w:themeColor="text1"/>
        </w:rPr>
        <w:t>9</w:t>
      </w:r>
      <w:r w:rsidRPr="003527C4">
        <w:rPr>
          <w:b/>
          <w:color w:val="000000" w:themeColor="text1"/>
        </w:rPr>
        <w:t>0 milionů Kč a neustále poroste až k 7</w:t>
      </w:r>
      <w:r w:rsidR="00A44EF8">
        <w:rPr>
          <w:b/>
          <w:color w:val="000000" w:themeColor="text1"/>
        </w:rPr>
        <w:t>1</w:t>
      </w:r>
      <w:r w:rsidRPr="003527C4">
        <w:rPr>
          <w:b/>
          <w:color w:val="000000" w:themeColor="text1"/>
        </w:rPr>
        <w:t>0 mil. Kč v roce 20</w:t>
      </w:r>
      <w:r w:rsidR="00A44EF8">
        <w:rPr>
          <w:b/>
          <w:color w:val="000000" w:themeColor="text1"/>
        </w:rPr>
        <w:t>18</w:t>
      </w:r>
      <w:r w:rsidR="008501B3">
        <w:rPr>
          <w:rStyle w:val="Znakapoznpodarou"/>
          <w:b/>
          <w:color w:val="000000" w:themeColor="text1"/>
        </w:rPr>
        <w:footnoteReference w:id="11"/>
      </w:r>
      <w:r w:rsidRPr="003527C4">
        <w:rPr>
          <w:b/>
          <w:color w:val="000000" w:themeColor="text1"/>
        </w:rPr>
        <w:t xml:space="preserve">. Opět lze vyslovit důvodné pochybnosti, zda příjemci budou schopni získávat náhle o </w:t>
      </w:r>
      <w:r w:rsidR="00A44EF8">
        <w:rPr>
          <w:b/>
          <w:color w:val="000000" w:themeColor="text1"/>
        </w:rPr>
        <w:t>48</w:t>
      </w:r>
      <w:r w:rsidRPr="003527C4">
        <w:rPr>
          <w:b/>
          <w:color w:val="000000" w:themeColor="text1"/>
        </w:rPr>
        <w:t>0</w:t>
      </w:r>
      <w:r w:rsidR="00A44EF8">
        <w:rPr>
          <w:b/>
          <w:color w:val="000000" w:themeColor="text1"/>
        </w:rPr>
        <w:t xml:space="preserve"> </w:t>
      </w:r>
      <w:r w:rsidRPr="003527C4">
        <w:rPr>
          <w:b/>
          <w:color w:val="000000" w:themeColor="text1"/>
        </w:rPr>
        <w:t>milionů korun ročně více než dnes.</w:t>
      </w:r>
    </w:p>
    <w:p w:rsidR="005A15EE" w:rsidRPr="003527C4" w:rsidRDefault="005A15EE" w:rsidP="00322C99">
      <w:pPr>
        <w:jc w:val="both"/>
        <w:rPr>
          <w:color w:val="000000"/>
        </w:rPr>
      </w:pPr>
    </w:p>
    <w:p w:rsidR="00175B42" w:rsidRPr="003527C4" w:rsidRDefault="00175B42" w:rsidP="009A5A42">
      <w:pPr>
        <w:jc w:val="both"/>
        <w:rPr>
          <w:color w:val="000000" w:themeColor="text1"/>
        </w:rPr>
      </w:pPr>
    </w:p>
    <w:p w:rsidR="00BB55FB" w:rsidRPr="003527C4" w:rsidRDefault="00C452DE" w:rsidP="00BB13CC">
      <w:pPr>
        <w:pStyle w:val="Nadpis3"/>
        <w:numPr>
          <w:ilvl w:val="2"/>
          <w:numId w:val="2"/>
        </w:numPr>
        <w:rPr>
          <w:rFonts w:ascii="Arial" w:hAnsi="Arial" w:cs="Arial"/>
          <w:color w:val="000000" w:themeColor="text1"/>
          <w:sz w:val="20"/>
          <w:szCs w:val="20"/>
        </w:rPr>
      </w:pPr>
      <w:r w:rsidRPr="003527C4">
        <w:rPr>
          <w:rFonts w:ascii="Arial" w:hAnsi="Arial" w:cs="Arial"/>
          <w:color w:val="000000" w:themeColor="text1"/>
          <w:sz w:val="20"/>
          <w:szCs w:val="20"/>
        </w:rPr>
        <w:t>Hospod</w:t>
      </w:r>
      <w:r w:rsidR="00850D5E" w:rsidRPr="003527C4">
        <w:rPr>
          <w:rFonts w:ascii="Arial" w:hAnsi="Arial" w:cs="Arial"/>
          <w:color w:val="000000" w:themeColor="text1"/>
          <w:sz w:val="20"/>
          <w:szCs w:val="20"/>
        </w:rPr>
        <w:t xml:space="preserve">ářská činnost center </w:t>
      </w:r>
      <w:r w:rsidR="00A20AE1">
        <w:rPr>
          <w:rFonts w:ascii="Arial" w:hAnsi="Arial" w:cs="Arial"/>
          <w:color w:val="000000" w:themeColor="text1"/>
          <w:sz w:val="20"/>
          <w:szCs w:val="20"/>
        </w:rPr>
        <w:t xml:space="preserve">- </w:t>
      </w:r>
      <w:r w:rsidR="00850D5E" w:rsidRPr="003527C4">
        <w:rPr>
          <w:rFonts w:ascii="Arial" w:hAnsi="Arial" w:cs="Arial"/>
          <w:color w:val="000000" w:themeColor="text1"/>
          <w:sz w:val="20"/>
          <w:szCs w:val="20"/>
        </w:rPr>
        <w:t>smluvní vý</w:t>
      </w:r>
      <w:r w:rsidRPr="003527C4">
        <w:rPr>
          <w:rFonts w:ascii="Arial" w:hAnsi="Arial" w:cs="Arial"/>
          <w:color w:val="000000" w:themeColor="text1"/>
          <w:sz w:val="20"/>
          <w:szCs w:val="20"/>
        </w:rPr>
        <w:t>zkum</w:t>
      </w:r>
      <w:r w:rsidR="00A20AE1">
        <w:rPr>
          <w:rFonts w:ascii="Arial" w:hAnsi="Arial" w:cs="Arial"/>
          <w:color w:val="000000" w:themeColor="text1"/>
          <w:sz w:val="20"/>
          <w:szCs w:val="20"/>
        </w:rPr>
        <w:t xml:space="preserve"> a</w:t>
      </w:r>
      <w:r w:rsidRPr="003527C4">
        <w:rPr>
          <w:rFonts w:ascii="Arial" w:hAnsi="Arial" w:cs="Arial"/>
          <w:color w:val="000000" w:themeColor="text1"/>
          <w:sz w:val="20"/>
          <w:szCs w:val="20"/>
        </w:rPr>
        <w:t xml:space="preserve"> výzkum</w:t>
      </w:r>
      <w:r w:rsidR="00EA7B04" w:rsidRPr="003527C4">
        <w:rPr>
          <w:rFonts w:ascii="Arial" w:hAnsi="Arial" w:cs="Arial"/>
          <w:color w:val="000000" w:themeColor="text1"/>
          <w:sz w:val="20"/>
          <w:szCs w:val="20"/>
        </w:rPr>
        <w:t xml:space="preserve"> ve spolu</w:t>
      </w:r>
      <w:r w:rsidR="002B7526" w:rsidRPr="003527C4">
        <w:rPr>
          <w:rFonts w:ascii="Arial" w:hAnsi="Arial" w:cs="Arial"/>
          <w:color w:val="000000" w:themeColor="text1"/>
          <w:sz w:val="20"/>
          <w:szCs w:val="20"/>
        </w:rPr>
        <w:t>p</w:t>
      </w:r>
      <w:r w:rsidR="00EA7B04" w:rsidRPr="003527C4">
        <w:rPr>
          <w:rFonts w:ascii="Arial" w:hAnsi="Arial" w:cs="Arial"/>
          <w:color w:val="000000" w:themeColor="text1"/>
          <w:sz w:val="20"/>
          <w:szCs w:val="20"/>
        </w:rPr>
        <w:t>ráci</w:t>
      </w:r>
      <w:r w:rsidR="00BB55FB" w:rsidRPr="003527C4">
        <w:rPr>
          <w:rFonts w:ascii="Arial" w:hAnsi="Arial" w:cs="Arial"/>
          <w:color w:val="000000" w:themeColor="text1"/>
          <w:sz w:val="20"/>
          <w:szCs w:val="20"/>
        </w:rPr>
        <w:t xml:space="preserve"> </w:t>
      </w:r>
    </w:p>
    <w:p w:rsidR="00BC3A4C" w:rsidRPr="003527C4" w:rsidRDefault="00BC3A4C" w:rsidP="00BC3A4C"/>
    <w:p w:rsidR="008C473B" w:rsidRPr="003527C4" w:rsidRDefault="008C473B" w:rsidP="008C473B">
      <w:pPr>
        <w:pStyle w:val="Default"/>
        <w:jc w:val="both"/>
        <w:rPr>
          <w:rFonts w:ascii="Times New Roman" w:hAnsi="Times New Roman"/>
        </w:rPr>
      </w:pPr>
      <w:r w:rsidRPr="003527C4">
        <w:rPr>
          <w:rFonts w:ascii="Times New Roman" w:hAnsi="Times New Roman"/>
        </w:rPr>
        <w:t xml:space="preserve">Téměř všechna </w:t>
      </w:r>
      <w:proofErr w:type="spellStart"/>
      <w:r w:rsidRPr="003527C4">
        <w:rPr>
          <w:rFonts w:ascii="Times New Roman" w:hAnsi="Times New Roman"/>
        </w:rPr>
        <w:t>VaV</w:t>
      </w:r>
      <w:proofErr w:type="spellEnd"/>
      <w:r w:rsidRPr="003527C4">
        <w:rPr>
          <w:rFonts w:ascii="Times New Roman" w:hAnsi="Times New Roman"/>
        </w:rPr>
        <w:t xml:space="preserve"> centra</w:t>
      </w:r>
      <w:r w:rsidR="007E3002" w:rsidRPr="003527C4">
        <w:rPr>
          <w:rFonts w:ascii="Times New Roman" w:hAnsi="Times New Roman"/>
        </w:rPr>
        <w:t xml:space="preserve"> podpořená z</w:t>
      </w:r>
      <w:r w:rsidR="00826649" w:rsidRPr="003527C4">
        <w:rPr>
          <w:rFonts w:ascii="Times New Roman" w:hAnsi="Times New Roman"/>
        </w:rPr>
        <w:t> </w:t>
      </w:r>
      <w:r w:rsidR="007E3002" w:rsidRPr="003527C4">
        <w:rPr>
          <w:rFonts w:ascii="Times New Roman" w:hAnsi="Times New Roman"/>
        </w:rPr>
        <w:t>PO</w:t>
      </w:r>
      <w:r w:rsidR="00826649" w:rsidRPr="003527C4">
        <w:rPr>
          <w:rFonts w:ascii="Times New Roman" w:hAnsi="Times New Roman"/>
        </w:rPr>
        <w:t xml:space="preserve"> </w:t>
      </w:r>
      <w:r w:rsidR="007E3002" w:rsidRPr="003527C4">
        <w:rPr>
          <w:rFonts w:ascii="Times New Roman" w:hAnsi="Times New Roman"/>
        </w:rPr>
        <w:t>2</w:t>
      </w:r>
      <w:r w:rsidRPr="003527C4">
        <w:rPr>
          <w:rFonts w:ascii="Times New Roman" w:hAnsi="Times New Roman"/>
        </w:rPr>
        <w:t xml:space="preserve"> mají </w:t>
      </w:r>
      <w:r w:rsidRPr="003527C4">
        <w:rPr>
          <w:rStyle w:val="Odkaznakoment"/>
        </w:rPr>
        <w:t> </w:t>
      </w:r>
      <w:r w:rsidRPr="003527C4">
        <w:rPr>
          <w:rFonts w:ascii="Times New Roman" w:hAnsi="Times New Roman"/>
        </w:rPr>
        <w:t xml:space="preserve"> </w:t>
      </w:r>
      <w:r w:rsidR="00B55E47" w:rsidRPr="003527C4">
        <w:rPr>
          <w:rFonts w:ascii="Times New Roman" w:hAnsi="Times New Roman"/>
        </w:rPr>
        <w:t xml:space="preserve">prioritní </w:t>
      </w:r>
      <w:r w:rsidRPr="003527C4">
        <w:rPr>
          <w:rFonts w:ascii="Times New Roman" w:hAnsi="Times New Roman"/>
        </w:rPr>
        <w:t xml:space="preserve">záměr maximalizovat možnosti financování z aplikační sféry, ať už z průmyslu (např. vývoj nových technologií) nebo poskytováním služeb (např. zařízení pro klinické testování). </w:t>
      </w:r>
      <w:r w:rsidR="00B55E47" w:rsidRPr="003527C4">
        <w:rPr>
          <w:rFonts w:ascii="Times New Roman" w:hAnsi="Times New Roman"/>
        </w:rPr>
        <w:t xml:space="preserve">V důsledku </w:t>
      </w:r>
      <w:r w:rsidRPr="003527C4">
        <w:rPr>
          <w:rFonts w:ascii="Times New Roman" w:hAnsi="Times New Roman"/>
        </w:rPr>
        <w:t>orientac</w:t>
      </w:r>
      <w:r w:rsidR="00B55E47" w:rsidRPr="003527C4">
        <w:rPr>
          <w:rFonts w:ascii="Times New Roman" w:hAnsi="Times New Roman"/>
        </w:rPr>
        <w:t>e</w:t>
      </w:r>
      <w:r w:rsidRPr="003527C4">
        <w:rPr>
          <w:rFonts w:ascii="Times New Roman" w:hAnsi="Times New Roman"/>
        </w:rPr>
        <w:t xml:space="preserve"> </w:t>
      </w:r>
      <w:r w:rsidR="007E3002" w:rsidRPr="003527C4">
        <w:rPr>
          <w:rFonts w:ascii="Times New Roman" w:hAnsi="Times New Roman"/>
        </w:rPr>
        <w:t>center PO</w:t>
      </w:r>
      <w:r w:rsidR="000456FE" w:rsidRPr="003527C4">
        <w:rPr>
          <w:rFonts w:ascii="Times New Roman" w:hAnsi="Times New Roman"/>
        </w:rPr>
        <w:t xml:space="preserve"> </w:t>
      </w:r>
      <w:r w:rsidR="007E3002" w:rsidRPr="003527C4">
        <w:rPr>
          <w:rFonts w:ascii="Times New Roman" w:hAnsi="Times New Roman"/>
        </w:rPr>
        <w:t xml:space="preserve">2 </w:t>
      </w:r>
      <w:r w:rsidRPr="003527C4">
        <w:rPr>
          <w:rFonts w:ascii="Times New Roman" w:hAnsi="Times New Roman"/>
        </w:rPr>
        <w:t>na aplikovaný výzkum</w:t>
      </w:r>
      <w:r w:rsidR="00B55E47" w:rsidRPr="003527C4">
        <w:rPr>
          <w:rFonts w:ascii="Times New Roman" w:hAnsi="Times New Roman"/>
        </w:rPr>
        <w:t>, je takový postup</w:t>
      </w:r>
      <w:r w:rsidRPr="003527C4">
        <w:rPr>
          <w:rFonts w:ascii="Times New Roman" w:hAnsi="Times New Roman"/>
        </w:rPr>
        <w:t xml:space="preserve"> </w:t>
      </w:r>
      <w:r w:rsidR="00B55E47" w:rsidRPr="003527C4">
        <w:rPr>
          <w:rFonts w:ascii="Times New Roman" w:hAnsi="Times New Roman"/>
        </w:rPr>
        <w:t xml:space="preserve">logický </w:t>
      </w:r>
      <w:r w:rsidRPr="003527C4">
        <w:rPr>
          <w:rFonts w:ascii="Times New Roman" w:hAnsi="Times New Roman"/>
        </w:rPr>
        <w:t>a žádoucí. Ačkoliv je zde velký prostor pro zlepšení v</w:t>
      </w:r>
      <w:r w:rsidR="007E3002" w:rsidRPr="003527C4">
        <w:rPr>
          <w:rFonts w:ascii="Times New Roman" w:hAnsi="Times New Roman"/>
        </w:rPr>
        <w:t>e způsobech, jakým</w:t>
      </w:r>
      <w:r w:rsidR="00B55E47" w:rsidRPr="003527C4">
        <w:rPr>
          <w:rFonts w:ascii="Times New Roman" w:hAnsi="Times New Roman"/>
        </w:rPr>
        <w:t xml:space="preserve"> </w:t>
      </w:r>
      <w:proofErr w:type="spellStart"/>
      <w:r w:rsidR="00B55E47" w:rsidRPr="003527C4">
        <w:rPr>
          <w:rFonts w:ascii="Times New Roman" w:hAnsi="Times New Roman"/>
        </w:rPr>
        <w:t>VaV</w:t>
      </w:r>
      <w:proofErr w:type="spellEnd"/>
      <w:r w:rsidR="007E3002" w:rsidRPr="003527C4">
        <w:rPr>
          <w:rFonts w:ascii="Times New Roman" w:hAnsi="Times New Roman"/>
        </w:rPr>
        <w:t xml:space="preserve"> centra řídí</w:t>
      </w:r>
      <w:r w:rsidRPr="003527C4">
        <w:rPr>
          <w:rFonts w:ascii="Times New Roman" w:hAnsi="Times New Roman"/>
        </w:rPr>
        <w:t xml:space="preserve"> své vztahy s aplikační sférou, </w:t>
      </w:r>
      <w:r w:rsidR="00FC2217" w:rsidRPr="003527C4">
        <w:rPr>
          <w:rFonts w:ascii="Times New Roman" w:hAnsi="Times New Roman"/>
        </w:rPr>
        <w:t>je</w:t>
      </w:r>
      <w:r w:rsidRPr="003527C4">
        <w:rPr>
          <w:rFonts w:ascii="Times New Roman" w:hAnsi="Times New Roman"/>
        </w:rPr>
        <w:t xml:space="preserve"> zřejmé, že smluvní výzkum by měl být centrálním pilířem udržitelnosti</w:t>
      </w:r>
      <w:r w:rsidR="00B55E47" w:rsidRPr="003527C4">
        <w:rPr>
          <w:rFonts w:ascii="Times New Roman" w:hAnsi="Times New Roman"/>
        </w:rPr>
        <w:t xml:space="preserve"> </w:t>
      </w:r>
      <w:proofErr w:type="spellStart"/>
      <w:r w:rsidR="00B55E47" w:rsidRPr="003527C4">
        <w:rPr>
          <w:rFonts w:ascii="Times New Roman" w:hAnsi="Times New Roman"/>
        </w:rPr>
        <w:t>VaV</w:t>
      </w:r>
      <w:proofErr w:type="spellEnd"/>
      <w:r w:rsidRPr="003527C4">
        <w:rPr>
          <w:rFonts w:ascii="Times New Roman" w:hAnsi="Times New Roman"/>
        </w:rPr>
        <w:t xml:space="preserve"> center v dlouhodobém horizontu. </w:t>
      </w:r>
    </w:p>
    <w:p w:rsidR="008C473B" w:rsidRPr="003527C4" w:rsidRDefault="008C473B" w:rsidP="008C473B">
      <w:pPr>
        <w:pStyle w:val="Default"/>
        <w:jc w:val="both"/>
        <w:rPr>
          <w:rFonts w:ascii="Times New Roman" w:hAnsi="Times New Roman"/>
        </w:rPr>
      </w:pPr>
      <w:r w:rsidRPr="003527C4">
        <w:rPr>
          <w:rFonts w:ascii="Times New Roman" w:hAnsi="Times New Roman"/>
        </w:rPr>
        <w:t xml:space="preserve">OP </w:t>
      </w:r>
      <w:proofErr w:type="spellStart"/>
      <w:r w:rsidRPr="003527C4">
        <w:rPr>
          <w:rFonts w:ascii="Times New Roman" w:hAnsi="Times New Roman"/>
        </w:rPr>
        <w:t>VaVpI</w:t>
      </w:r>
      <w:proofErr w:type="spellEnd"/>
      <w:r w:rsidRPr="003527C4">
        <w:rPr>
          <w:rFonts w:ascii="Times New Roman" w:hAnsi="Times New Roman"/>
        </w:rPr>
        <w:t xml:space="preserve"> ve své programové dokumentaci věnuje náležitou pozornost orientaci na výkonnost s cílem dosáhnout předem stanovený podíl výnosů ze smluvních aktivit (tj. smluvní výzkum a služby, které představují nejvýznamnější formu spolupráce mezi </w:t>
      </w:r>
      <w:proofErr w:type="spellStart"/>
      <w:r w:rsidRPr="003527C4">
        <w:rPr>
          <w:rFonts w:ascii="Times New Roman" w:hAnsi="Times New Roman"/>
        </w:rPr>
        <w:t>VaV</w:t>
      </w:r>
      <w:proofErr w:type="spellEnd"/>
      <w:r w:rsidRPr="003527C4">
        <w:rPr>
          <w:rFonts w:ascii="Times New Roman" w:hAnsi="Times New Roman"/>
        </w:rPr>
        <w:t xml:space="preserve"> sektorem a aplikační sférou). Pod</w:t>
      </w:r>
      <w:r w:rsidR="00FC2217" w:rsidRPr="003527C4">
        <w:rPr>
          <w:rFonts w:ascii="Times New Roman" w:hAnsi="Times New Roman"/>
        </w:rPr>
        <w:t xml:space="preserve">pora z OP </w:t>
      </w:r>
      <w:proofErr w:type="spellStart"/>
      <w:r w:rsidR="00FC2217" w:rsidRPr="003527C4">
        <w:rPr>
          <w:rFonts w:ascii="Times New Roman" w:hAnsi="Times New Roman"/>
        </w:rPr>
        <w:t>VaVpI</w:t>
      </w:r>
      <w:proofErr w:type="spellEnd"/>
      <w:r w:rsidR="00FC2217" w:rsidRPr="003527C4">
        <w:rPr>
          <w:rFonts w:ascii="Times New Roman" w:hAnsi="Times New Roman"/>
        </w:rPr>
        <w:t xml:space="preserve"> je směřována do </w:t>
      </w:r>
      <w:r w:rsidRPr="003527C4">
        <w:rPr>
          <w:rFonts w:ascii="Times New Roman" w:hAnsi="Times New Roman"/>
        </w:rPr>
        <w:t xml:space="preserve">aplikačně orientovaných, často více sektorově zaměřených výzkumných institucí, které </w:t>
      </w:r>
      <w:r w:rsidR="00FC2217" w:rsidRPr="003527C4">
        <w:rPr>
          <w:rFonts w:ascii="Times New Roman" w:hAnsi="Times New Roman"/>
        </w:rPr>
        <w:t>mají potenciál rozvíjet</w:t>
      </w:r>
      <w:r w:rsidRPr="003527C4">
        <w:rPr>
          <w:rFonts w:ascii="Times New Roman" w:hAnsi="Times New Roman"/>
        </w:rPr>
        <w:t xml:space="preserve"> silná partnerství s aplikačním sektorem (Regionální </w:t>
      </w:r>
      <w:proofErr w:type="spellStart"/>
      <w:r w:rsidRPr="003527C4">
        <w:rPr>
          <w:rFonts w:ascii="Times New Roman" w:hAnsi="Times New Roman"/>
        </w:rPr>
        <w:t>VaV</w:t>
      </w:r>
      <w:proofErr w:type="spellEnd"/>
      <w:r w:rsidRPr="003527C4">
        <w:rPr>
          <w:rFonts w:ascii="Times New Roman" w:hAnsi="Times New Roman"/>
        </w:rPr>
        <w:t xml:space="preserve"> centra – PO2). </w:t>
      </w:r>
    </w:p>
    <w:p w:rsidR="00D113B4" w:rsidRPr="003527C4" w:rsidRDefault="00D113B4" w:rsidP="008C473B">
      <w:pPr>
        <w:pStyle w:val="Default"/>
        <w:jc w:val="both"/>
        <w:rPr>
          <w:rFonts w:ascii="Times New Roman" w:hAnsi="Times New Roman"/>
        </w:rPr>
      </w:pPr>
    </w:p>
    <w:p w:rsidR="007E3002" w:rsidRPr="003527C4" w:rsidRDefault="00D113B4" w:rsidP="008C473B">
      <w:pPr>
        <w:pStyle w:val="Default"/>
        <w:jc w:val="both"/>
        <w:rPr>
          <w:rFonts w:ascii="Times New Roman" w:hAnsi="Times New Roman"/>
        </w:rPr>
      </w:pPr>
      <w:r w:rsidRPr="003527C4">
        <w:rPr>
          <w:rFonts w:ascii="Times New Roman" w:hAnsi="Times New Roman"/>
        </w:rPr>
        <w:t>V </w:t>
      </w:r>
      <w:r w:rsidR="00175B42" w:rsidRPr="003527C4">
        <w:rPr>
          <w:rFonts w:ascii="Times New Roman" w:hAnsi="Times New Roman"/>
        </w:rPr>
        <w:t>současných</w:t>
      </w:r>
      <w:r w:rsidRPr="003527C4">
        <w:rPr>
          <w:rFonts w:ascii="Times New Roman" w:hAnsi="Times New Roman"/>
        </w:rPr>
        <w:t xml:space="preserve"> podmínkách se</w:t>
      </w:r>
      <w:r w:rsidR="00175B42" w:rsidRPr="003527C4">
        <w:rPr>
          <w:rFonts w:ascii="Times New Roman" w:hAnsi="Times New Roman"/>
        </w:rPr>
        <w:t xml:space="preserve"> nicméně</w:t>
      </w:r>
      <w:r w:rsidRPr="003527C4">
        <w:rPr>
          <w:rFonts w:ascii="Times New Roman" w:hAnsi="Times New Roman"/>
        </w:rPr>
        <w:t xml:space="preserve"> mnoha </w:t>
      </w:r>
      <w:proofErr w:type="spellStart"/>
      <w:r w:rsidRPr="003527C4">
        <w:rPr>
          <w:rFonts w:ascii="Times New Roman" w:hAnsi="Times New Roman"/>
        </w:rPr>
        <w:t>VaV</w:t>
      </w:r>
      <w:proofErr w:type="spellEnd"/>
      <w:r w:rsidRPr="003527C4">
        <w:rPr>
          <w:rFonts w:ascii="Times New Roman" w:hAnsi="Times New Roman"/>
        </w:rPr>
        <w:t xml:space="preserve"> centr</w:t>
      </w:r>
      <w:r w:rsidR="0015496B" w:rsidRPr="003527C4">
        <w:rPr>
          <w:rFonts w:ascii="Times New Roman" w:hAnsi="Times New Roman"/>
        </w:rPr>
        <w:t>ů</w:t>
      </w:r>
      <w:r w:rsidRPr="003527C4">
        <w:rPr>
          <w:rFonts w:ascii="Times New Roman" w:hAnsi="Times New Roman"/>
        </w:rPr>
        <w:t xml:space="preserve">m nedaří </w:t>
      </w:r>
      <w:r w:rsidR="00507B2E">
        <w:rPr>
          <w:rFonts w:ascii="Times New Roman" w:hAnsi="Times New Roman"/>
        </w:rPr>
        <w:t>získávat plánované příjmy ze</w:t>
      </w:r>
      <w:r w:rsidRPr="003527C4">
        <w:rPr>
          <w:rFonts w:ascii="Times New Roman" w:hAnsi="Times New Roman"/>
        </w:rPr>
        <w:t xml:space="preserve"> smluvní</w:t>
      </w:r>
      <w:r w:rsidR="00507B2E">
        <w:rPr>
          <w:rFonts w:ascii="Times New Roman" w:hAnsi="Times New Roman"/>
        </w:rPr>
        <w:t>ho</w:t>
      </w:r>
      <w:r w:rsidRPr="003527C4">
        <w:rPr>
          <w:rFonts w:ascii="Times New Roman" w:hAnsi="Times New Roman"/>
        </w:rPr>
        <w:t xml:space="preserve"> výzkum</w:t>
      </w:r>
      <w:r w:rsidR="00507B2E">
        <w:rPr>
          <w:rFonts w:ascii="Times New Roman" w:hAnsi="Times New Roman"/>
        </w:rPr>
        <w:t>u</w:t>
      </w:r>
      <w:r w:rsidRPr="003527C4">
        <w:rPr>
          <w:rFonts w:ascii="Times New Roman" w:hAnsi="Times New Roman"/>
        </w:rPr>
        <w:t>,</w:t>
      </w:r>
      <w:r w:rsidR="00175B42" w:rsidRPr="003527C4">
        <w:rPr>
          <w:rFonts w:ascii="Times New Roman" w:hAnsi="Times New Roman"/>
        </w:rPr>
        <w:t xml:space="preserve"> který by měl tvořit</w:t>
      </w:r>
      <w:r w:rsidR="00507B2E">
        <w:rPr>
          <w:rFonts w:ascii="Times New Roman" w:hAnsi="Times New Roman"/>
        </w:rPr>
        <w:t xml:space="preserve"> dle Tabulky 2</w:t>
      </w:r>
      <w:r w:rsidR="00175B42" w:rsidRPr="003527C4">
        <w:rPr>
          <w:rFonts w:ascii="Times New Roman" w:hAnsi="Times New Roman"/>
        </w:rPr>
        <w:t xml:space="preserve"> </w:t>
      </w:r>
      <w:r w:rsidR="00BA10C9" w:rsidRPr="003527C4">
        <w:rPr>
          <w:rFonts w:ascii="Times New Roman" w:hAnsi="Times New Roman"/>
        </w:rPr>
        <w:t>cca</w:t>
      </w:r>
      <w:r w:rsidR="00175B42" w:rsidRPr="003527C4">
        <w:rPr>
          <w:rFonts w:ascii="Times New Roman" w:hAnsi="Times New Roman"/>
        </w:rPr>
        <w:t xml:space="preserve"> </w:t>
      </w:r>
      <w:r w:rsidR="00507B2E">
        <w:rPr>
          <w:rFonts w:ascii="Times New Roman" w:hAnsi="Times New Roman"/>
        </w:rPr>
        <w:t>1</w:t>
      </w:r>
      <w:r w:rsidR="00BA10C9" w:rsidRPr="003527C4">
        <w:rPr>
          <w:rFonts w:ascii="Times New Roman" w:hAnsi="Times New Roman"/>
        </w:rPr>
        <w:t>5</w:t>
      </w:r>
      <w:r w:rsidR="00175B42" w:rsidRPr="003527C4">
        <w:rPr>
          <w:rFonts w:ascii="Times New Roman" w:hAnsi="Times New Roman"/>
        </w:rPr>
        <w:t xml:space="preserve">% </w:t>
      </w:r>
      <w:r w:rsidR="00BA10C9" w:rsidRPr="003527C4">
        <w:rPr>
          <w:rFonts w:ascii="Times New Roman" w:hAnsi="Times New Roman"/>
        </w:rPr>
        <w:t xml:space="preserve">ročních </w:t>
      </w:r>
      <w:r w:rsidR="00175B42" w:rsidRPr="003527C4">
        <w:rPr>
          <w:rFonts w:ascii="Times New Roman" w:hAnsi="Times New Roman"/>
        </w:rPr>
        <w:t xml:space="preserve">příjmů </w:t>
      </w:r>
      <w:proofErr w:type="spellStart"/>
      <w:r w:rsidR="00175B42" w:rsidRPr="003527C4">
        <w:rPr>
          <w:rFonts w:ascii="Times New Roman" w:hAnsi="Times New Roman"/>
        </w:rPr>
        <w:t>VaV</w:t>
      </w:r>
      <w:proofErr w:type="spellEnd"/>
      <w:r w:rsidR="00175B42" w:rsidRPr="003527C4">
        <w:rPr>
          <w:rFonts w:ascii="Times New Roman" w:hAnsi="Times New Roman"/>
        </w:rPr>
        <w:t xml:space="preserve"> center</w:t>
      </w:r>
      <w:r w:rsidR="00A31A0E" w:rsidRPr="003527C4">
        <w:rPr>
          <w:rFonts w:ascii="Times New Roman" w:hAnsi="Times New Roman"/>
        </w:rPr>
        <w:t>. P</w:t>
      </w:r>
      <w:r w:rsidR="00F55A11" w:rsidRPr="003527C4">
        <w:rPr>
          <w:rFonts w:ascii="Times New Roman" w:hAnsi="Times New Roman"/>
        </w:rPr>
        <w:t xml:space="preserve">lánované </w:t>
      </w:r>
      <w:r w:rsidR="0073601A" w:rsidRPr="003527C4">
        <w:rPr>
          <w:rFonts w:ascii="Times New Roman" w:hAnsi="Times New Roman"/>
        </w:rPr>
        <w:t xml:space="preserve">procento příjmů ze smluvního výzkumu se výrazně liší </w:t>
      </w:r>
      <w:r w:rsidR="00175B42" w:rsidRPr="003527C4">
        <w:rPr>
          <w:rFonts w:ascii="Times New Roman" w:hAnsi="Times New Roman"/>
        </w:rPr>
        <w:t>v závislosti na výzkumném zaměření</w:t>
      </w:r>
      <w:r w:rsidR="00A31A0E" w:rsidRPr="003527C4">
        <w:rPr>
          <w:rStyle w:val="Znakapoznpodarou"/>
          <w:rFonts w:ascii="Times New Roman" w:hAnsi="Times New Roman"/>
        </w:rPr>
        <w:footnoteReference w:id="12"/>
      </w:r>
      <w:r w:rsidR="00175B42" w:rsidRPr="003527C4">
        <w:rPr>
          <w:rFonts w:ascii="Times New Roman" w:hAnsi="Times New Roman"/>
        </w:rPr>
        <w:t>. N</w:t>
      </w:r>
      <w:r w:rsidRPr="003527C4">
        <w:rPr>
          <w:rFonts w:ascii="Times New Roman" w:hAnsi="Times New Roman"/>
        </w:rPr>
        <w:t xml:space="preserve">ěkterá centra si </w:t>
      </w:r>
      <w:r w:rsidR="008501B3">
        <w:rPr>
          <w:rFonts w:ascii="Times New Roman" w:hAnsi="Times New Roman"/>
        </w:rPr>
        <w:t xml:space="preserve">navíc </w:t>
      </w:r>
      <w:r w:rsidRPr="003527C4">
        <w:rPr>
          <w:rFonts w:ascii="Times New Roman" w:hAnsi="Times New Roman"/>
        </w:rPr>
        <w:t>ve svém a</w:t>
      </w:r>
      <w:r w:rsidR="00175B42" w:rsidRPr="003527C4">
        <w:rPr>
          <w:rFonts w:ascii="Times New Roman" w:hAnsi="Times New Roman"/>
        </w:rPr>
        <w:t xml:space="preserve">plikačním </w:t>
      </w:r>
      <w:r w:rsidR="00B278B5" w:rsidRPr="003527C4">
        <w:rPr>
          <w:rFonts w:ascii="Times New Roman" w:hAnsi="Times New Roman"/>
        </w:rPr>
        <w:t>zaměření</w:t>
      </w:r>
      <w:r w:rsidR="00175B42" w:rsidRPr="003527C4">
        <w:rPr>
          <w:rFonts w:ascii="Times New Roman" w:hAnsi="Times New Roman"/>
        </w:rPr>
        <w:t xml:space="preserve"> konkurují, především v prostoru ČR, proto je </w:t>
      </w:r>
      <w:r w:rsidR="00B278B5" w:rsidRPr="003527C4">
        <w:rPr>
          <w:rFonts w:ascii="Times New Roman" w:hAnsi="Times New Roman"/>
        </w:rPr>
        <w:t>zdůrazňován význam</w:t>
      </w:r>
      <w:r w:rsidR="00175B42" w:rsidRPr="003527C4">
        <w:rPr>
          <w:rFonts w:ascii="Times New Roman" w:hAnsi="Times New Roman"/>
        </w:rPr>
        <w:t xml:space="preserve"> internacionalizace </w:t>
      </w:r>
      <w:proofErr w:type="spellStart"/>
      <w:r w:rsidR="00175B42" w:rsidRPr="003527C4">
        <w:rPr>
          <w:rFonts w:ascii="Times New Roman" w:hAnsi="Times New Roman"/>
        </w:rPr>
        <w:t>VaV</w:t>
      </w:r>
      <w:proofErr w:type="spellEnd"/>
      <w:r w:rsidR="00175B42" w:rsidRPr="003527C4">
        <w:rPr>
          <w:rFonts w:ascii="Times New Roman" w:hAnsi="Times New Roman"/>
        </w:rPr>
        <w:t xml:space="preserve"> center (viz. kapitola 4.4).</w:t>
      </w:r>
    </w:p>
    <w:p w:rsidR="00D113B4" w:rsidRPr="003527C4" w:rsidRDefault="00D113B4" w:rsidP="008C473B">
      <w:pPr>
        <w:pStyle w:val="Default"/>
        <w:jc w:val="both"/>
        <w:rPr>
          <w:rFonts w:ascii="Times New Roman" w:hAnsi="Times New Roman"/>
        </w:rPr>
      </w:pPr>
    </w:p>
    <w:p w:rsidR="007E3002" w:rsidRPr="003527C4" w:rsidRDefault="008501B3" w:rsidP="00525366">
      <w:pPr>
        <w:spacing w:after="200"/>
        <w:jc w:val="both"/>
        <w:rPr>
          <w:rFonts w:eastAsia="Arial, Arial" w:cs="Arial, Arial"/>
          <w:color w:val="000000"/>
        </w:rPr>
      </w:pPr>
      <w:r>
        <w:rPr>
          <w:rFonts w:eastAsia="Arial, Arial" w:cs="Arial, Arial"/>
          <w:color w:val="000000"/>
        </w:rPr>
        <w:t>V</w:t>
      </w:r>
      <w:r w:rsidR="00C84319" w:rsidRPr="003527C4">
        <w:rPr>
          <w:rFonts w:eastAsia="Arial, Arial" w:cs="Arial, Arial"/>
          <w:color w:val="000000"/>
        </w:rPr>
        <w:t xml:space="preserve">ýznamnou skupinou </w:t>
      </w:r>
      <w:proofErr w:type="spellStart"/>
      <w:r>
        <w:rPr>
          <w:rFonts w:eastAsia="Arial, Arial" w:cs="Arial, Arial"/>
          <w:color w:val="000000"/>
        </w:rPr>
        <w:t>VaV</w:t>
      </w:r>
      <w:proofErr w:type="spellEnd"/>
      <w:r>
        <w:rPr>
          <w:rFonts w:eastAsia="Arial, Arial" w:cs="Arial, Arial"/>
          <w:color w:val="000000"/>
        </w:rPr>
        <w:t xml:space="preserve"> center financovaných v rámci OP </w:t>
      </w:r>
      <w:proofErr w:type="spellStart"/>
      <w:r>
        <w:rPr>
          <w:rFonts w:eastAsia="Arial, Arial" w:cs="Arial, Arial"/>
          <w:color w:val="000000"/>
        </w:rPr>
        <w:t>VaVpI</w:t>
      </w:r>
      <w:proofErr w:type="spellEnd"/>
      <w:r>
        <w:rPr>
          <w:rFonts w:eastAsia="Arial, Arial" w:cs="Arial, Arial"/>
          <w:color w:val="000000"/>
        </w:rPr>
        <w:t xml:space="preserve"> </w:t>
      </w:r>
      <w:r w:rsidR="00C84319" w:rsidRPr="003527C4">
        <w:rPr>
          <w:rFonts w:eastAsia="Arial, Arial" w:cs="Arial, Arial"/>
          <w:color w:val="000000"/>
        </w:rPr>
        <w:t>je 8 center excelence podpořených</w:t>
      </w:r>
      <w:r w:rsidR="007E3002" w:rsidRPr="003527C4">
        <w:rPr>
          <w:rFonts w:eastAsia="Arial, Arial" w:cs="Arial, Arial"/>
          <w:color w:val="000000"/>
        </w:rPr>
        <w:t xml:space="preserve"> v rámci PO1</w:t>
      </w:r>
      <w:r w:rsidR="000853B5" w:rsidRPr="003527C4">
        <w:rPr>
          <w:rFonts w:eastAsia="Arial, Arial" w:cs="Arial, Arial"/>
          <w:color w:val="000000"/>
        </w:rPr>
        <w:t>.</w:t>
      </w:r>
      <w:r w:rsidR="007E3002" w:rsidRPr="003527C4">
        <w:rPr>
          <w:rFonts w:eastAsia="Arial, Arial" w:cs="Arial, Arial"/>
          <w:color w:val="000000"/>
        </w:rPr>
        <w:t xml:space="preserve"> </w:t>
      </w:r>
      <w:r w:rsidR="000853B5" w:rsidRPr="003527C4">
        <w:rPr>
          <w:rFonts w:eastAsia="Arial, Arial" w:cs="Arial, Arial"/>
          <w:color w:val="000000"/>
        </w:rPr>
        <w:t>T</w:t>
      </w:r>
      <w:r w:rsidR="007E3002" w:rsidRPr="003527C4">
        <w:rPr>
          <w:rFonts w:eastAsia="Arial, Arial" w:cs="Arial, Arial"/>
          <w:color w:val="000000"/>
        </w:rPr>
        <w:t xml:space="preserve">ato centra </w:t>
      </w:r>
      <w:r w:rsidR="00D5664A" w:rsidRPr="003527C4">
        <w:rPr>
          <w:rFonts w:eastAsia="Arial, Arial" w:cs="Arial, Arial"/>
          <w:color w:val="000000"/>
        </w:rPr>
        <w:t xml:space="preserve">se </w:t>
      </w:r>
      <w:r w:rsidR="007E3002" w:rsidRPr="003527C4">
        <w:rPr>
          <w:rFonts w:eastAsia="Arial, Arial" w:cs="Arial, Arial"/>
          <w:color w:val="000000"/>
        </w:rPr>
        <w:t>zaměřují</w:t>
      </w:r>
      <w:r w:rsidR="00D5664A" w:rsidRPr="003527C4">
        <w:rPr>
          <w:rFonts w:eastAsia="Arial, Arial" w:cs="Arial, Arial"/>
          <w:color w:val="000000"/>
        </w:rPr>
        <w:t xml:space="preserve"> zcela nebo zčásti </w:t>
      </w:r>
      <w:r w:rsidR="007E3002" w:rsidRPr="003527C4">
        <w:rPr>
          <w:rFonts w:eastAsia="Arial, Arial" w:cs="Arial, Arial"/>
          <w:color w:val="000000"/>
        </w:rPr>
        <w:t>na základní výzkum</w:t>
      </w:r>
      <w:r w:rsidR="00D5664A" w:rsidRPr="003527C4">
        <w:rPr>
          <w:rFonts w:eastAsia="Arial, Arial" w:cs="Arial, Arial"/>
          <w:color w:val="000000"/>
        </w:rPr>
        <w:t>,</w:t>
      </w:r>
      <w:r w:rsidR="00C84319" w:rsidRPr="003527C4">
        <w:rPr>
          <w:rFonts w:eastAsia="Arial, Arial" w:cs="Arial, Arial"/>
          <w:color w:val="000000"/>
        </w:rPr>
        <w:t xml:space="preserve"> </w:t>
      </w:r>
      <w:r w:rsidR="000853B5" w:rsidRPr="003527C4">
        <w:rPr>
          <w:rFonts w:eastAsia="Arial, Arial" w:cs="Arial, Arial"/>
          <w:color w:val="000000"/>
        </w:rPr>
        <w:t>aplikovaný výzkum není prioritním cílem těchto center</w:t>
      </w:r>
      <w:r w:rsidR="00A31A0E" w:rsidRPr="003527C4">
        <w:rPr>
          <w:rFonts w:eastAsia="Arial, Arial" w:cs="Arial, Arial"/>
          <w:color w:val="000000"/>
        </w:rPr>
        <w:t xml:space="preserve">, plánované procento příjmů ze smluvního výzkumu </w:t>
      </w:r>
      <w:r w:rsidR="00BA10C9" w:rsidRPr="003527C4">
        <w:rPr>
          <w:rFonts w:eastAsia="Arial, Arial" w:cs="Arial, Arial"/>
          <w:color w:val="000000"/>
        </w:rPr>
        <w:t xml:space="preserve">se </w:t>
      </w:r>
      <w:r w:rsidR="00A31A0E" w:rsidRPr="003527C4">
        <w:rPr>
          <w:rFonts w:eastAsia="Arial, Arial" w:cs="Arial, Arial"/>
          <w:color w:val="000000"/>
        </w:rPr>
        <w:t>v</w:t>
      </w:r>
      <w:r w:rsidR="00BA10C9" w:rsidRPr="003527C4">
        <w:rPr>
          <w:rFonts w:eastAsia="Arial, Arial" w:cs="Arial, Arial"/>
          <w:color w:val="000000"/>
        </w:rPr>
        <w:t> letech 2015 -</w:t>
      </w:r>
      <w:r w:rsidR="00A31A0E" w:rsidRPr="003527C4">
        <w:rPr>
          <w:rFonts w:eastAsia="Arial, Arial" w:cs="Arial, Arial"/>
          <w:color w:val="000000"/>
        </w:rPr>
        <w:t xml:space="preserve"> 2020 pohybuje kolem</w:t>
      </w:r>
      <w:r w:rsidR="00BA10C9" w:rsidRPr="003527C4">
        <w:rPr>
          <w:rFonts w:eastAsia="Arial, Arial" w:cs="Arial, Arial"/>
          <w:color w:val="000000"/>
        </w:rPr>
        <w:t xml:space="preserve"> 11</w:t>
      </w:r>
      <w:r w:rsidR="00A31A0E" w:rsidRPr="003527C4">
        <w:rPr>
          <w:rFonts w:eastAsia="Arial, Arial" w:cs="Arial, Arial"/>
          <w:color w:val="000000"/>
        </w:rPr>
        <w:t xml:space="preserve"> %</w:t>
      </w:r>
      <w:r w:rsidR="00C84319" w:rsidRPr="003527C4">
        <w:rPr>
          <w:rFonts w:eastAsia="Arial, Arial" w:cs="Arial, Arial"/>
          <w:color w:val="000000"/>
        </w:rPr>
        <w:t>.</w:t>
      </w:r>
      <w:r w:rsidR="002B7526" w:rsidRPr="003527C4">
        <w:rPr>
          <w:rFonts w:eastAsia="Arial, Arial" w:cs="Arial, Arial"/>
          <w:color w:val="000000"/>
        </w:rPr>
        <w:t xml:space="preserve"> </w:t>
      </w:r>
      <w:r w:rsidR="00C84319" w:rsidRPr="003527C4">
        <w:rPr>
          <w:rFonts w:eastAsia="Arial, Arial" w:cs="Arial, Arial"/>
          <w:color w:val="000000"/>
        </w:rPr>
        <w:t xml:space="preserve">Aplikovatelné výsledky jsou </w:t>
      </w:r>
      <w:r w:rsidR="00EA7B04" w:rsidRPr="003527C4">
        <w:rPr>
          <w:rFonts w:eastAsia="Arial, Arial" w:cs="Arial, Arial"/>
          <w:color w:val="000000"/>
        </w:rPr>
        <w:t xml:space="preserve">z pravidla </w:t>
      </w:r>
      <w:r w:rsidR="00C84319" w:rsidRPr="003527C4">
        <w:rPr>
          <w:rFonts w:eastAsia="Arial, Arial" w:cs="Arial, Arial"/>
          <w:color w:val="000000"/>
        </w:rPr>
        <w:t>viditelné</w:t>
      </w:r>
      <w:r w:rsidR="00D5664A" w:rsidRPr="003527C4">
        <w:rPr>
          <w:rFonts w:eastAsia="Arial, Arial" w:cs="Arial, Arial"/>
          <w:color w:val="000000"/>
        </w:rPr>
        <w:t xml:space="preserve"> v podstatně delším čas</w:t>
      </w:r>
      <w:r w:rsidR="00C84319" w:rsidRPr="003527C4">
        <w:rPr>
          <w:rFonts w:eastAsia="Arial, Arial" w:cs="Arial, Arial"/>
          <w:color w:val="000000"/>
        </w:rPr>
        <w:t>ovém horizontu,</w:t>
      </w:r>
      <w:r w:rsidR="00D5664A" w:rsidRPr="003527C4">
        <w:rPr>
          <w:rFonts w:eastAsia="Arial, Arial" w:cs="Arial, Arial"/>
          <w:color w:val="000000"/>
        </w:rPr>
        <w:t xml:space="preserve"> možnosti navázat</w:t>
      </w:r>
      <w:r w:rsidR="00C84319" w:rsidRPr="003527C4">
        <w:rPr>
          <w:rFonts w:eastAsia="Arial, Arial" w:cs="Arial, Arial"/>
          <w:color w:val="000000"/>
        </w:rPr>
        <w:t xml:space="preserve"> reálnou</w:t>
      </w:r>
      <w:r w:rsidR="00D5664A" w:rsidRPr="003527C4">
        <w:rPr>
          <w:rFonts w:eastAsia="Arial, Arial" w:cs="Arial, Arial"/>
          <w:color w:val="000000"/>
        </w:rPr>
        <w:t xml:space="preserve"> spolupráci s aplikační sfér</w:t>
      </w:r>
      <w:r w:rsidR="00175B42" w:rsidRPr="003527C4">
        <w:rPr>
          <w:rFonts w:eastAsia="Arial, Arial" w:cs="Arial, Arial"/>
          <w:color w:val="000000"/>
        </w:rPr>
        <w:t>ou tím mohou být značně ztíženy.</w:t>
      </w:r>
    </w:p>
    <w:p w:rsidR="00854FB3" w:rsidRPr="003527C4" w:rsidRDefault="00854FB3" w:rsidP="00854FB3">
      <w:pPr>
        <w:spacing w:after="200"/>
        <w:jc w:val="both"/>
        <w:rPr>
          <w:rFonts w:eastAsia="Arial, Arial" w:cs="Arial, Arial"/>
          <w:b/>
          <w:color w:val="000000"/>
        </w:rPr>
      </w:pPr>
      <w:r w:rsidRPr="003527C4">
        <w:rPr>
          <w:b/>
          <w:color w:val="000000"/>
        </w:rPr>
        <w:t xml:space="preserve">V rámci OP </w:t>
      </w:r>
      <w:proofErr w:type="spellStart"/>
      <w:r w:rsidRPr="003527C4">
        <w:rPr>
          <w:b/>
          <w:color w:val="000000"/>
        </w:rPr>
        <w:t>VaVpI</w:t>
      </w:r>
      <w:proofErr w:type="spellEnd"/>
      <w:r w:rsidRPr="003527C4">
        <w:rPr>
          <w:b/>
          <w:color w:val="000000"/>
        </w:rPr>
        <w:t xml:space="preserve"> jsou příjemci PO1 a PO2 zavázáni cílovou hodnotou pro objem smluvního výzkumu, nicméně dosažení tohoto závazku může být pro některé příjemce problematické. L</w:t>
      </w:r>
      <w:r w:rsidRPr="003527C4">
        <w:rPr>
          <w:rFonts w:eastAsia="Arial, Arial" w:cs="Arial, Arial"/>
          <w:b/>
          <w:color w:val="000000"/>
        </w:rPr>
        <w:t>ze tedy přepokládat, že chybějící zdroje bude nutné financovat ze státního rozpočtu.</w:t>
      </w:r>
    </w:p>
    <w:p w:rsidR="00854FB3" w:rsidRPr="003527C4" w:rsidRDefault="00854FB3" w:rsidP="00525366">
      <w:pPr>
        <w:spacing w:after="200"/>
        <w:jc w:val="both"/>
        <w:rPr>
          <w:rFonts w:eastAsia="Arial, Arial" w:cs="Arial, Arial"/>
          <w:b/>
          <w:color w:val="000000"/>
        </w:rPr>
      </w:pPr>
      <w:r w:rsidRPr="003527C4">
        <w:rPr>
          <w:color w:val="000000"/>
        </w:rPr>
        <w:t xml:space="preserve"> </w:t>
      </w:r>
    </w:p>
    <w:p w:rsidR="00BA10C9" w:rsidRPr="003527C4" w:rsidRDefault="00EA7B04" w:rsidP="00BB13CC">
      <w:pPr>
        <w:pStyle w:val="Nadpis3"/>
        <w:numPr>
          <w:ilvl w:val="3"/>
          <w:numId w:val="2"/>
        </w:numPr>
        <w:rPr>
          <w:rFonts w:ascii="Arial" w:hAnsi="Arial" w:cs="Arial"/>
          <w:color w:val="000000" w:themeColor="text1"/>
          <w:sz w:val="20"/>
          <w:szCs w:val="20"/>
        </w:rPr>
      </w:pPr>
      <w:r w:rsidRPr="003527C4">
        <w:rPr>
          <w:rFonts w:ascii="Arial" w:hAnsi="Arial" w:cs="Arial"/>
          <w:color w:val="000000" w:themeColor="text1"/>
          <w:sz w:val="20"/>
          <w:szCs w:val="20"/>
        </w:rPr>
        <w:t>Právní úprava spolupráce s aplikační sférou</w:t>
      </w:r>
    </w:p>
    <w:p w:rsidR="00B256D3" w:rsidRPr="003527C4" w:rsidRDefault="00B256D3" w:rsidP="00B256D3"/>
    <w:p w:rsidR="008C473B" w:rsidRPr="003527C4" w:rsidRDefault="008C473B" w:rsidP="008C473B">
      <w:pPr>
        <w:spacing w:after="200" w:line="276" w:lineRule="auto"/>
        <w:jc w:val="both"/>
        <w:rPr>
          <w:color w:val="000000"/>
        </w:rPr>
      </w:pPr>
      <w:r w:rsidRPr="003527C4">
        <w:rPr>
          <w:color w:val="000000"/>
        </w:rPr>
        <w:t>R</w:t>
      </w:r>
      <w:r w:rsidR="00BA10C9" w:rsidRPr="003527C4">
        <w:rPr>
          <w:color w:val="000000"/>
        </w:rPr>
        <w:t>ámec</w:t>
      </w:r>
      <w:r w:rsidR="00EA7B04" w:rsidRPr="003527C4">
        <w:rPr>
          <w:rStyle w:val="Znakapoznpodarou"/>
          <w:color w:val="000000"/>
        </w:rPr>
        <w:footnoteReference w:id="13"/>
      </w:r>
      <w:r w:rsidR="00BA10C9" w:rsidRPr="003527C4">
        <w:rPr>
          <w:color w:val="000000"/>
        </w:rPr>
        <w:t xml:space="preserve"> </w:t>
      </w:r>
      <w:r w:rsidRPr="003527C4">
        <w:rPr>
          <w:color w:val="000000"/>
        </w:rPr>
        <w:t xml:space="preserve">rozlišuje </w:t>
      </w:r>
      <w:r w:rsidR="000853B5" w:rsidRPr="003527C4">
        <w:rPr>
          <w:color w:val="000000"/>
        </w:rPr>
        <w:t>dvě</w:t>
      </w:r>
      <w:r w:rsidRPr="003527C4">
        <w:rPr>
          <w:color w:val="000000"/>
        </w:rPr>
        <w:t xml:space="preserve"> podoby spolupráce s aplikační sférou: </w:t>
      </w:r>
      <w:r w:rsidRPr="003527C4">
        <w:t>smluvní výzkum a výzkum ve spolupráci</w:t>
      </w:r>
      <w:r w:rsidR="00B278B5" w:rsidRPr="003527C4">
        <w:t>:</w:t>
      </w:r>
    </w:p>
    <w:p w:rsidR="008C473B" w:rsidRPr="003527C4" w:rsidRDefault="008C473B" w:rsidP="00CE5357">
      <w:pPr>
        <w:pStyle w:val="Odstavecseseznamem"/>
        <w:widowControl/>
        <w:numPr>
          <w:ilvl w:val="0"/>
          <w:numId w:val="4"/>
        </w:numPr>
        <w:suppressAutoHyphens w:val="0"/>
        <w:jc w:val="both"/>
        <w:textAlignment w:val="auto"/>
      </w:pPr>
      <w:r w:rsidRPr="003527C4">
        <w:t>smluvní výzkum podle čl. 3.2.1 Rámce je činností, kdy výzkumná organizace (</w:t>
      </w:r>
      <w:r w:rsidR="000853B5" w:rsidRPr="003527C4">
        <w:t>dále jen „</w:t>
      </w:r>
      <w:r w:rsidRPr="003527C4">
        <w:t>VO</w:t>
      </w:r>
      <w:r w:rsidR="000853B5" w:rsidRPr="003527C4">
        <w:t>“</w:t>
      </w:r>
      <w:r w:rsidRPr="003527C4">
        <w:t>) provádí výzkum na zakázku podniku (podniku v komunitárním slova smyslu), kdy VO obdrží úměrnou úplatu za svou službu a zadávající podnik smluvně vymezí předmět p</w:t>
      </w:r>
      <w:r w:rsidR="000853B5" w:rsidRPr="003527C4">
        <w:t>l</w:t>
      </w:r>
      <w:r w:rsidRPr="003527C4">
        <w:t>nění. Podnik až na výjimky vlastní výsledky výzkumu, ale nese rovněž riziko neúspěchu. Je nutné plnění poskytovat za tržní cenu, v případě její neexistence za cenu zahrnující n</w:t>
      </w:r>
      <w:r w:rsidR="000853B5" w:rsidRPr="003527C4">
        <w:t>á</w:t>
      </w:r>
      <w:r w:rsidRPr="003527C4">
        <w:t xml:space="preserve">klady a </w:t>
      </w:r>
      <w:r w:rsidR="001E285E">
        <w:t>přiměřený</w:t>
      </w:r>
      <w:r w:rsidR="001E285E" w:rsidRPr="003527C4">
        <w:t xml:space="preserve"> </w:t>
      </w:r>
      <w:r w:rsidRPr="003527C4">
        <w:t xml:space="preserve">zisk. </w:t>
      </w:r>
    </w:p>
    <w:p w:rsidR="008C473B" w:rsidRPr="003527C4" w:rsidRDefault="008C473B" w:rsidP="008C473B"/>
    <w:p w:rsidR="008C473B" w:rsidRPr="003527C4" w:rsidRDefault="008C473B" w:rsidP="00CE5357">
      <w:pPr>
        <w:pStyle w:val="Odstavecseseznamem"/>
        <w:widowControl/>
        <w:numPr>
          <w:ilvl w:val="0"/>
          <w:numId w:val="4"/>
        </w:numPr>
        <w:suppressAutoHyphens w:val="0"/>
        <w:jc w:val="both"/>
        <w:textAlignment w:val="auto"/>
      </w:pPr>
      <w:r w:rsidRPr="003527C4">
        <w:t xml:space="preserve">výzkum ve spolupráci podle čl. 3.2.2 Rámce je činností, kdy výzkumná organizace a podnik na výzkumu spolupracují, tedy návrh, riziko a výsledek sdílejí. Bližší podmínky, zejména nakládání s právy duševního vlastnictví a vyvarování se veřejné podpory, vymezuje uvedené ustanovení Rámce. </w:t>
      </w:r>
    </w:p>
    <w:p w:rsidR="008C473B" w:rsidRPr="003527C4" w:rsidRDefault="008C473B" w:rsidP="008C473B">
      <w:pPr>
        <w:spacing w:after="200" w:line="276" w:lineRule="auto"/>
        <w:jc w:val="both"/>
      </w:pPr>
    </w:p>
    <w:p w:rsidR="008501B3" w:rsidRDefault="008C473B" w:rsidP="008501B3">
      <w:pPr>
        <w:widowControl/>
        <w:suppressAutoHyphens w:val="0"/>
        <w:autoSpaceDN/>
        <w:spacing w:after="200"/>
        <w:jc w:val="both"/>
        <w:textAlignment w:val="auto"/>
        <w:rPr>
          <w:color w:val="000000"/>
        </w:rPr>
      </w:pPr>
      <w:r w:rsidRPr="003527C4">
        <w:rPr>
          <w:color w:val="000000"/>
        </w:rPr>
        <w:t xml:space="preserve">Cílem ŘO OP </w:t>
      </w:r>
      <w:proofErr w:type="spellStart"/>
      <w:r w:rsidRPr="003527C4">
        <w:rPr>
          <w:color w:val="000000"/>
        </w:rPr>
        <w:t>VaVpI</w:t>
      </w:r>
      <w:proofErr w:type="spellEnd"/>
      <w:r w:rsidRPr="003527C4">
        <w:rPr>
          <w:color w:val="000000"/>
        </w:rPr>
        <w:t xml:space="preserve"> je akcentovat především výzkum ve spolupráci, při němž vzniká vysoká př</w:t>
      </w:r>
      <w:r w:rsidR="00174E0F" w:rsidRPr="003527C4">
        <w:rPr>
          <w:color w:val="000000"/>
        </w:rPr>
        <w:t>i</w:t>
      </w:r>
      <w:r w:rsidRPr="003527C4">
        <w:rPr>
          <w:color w:val="000000"/>
        </w:rPr>
        <w:t xml:space="preserve">daná hodnota. Nejde tedy o rutinní (i když vysoce specializované) služby. </w:t>
      </w:r>
      <w:r w:rsidR="00F55A11" w:rsidRPr="003527C4">
        <w:rPr>
          <w:color w:val="000000"/>
        </w:rPr>
        <w:t xml:space="preserve">Výzkum ve spolupráci rovněž představuje pro </w:t>
      </w:r>
      <w:proofErr w:type="spellStart"/>
      <w:r w:rsidRPr="003527C4">
        <w:rPr>
          <w:color w:val="000000"/>
        </w:rPr>
        <w:t>VaV</w:t>
      </w:r>
      <w:proofErr w:type="spellEnd"/>
      <w:r w:rsidRPr="003527C4">
        <w:rPr>
          <w:color w:val="000000"/>
        </w:rPr>
        <w:t xml:space="preserve"> centra</w:t>
      </w:r>
      <w:r w:rsidR="00F55A11" w:rsidRPr="003527C4">
        <w:rPr>
          <w:color w:val="000000"/>
        </w:rPr>
        <w:t xml:space="preserve"> příležitost</w:t>
      </w:r>
      <w:r w:rsidRPr="003527C4">
        <w:rPr>
          <w:color w:val="000000"/>
        </w:rPr>
        <w:t xml:space="preserve"> </w:t>
      </w:r>
      <w:r w:rsidR="00B278B5" w:rsidRPr="003527C4">
        <w:rPr>
          <w:color w:val="000000"/>
        </w:rPr>
        <w:t>stát</w:t>
      </w:r>
      <w:r w:rsidR="00F55A11" w:rsidRPr="003527C4">
        <w:rPr>
          <w:color w:val="000000"/>
        </w:rPr>
        <w:t xml:space="preserve"> se</w:t>
      </w:r>
      <w:r w:rsidR="00B278B5" w:rsidRPr="003527C4">
        <w:rPr>
          <w:color w:val="000000"/>
        </w:rPr>
        <w:t xml:space="preserve"> sebevědomými</w:t>
      </w:r>
      <w:r w:rsidRPr="003527C4">
        <w:rPr>
          <w:color w:val="000000"/>
        </w:rPr>
        <w:t xml:space="preserve"> partnery ve vyjednávání ko</w:t>
      </w:r>
      <w:r w:rsidR="00174E0F" w:rsidRPr="003527C4">
        <w:rPr>
          <w:color w:val="000000"/>
        </w:rPr>
        <w:t>n</w:t>
      </w:r>
      <w:r w:rsidRPr="003527C4">
        <w:rPr>
          <w:color w:val="000000"/>
        </w:rPr>
        <w:t>traktů s aplikační sférou.</w:t>
      </w:r>
      <w:r w:rsidR="008501B3">
        <w:rPr>
          <w:color w:val="000000"/>
        </w:rPr>
        <w:t xml:space="preserve"> I smluvní výzkum je však žádoucí aktivitou </w:t>
      </w:r>
      <w:proofErr w:type="spellStart"/>
      <w:r w:rsidR="008501B3">
        <w:rPr>
          <w:color w:val="000000"/>
        </w:rPr>
        <w:t>VaV</w:t>
      </w:r>
      <w:proofErr w:type="spellEnd"/>
      <w:r w:rsidR="008501B3">
        <w:rPr>
          <w:color w:val="000000"/>
        </w:rPr>
        <w:t xml:space="preserve"> center, protože jim zaji</w:t>
      </w:r>
      <w:r w:rsidR="008501B3">
        <w:rPr>
          <w:color w:val="000000"/>
        </w:rPr>
        <w:t>š</w:t>
      </w:r>
      <w:r w:rsidR="008501B3">
        <w:rPr>
          <w:color w:val="000000"/>
        </w:rPr>
        <w:t xml:space="preserve">ťuje jak rozvoj výzkumných aktivit, tak dodatečné příjmy a potenciál dlouhodobé spolupráce s aplikační sférou. </w:t>
      </w:r>
    </w:p>
    <w:p w:rsidR="000221A5" w:rsidRPr="003527C4" w:rsidRDefault="008501B3" w:rsidP="002A006D">
      <w:pPr>
        <w:widowControl/>
        <w:suppressAutoHyphens w:val="0"/>
        <w:autoSpaceDN/>
        <w:spacing w:after="200"/>
        <w:jc w:val="both"/>
        <w:textAlignment w:val="auto"/>
        <w:rPr>
          <w:color w:val="000000"/>
        </w:rPr>
      </w:pPr>
      <w:r>
        <w:rPr>
          <w:color w:val="000000"/>
        </w:rPr>
        <w:t xml:space="preserve">Naproti tomu rutinně prováděné činnosti na zakázku se ze strany ŘO OP </w:t>
      </w:r>
      <w:proofErr w:type="spellStart"/>
      <w:r>
        <w:rPr>
          <w:color w:val="000000"/>
        </w:rPr>
        <w:t>VaVpI</w:t>
      </w:r>
      <w:proofErr w:type="spellEnd"/>
      <w:r>
        <w:rPr>
          <w:color w:val="000000"/>
        </w:rPr>
        <w:t xml:space="preserve"> netěší velké podp</w:t>
      </w:r>
      <w:r>
        <w:rPr>
          <w:color w:val="000000"/>
        </w:rPr>
        <w:t>o</w:t>
      </w:r>
      <w:r>
        <w:rPr>
          <w:color w:val="000000"/>
        </w:rPr>
        <w:t xml:space="preserve">ře (jsou v případě doplňkové povahy povoleny, nicméně nijak podporovány). Nepředstavují faktor rozvoje výzkumu </w:t>
      </w:r>
      <w:proofErr w:type="spellStart"/>
      <w:r>
        <w:rPr>
          <w:color w:val="000000"/>
        </w:rPr>
        <w:t>VaV</w:t>
      </w:r>
      <w:proofErr w:type="spellEnd"/>
      <w:r>
        <w:rPr>
          <w:color w:val="000000"/>
        </w:rPr>
        <w:t xml:space="preserve"> center.</w:t>
      </w:r>
    </w:p>
    <w:p w:rsidR="007A2E6B" w:rsidRPr="003527C4" w:rsidRDefault="007A2E6B" w:rsidP="002A006D">
      <w:pPr>
        <w:widowControl/>
        <w:suppressAutoHyphens w:val="0"/>
        <w:autoSpaceDN/>
        <w:spacing w:after="200"/>
        <w:jc w:val="both"/>
        <w:textAlignment w:val="auto"/>
        <w:rPr>
          <w:rFonts w:ascii="Arial" w:hAnsi="Arial" w:cs="Arial"/>
        </w:rPr>
      </w:pPr>
    </w:p>
    <w:p w:rsidR="00CB552A" w:rsidRPr="003527C4" w:rsidRDefault="00CB552A" w:rsidP="00827594">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Financování </w:t>
      </w:r>
      <w:proofErr w:type="spellStart"/>
      <w:r w:rsidRPr="003527C4">
        <w:rPr>
          <w:rFonts w:ascii="Arial" w:hAnsi="Arial" w:cs="Arial"/>
          <w:color w:val="000000" w:themeColor="text1"/>
          <w:sz w:val="20"/>
          <w:szCs w:val="20"/>
        </w:rPr>
        <w:t>VaV</w:t>
      </w:r>
      <w:proofErr w:type="spellEnd"/>
      <w:r w:rsidRPr="003527C4">
        <w:rPr>
          <w:rFonts w:ascii="Arial" w:hAnsi="Arial" w:cs="Arial"/>
          <w:color w:val="000000" w:themeColor="text1"/>
          <w:sz w:val="20"/>
          <w:szCs w:val="20"/>
        </w:rPr>
        <w:t xml:space="preserve"> center </w:t>
      </w:r>
      <w:r w:rsidR="007A2E6B" w:rsidRPr="003527C4">
        <w:rPr>
          <w:rFonts w:ascii="Arial" w:hAnsi="Arial" w:cs="Arial"/>
          <w:color w:val="000000" w:themeColor="text1"/>
          <w:sz w:val="20"/>
          <w:szCs w:val="20"/>
        </w:rPr>
        <w:t xml:space="preserve">OP </w:t>
      </w:r>
      <w:proofErr w:type="spellStart"/>
      <w:r w:rsidR="007A2E6B" w:rsidRPr="003527C4">
        <w:rPr>
          <w:rFonts w:ascii="Arial" w:hAnsi="Arial" w:cs="Arial"/>
          <w:color w:val="000000" w:themeColor="text1"/>
          <w:sz w:val="20"/>
          <w:szCs w:val="20"/>
        </w:rPr>
        <w:t>VaVpI</w:t>
      </w:r>
      <w:proofErr w:type="spellEnd"/>
      <w:r w:rsidR="007A2E6B" w:rsidRPr="003527C4">
        <w:rPr>
          <w:rFonts w:ascii="Arial" w:hAnsi="Arial" w:cs="Arial"/>
          <w:color w:val="000000" w:themeColor="text1"/>
          <w:sz w:val="20"/>
          <w:szCs w:val="20"/>
        </w:rPr>
        <w:t xml:space="preserve"> ze strukturálních fondů v programovém</w:t>
      </w:r>
      <w:r w:rsidRPr="003527C4">
        <w:rPr>
          <w:rFonts w:ascii="Arial" w:hAnsi="Arial" w:cs="Arial"/>
          <w:color w:val="000000" w:themeColor="text1"/>
          <w:sz w:val="20"/>
          <w:szCs w:val="20"/>
        </w:rPr>
        <w:t xml:space="preserve"> období 2014-2020</w:t>
      </w:r>
    </w:p>
    <w:p w:rsidR="00850D5E" w:rsidRPr="003527C4" w:rsidRDefault="00850D5E" w:rsidP="00850D5E">
      <w:pPr>
        <w:rPr>
          <w:rFonts w:ascii="Arial" w:hAnsi="Arial" w:cs="Arial"/>
          <w:color w:val="FF0000"/>
          <w:sz w:val="20"/>
          <w:szCs w:val="20"/>
        </w:rPr>
      </w:pPr>
    </w:p>
    <w:p w:rsidR="00795E96" w:rsidRPr="003527C4" w:rsidRDefault="007A2E6B" w:rsidP="007A2E6B">
      <w:pPr>
        <w:jc w:val="both"/>
        <w:rPr>
          <w:rFonts w:cs="Times New Roman"/>
          <w:sz w:val="32"/>
        </w:rPr>
      </w:pPr>
      <w:r w:rsidRPr="003527C4">
        <w:rPr>
          <w:rFonts w:cs="Times New Roman"/>
        </w:rPr>
        <w:t>Připravovaný Operační program Výzkum, vývoj a vzdělávání (</w:t>
      </w:r>
      <w:r w:rsidR="00795E96" w:rsidRPr="003527C4">
        <w:rPr>
          <w:rFonts w:cs="Times New Roman"/>
        </w:rPr>
        <w:t>dále jen „</w:t>
      </w:r>
      <w:r w:rsidRPr="003527C4">
        <w:rPr>
          <w:rFonts w:cs="Times New Roman"/>
        </w:rPr>
        <w:t>OP VVV</w:t>
      </w:r>
      <w:r w:rsidR="00795E96" w:rsidRPr="003527C4">
        <w:rPr>
          <w:rFonts w:cs="Times New Roman"/>
        </w:rPr>
        <w:t>“</w:t>
      </w:r>
      <w:r w:rsidRPr="003527C4">
        <w:rPr>
          <w:rFonts w:cs="Times New Roman"/>
        </w:rPr>
        <w:t xml:space="preserve">) v gesci MŠMT bude v programovém období podporovat aktivity na rozvoj výzkumu vzdáleného tržnímu uplatnění v souladu se zvolenou investiční prioritou </w:t>
      </w:r>
      <w:r w:rsidRPr="003527C4">
        <w:rPr>
          <w:rFonts w:cs="Times New Roman"/>
          <w:i/>
          <w:szCs w:val="18"/>
        </w:rPr>
        <w:t>1 Posilování výzkumné a inovační infrastruktury a kapacit pro rozvoj vynikající úrovně výzkumu a inovací a podpora odborných středisek, zejména těch, jež jsou předmětem celoevropského zájmu (ERDF),</w:t>
      </w:r>
      <w:r w:rsidRPr="003527C4">
        <w:rPr>
          <w:rFonts w:cs="Times New Roman"/>
          <w:szCs w:val="18"/>
        </w:rPr>
        <w:t xml:space="preserve"> a aktivity na rozvoj lidských zdrojů pro výzkum a vývoj v souladu s investiční prioritou </w:t>
      </w:r>
      <w:r w:rsidRPr="003527C4">
        <w:rPr>
          <w:rFonts w:cs="Times New Roman"/>
          <w:i/>
          <w:szCs w:val="18"/>
        </w:rPr>
        <w:t>10 Zlepšování kvality a účinnosti a přístupu k terciárnímu a rovnocennému vzdělávání, zejména v případě znevýhodněných skupin, aby se zvýšila účast a úrovně dosaženého vzdělání</w:t>
      </w:r>
      <w:r w:rsidRPr="003527C4">
        <w:rPr>
          <w:rFonts w:cs="Times New Roman"/>
          <w:szCs w:val="18"/>
        </w:rPr>
        <w:t>.</w:t>
      </w:r>
      <w:r w:rsidRPr="003527C4">
        <w:rPr>
          <w:rFonts w:cs="Times New Roman"/>
          <w:sz w:val="32"/>
        </w:rPr>
        <w:t xml:space="preserve"> </w:t>
      </w:r>
    </w:p>
    <w:p w:rsidR="00795E96" w:rsidRPr="003527C4" w:rsidRDefault="00795E96" w:rsidP="007A2E6B">
      <w:pPr>
        <w:jc w:val="both"/>
        <w:rPr>
          <w:rFonts w:cs="Times New Roman"/>
          <w:sz w:val="32"/>
        </w:rPr>
      </w:pPr>
    </w:p>
    <w:p w:rsidR="007A2E6B" w:rsidRPr="003527C4" w:rsidRDefault="007A2E6B" w:rsidP="007A2E6B">
      <w:pPr>
        <w:jc w:val="both"/>
        <w:rPr>
          <w:rFonts w:cs="Times New Roman"/>
        </w:rPr>
      </w:pPr>
      <w:r w:rsidRPr="003527C4">
        <w:rPr>
          <w:rFonts w:cs="Times New Roman"/>
        </w:rPr>
        <w:t xml:space="preserve">Výzkum, který je blízký tržnímu uplatnění, bude podporován pod investiční prioritou </w:t>
      </w:r>
      <w:proofErr w:type="spellStart"/>
      <w:r w:rsidRPr="003527C4">
        <w:rPr>
          <w:rFonts w:cs="Times New Roman"/>
        </w:rPr>
        <w:t>Ib</w:t>
      </w:r>
      <w:proofErr w:type="spellEnd"/>
      <w:r w:rsidRPr="003527C4">
        <w:rPr>
          <w:rFonts w:cs="Times New Roman"/>
        </w:rPr>
        <w:t>, která je obsažena v chystaném Operačním programu Podnikání a inovace pro konkurenceschopnost (</w:t>
      </w:r>
      <w:r w:rsidR="00B00AAB" w:rsidRPr="003527C4">
        <w:rPr>
          <w:rFonts w:cs="Times New Roman"/>
        </w:rPr>
        <w:t>dále „</w:t>
      </w:r>
      <w:r w:rsidRPr="003527C4">
        <w:rPr>
          <w:rFonts w:cs="Times New Roman"/>
        </w:rPr>
        <w:t>OP PIK</w:t>
      </w:r>
      <w:r w:rsidR="00B00AAB" w:rsidRPr="003527C4">
        <w:rPr>
          <w:rFonts w:cs="Times New Roman"/>
        </w:rPr>
        <w:t>“</w:t>
      </w:r>
      <w:r w:rsidRPr="003527C4">
        <w:rPr>
          <w:rFonts w:cs="Times New Roman"/>
        </w:rPr>
        <w:t xml:space="preserve">) v gesci Ministerstva průmyslu a obchodu (MPO). </w:t>
      </w:r>
    </w:p>
    <w:p w:rsidR="00795E96" w:rsidRPr="003527C4" w:rsidRDefault="00795E96" w:rsidP="007A2E6B">
      <w:pPr>
        <w:jc w:val="both"/>
        <w:rPr>
          <w:rFonts w:cs="Times New Roman"/>
        </w:rPr>
      </w:pPr>
    </w:p>
    <w:p w:rsidR="007A2E6B" w:rsidRPr="003527C4" w:rsidRDefault="007A2E6B" w:rsidP="007A2E6B">
      <w:pPr>
        <w:jc w:val="both"/>
        <w:rPr>
          <w:rFonts w:cs="Times New Roman"/>
          <w:i/>
          <w:szCs w:val="18"/>
        </w:rPr>
      </w:pPr>
      <w:r w:rsidRPr="003527C4">
        <w:rPr>
          <w:rFonts w:cs="Times New Roman"/>
        </w:rPr>
        <w:t xml:space="preserve">Podpoře výzkumu vzdálenému tržnímu uplatnění se věnují oba specifické cíle </w:t>
      </w:r>
      <w:r w:rsidR="00795E96" w:rsidRPr="003527C4">
        <w:rPr>
          <w:rFonts w:cs="Times New Roman"/>
        </w:rPr>
        <w:t>PO</w:t>
      </w:r>
      <w:r w:rsidRPr="003527C4">
        <w:rPr>
          <w:rFonts w:cs="Times New Roman"/>
        </w:rPr>
        <w:t xml:space="preserve"> 1 OP VVV </w:t>
      </w:r>
      <w:r w:rsidRPr="003527C4">
        <w:rPr>
          <w:rFonts w:cs="Times New Roman"/>
          <w:i/>
        </w:rPr>
        <w:t>Posilování kapacit pro kvalitní výzkum z ERDF</w:t>
      </w:r>
      <w:r w:rsidRPr="003527C4">
        <w:rPr>
          <w:rFonts w:cs="Times New Roman"/>
        </w:rPr>
        <w:t xml:space="preserve">. Na podporu lidských zdrojů pro výzkum a vývoj je věnován specifický cíl </w:t>
      </w:r>
      <w:r w:rsidRPr="003527C4">
        <w:rPr>
          <w:rFonts w:cs="Times New Roman"/>
          <w:i/>
        </w:rPr>
        <w:t xml:space="preserve">5 </w:t>
      </w:r>
      <w:r w:rsidRPr="003527C4">
        <w:rPr>
          <w:rFonts w:cs="Times New Roman"/>
          <w:i/>
          <w:color w:val="000000" w:themeColor="text1"/>
          <w:szCs w:val="18"/>
        </w:rPr>
        <w:t>Zlepšení podmínek</w:t>
      </w:r>
      <w:r w:rsidRPr="003527C4">
        <w:rPr>
          <w:rFonts w:cs="Times New Roman"/>
          <w:i/>
          <w:color w:val="000000" w:themeColor="text1"/>
        </w:rPr>
        <w:t xml:space="preserve"> pro výuku spojenou s výzkumem a pro rozvoj lidských zdrojů v oblasti výzkumu a </w:t>
      </w:r>
      <w:r w:rsidRPr="003527C4">
        <w:rPr>
          <w:rFonts w:cs="Times New Roman"/>
          <w:i/>
          <w:color w:val="000000" w:themeColor="text1"/>
          <w:szCs w:val="18"/>
        </w:rPr>
        <w:t>vývoje</w:t>
      </w:r>
      <w:r w:rsidRPr="003527C4">
        <w:rPr>
          <w:rFonts w:cs="Times New Roman"/>
          <w:color w:val="000000" w:themeColor="text1"/>
          <w:szCs w:val="18"/>
        </w:rPr>
        <w:t xml:space="preserve"> v </w:t>
      </w:r>
      <w:r w:rsidR="00795E96" w:rsidRPr="003527C4">
        <w:rPr>
          <w:rFonts w:cs="Times New Roman"/>
          <w:color w:val="000000" w:themeColor="text1"/>
          <w:szCs w:val="18"/>
        </w:rPr>
        <w:t>PO</w:t>
      </w:r>
      <w:r w:rsidRPr="003527C4">
        <w:rPr>
          <w:rFonts w:cs="Times New Roman"/>
          <w:color w:val="000000" w:themeColor="text1"/>
          <w:szCs w:val="18"/>
        </w:rPr>
        <w:t xml:space="preserve"> 2</w:t>
      </w:r>
      <w:r w:rsidRPr="003527C4">
        <w:rPr>
          <w:rFonts w:cs="Times New Roman"/>
          <w:szCs w:val="18"/>
        </w:rPr>
        <w:t xml:space="preserve"> </w:t>
      </w:r>
      <w:r w:rsidRPr="003527C4">
        <w:rPr>
          <w:rFonts w:cs="Times New Roman"/>
          <w:i/>
          <w:szCs w:val="18"/>
        </w:rPr>
        <w:t xml:space="preserve">Rozvoj vysokých škol a lidských zdrojů pro výzkum a vývoj z ESF. </w:t>
      </w:r>
    </w:p>
    <w:p w:rsidR="00795E96" w:rsidRPr="003527C4" w:rsidRDefault="00795E96" w:rsidP="007A2E6B">
      <w:pPr>
        <w:jc w:val="both"/>
        <w:rPr>
          <w:rFonts w:cs="Times New Roman"/>
          <w:i/>
          <w:szCs w:val="18"/>
        </w:rPr>
      </w:pPr>
    </w:p>
    <w:p w:rsidR="007A2E6B" w:rsidRPr="003527C4" w:rsidRDefault="007A2E6B" w:rsidP="007A2E6B">
      <w:pPr>
        <w:jc w:val="both"/>
        <w:rPr>
          <w:rFonts w:cs="Times New Roman"/>
        </w:rPr>
      </w:pPr>
      <w:r w:rsidRPr="003527C4">
        <w:rPr>
          <w:rFonts w:cs="Times New Roman"/>
        </w:rPr>
        <w:t xml:space="preserve">Specifický cíl 1 </w:t>
      </w:r>
      <w:r w:rsidR="00795E96" w:rsidRPr="003527C4">
        <w:rPr>
          <w:rFonts w:cs="Times New Roman"/>
        </w:rPr>
        <w:t>PO</w:t>
      </w:r>
      <w:r w:rsidRPr="003527C4">
        <w:rPr>
          <w:rFonts w:cs="Times New Roman"/>
        </w:rPr>
        <w:t xml:space="preserve"> 1 se zaměřuje na posílení kvality a excelence ve výzkumu prostřednictvím větší koncentrace finančních a lidských zdrojů do oblasti výzkumu, ve kterých existují v ČR předpoklady pro realizaci mezinárodně konkurenceschopného výzkumu a kde má ČR v souladu s RIS 3 potenciál přispět k řešení globálních </w:t>
      </w:r>
      <w:proofErr w:type="spellStart"/>
      <w:r w:rsidRPr="003527C4">
        <w:rPr>
          <w:rFonts w:cs="Times New Roman"/>
        </w:rPr>
        <w:t>socio</w:t>
      </w:r>
      <w:proofErr w:type="spellEnd"/>
      <w:r w:rsidRPr="003527C4">
        <w:rPr>
          <w:rFonts w:cs="Times New Roman"/>
        </w:rPr>
        <w:t>-ekonomických výzev. Snahou je posílit, rozšířit a využít existující výzkumné kapacity a zefektivnit řízení výzkumu na všech úrovních tak, aby byly vytvořeny kvalitní podmínky pro realizaci výzkumu na světově srovnatelné úrovni. Cílem je zároveň vytvořit kvalitní infrastrukturní podmínky pro přípravu nové generace výzkumných pracovníků.</w:t>
      </w:r>
    </w:p>
    <w:p w:rsidR="00795E96" w:rsidRPr="003527C4" w:rsidRDefault="00795E96" w:rsidP="007A2E6B">
      <w:pPr>
        <w:jc w:val="both"/>
        <w:rPr>
          <w:rFonts w:cs="Times New Roman"/>
        </w:rPr>
      </w:pPr>
    </w:p>
    <w:p w:rsidR="00C46BE9" w:rsidRPr="003527C4" w:rsidRDefault="00C46BE9" w:rsidP="00C46BE9">
      <w:pPr>
        <w:jc w:val="both"/>
        <w:rPr>
          <w:rFonts w:cs="Times New Roman"/>
        </w:rPr>
      </w:pPr>
      <w:r w:rsidRPr="003527C4">
        <w:rPr>
          <w:rFonts w:cs="Times New Roman"/>
        </w:rPr>
        <w:t xml:space="preserve">Specifický cíl 2 PO 1 je zaměřen na posílení kapacit pro strategickou spolupráci veřejného a soukromého sektoru při přípravě a realizaci orientovaného výzkumu s širokým potenciálem uplatnění při řešení dlouhodobých společenských potřeb. </w:t>
      </w:r>
      <w:r>
        <w:rPr>
          <w:rFonts w:cs="Times New Roman"/>
        </w:rPr>
        <w:t xml:space="preserve">Budování kapacit zajistí větší přínos výsledků výzkumu pro společnost a strategické dlouhodobé potřeby trhu s využitím stávajících výzkumných infrastruktur. </w:t>
      </w:r>
      <w:r w:rsidRPr="003527C4">
        <w:rPr>
          <w:rFonts w:cs="Times New Roman"/>
        </w:rPr>
        <w:t xml:space="preserve">Současně na </w:t>
      </w:r>
      <w:r>
        <w:rPr>
          <w:rFonts w:cs="Times New Roman"/>
        </w:rPr>
        <w:t xml:space="preserve">aktivity podpořené v tomto specifickém cíli </w:t>
      </w:r>
      <w:r w:rsidRPr="003527C4">
        <w:rPr>
          <w:rFonts w:cs="Times New Roman"/>
        </w:rPr>
        <w:t>budou moci</w:t>
      </w:r>
      <w:r>
        <w:rPr>
          <w:rFonts w:cs="Times New Roman"/>
        </w:rPr>
        <w:t xml:space="preserve"> synergicky</w:t>
      </w:r>
      <w:r w:rsidRPr="003527C4">
        <w:rPr>
          <w:rFonts w:cs="Times New Roman"/>
        </w:rPr>
        <w:t xml:space="preserve"> navázat intervence OP PIK.</w:t>
      </w:r>
    </w:p>
    <w:p w:rsidR="00B00AAB" w:rsidRPr="003527C4" w:rsidRDefault="00B00AAB" w:rsidP="007A2E6B">
      <w:pPr>
        <w:jc w:val="both"/>
        <w:rPr>
          <w:rFonts w:cs="Times New Roman"/>
        </w:rPr>
      </w:pPr>
    </w:p>
    <w:p w:rsidR="007A2E6B" w:rsidRPr="003527C4" w:rsidRDefault="007A2E6B" w:rsidP="00B24892">
      <w:pPr>
        <w:jc w:val="both"/>
        <w:rPr>
          <w:rFonts w:cs="Times New Roman"/>
        </w:rPr>
      </w:pPr>
      <w:r w:rsidRPr="003527C4">
        <w:rPr>
          <w:rFonts w:cs="Times New Roman"/>
        </w:rPr>
        <w:t xml:space="preserve">Cílem specifického cíle 5 </w:t>
      </w:r>
      <w:r w:rsidR="00B00AAB" w:rsidRPr="003527C4">
        <w:rPr>
          <w:rFonts w:cs="Times New Roman"/>
        </w:rPr>
        <w:t>PO</w:t>
      </w:r>
      <w:r w:rsidRPr="003527C4">
        <w:rPr>
          <w:rFonts w:cs="Times New Roman"/>
        </w:rPr>
        <w:t xml:space="preserve"> 2 je mimo jiné zvýšit kvalifikaci výzkumných a dalších pracovníků ve </w:t>
      </w:r>
      <w:proofErr w:type="spellStart"/>
      <w:r w:rsidRPr="003527C4">
        <w:rPr>
          <w:rFonts w:cs="Times New Roman"/>
        </w:rPr>
        <w:t>VaV</w:t>
      </w:r>
      <w:proofErr w:type="spellEnd"/>
      <w:r w:rsidRPr="003527C4">
        <w:rPr>
          <w:rFonts w:cs="Times New Roman"/>
        </w:rPr>
        <w:t xml:space="preserve">, posílit příliv špičkových odborníků ze zahraničí a ze soukromého sektoru do výzkumných organizací a zvýšit kvalitu a efektivitu strategického řízení výzkumných organizací. </w:t>
      </w:r>
    </w:p>
    <w:p w:rsidR="007A2E6B" w:rsidRPr="003527C4" w:rsidRDefault="007A2E6B" w:rsidP="00B24892">
      <w:pPr>
        <w:jc w:val="both"/>
        <w:rPr>
          <w:rFonts w:cs="Times New Roman"/>
        </w:rPr>
      </w:pPr>
      <w:r w:rsidRPr="003527C4">
        <w:rPr>
          <w:rFonts w:cs="Times New Roman"/>
        </w:rPr>
        <w:t>Mezi příjemce v</w:t>
      </w:r>
      <w:r w:rsidR="00C46BE9">
        <w:rPr>
          <w:rFonts w:cs="Times New Roman"/>
        </w:rPr>
        <w:t> uvedených specifických cílech obou prioritních os</w:t>
      </w:r>
      <w:r w:rsidRPr="003527C4">
        <w:rPr>
          <w:rFonts w:cs="Times New Roman"/>
        </w:rPr>
        <w:t xml:space="preserve"> budou patřit především, ale nikoliv exkluzivně, subjekty splňující definici organizace pro výzkum a šíření znalostí dle Rámce pro státní podporu </w:t>
      </w:r>
      <w:proofErr w:type="spellStart"/>
      <w:r w:rsidRPr="003527C4">
        <w:rPr>
          <w:rFonts w:cs="Times New Roman"/>
        </w:rPr>
        <w:t>VaVaI</w:t>
      </w:r>
      <w:proofErr w:type="spellEnd"/>
      <w:r w:rsidRPr="003527C4">
        <w:rPr>
          <w:rFonts w:cs="Times New Roman"/>
        </w:rPr>
        <w:t xml:space="preserve">. </w:t>
      </w:r>
    </w:p>
    <w:p w:rsidR="007A2E6B" w:rsidRPr="003527C4" w:rsidRDefault="007A2E6B" w:rsidP="007A2E6B">
      <w:pPr>
        <w:jc w:val="both"/>
        <w:rPr>
          <w:rFonts w:cs="Times New Roman"/>
        </w:rPr>
      </w:pPr>
    </w:p>
    <w:p w:rsidR="0086121F" w:rsidRPr="0086121F" w:rsidRDefault="007A2E6B" w:rsidP="00B52E9D">
      <w:pPr>
        <w:jc w:val="both"/>
        <w:rPr>
          <w:rFonts w:cs="Times New Roman"/>
          <w:b/>
        </w:rPr>
      </w:pPr>
      <w:r w:rsidRPr="003527C4">
        <w:rPr>
          <w:rFonts w:cs="Times New Roman"/>
        </w:rPr>
        <w:t>Konečné znění a podmínky OP VVV budou známy pod skončení formálního vyjednání a schválení operačního programu Evropskou komisí. Nicméně</w:t>
      </w:r>
      <w:r w:rsidRPr="003527C4">
        <w:rPr>
          <w:rFonts w:cs="Times New Roman"/>
          <w:b/>
        </w:rPr>
        <w:t xml:space="preserve"> prostředky Evropských strukturálních a investičních fondů nejsou určeny k podpoře udržitelnosti projektů financovaných z předch</w:t>
      </w:r>
      <w:r w:rsidR="00B00AAB" w:rsidRPr="003527C4">
        <w:rPr>
          <w:rFonts w:cs="Times New Roman"/>
          <w:b/>
        </w:rPr>
        <w:t xml:space="preserve">ázejícího programového období. </w:t>
      </w:r>
      <w:r w:rsidR="00B52E9D">
        <w:rPr>
          <w:rFonts w:cs="Times New Roman"/>
          <w:b/>
        </w:rPr>
        <w:t xml:space="preserve">Jejich cílem je podpořit rozvoj </w:t>
      </w:r>
      <w:proofErr w:type="spellStart"/>
      <w:r w:rsidR="00B52E9D">
        <w:rPr>
          <w:rFonts w:cs="Times New Roman"/>
          <w:b/>
        </w:rPr>
        <w:t>VaV</w:t>
      </w:r>
      <w:proofErr w:type="spellEnd"/>
      <w:r w:rsidR="00B52E9D">
        <w:rPr>
          <w:rFonts w:cs="Times New Roman"/>
          <w:b/>
        </w:rPr>
        <w:t xml:space="preserve"> center, posílení kapacit a kvality </w:t>
      </w:r>
      <w:proofErr w:type="spellStart"/>
      <w:r w:rsidR="00B52E9D">
        <w:rPr>
          <w:rFonts w:cs="Times New Roman"/>
          <w:b/>
        </w:rPr>
        <w:t>VaV</w:t>
      </w:r>
      <w:proofErr w:type="spellEnd"/>
      <w:r w:rsidR="00B52E9D">
        <w:rPr>
          <w:rFonts w:cs="Times New Roman"/>
          <w:b/>
        </w:rPr>
        <w:t>.</w:t>
      </w:r>
      <w:r w:rsidR="0086121F">
        <w:rPr>
          <w:rFonts w:cs="Times New Roman"/>
          <w:b/>
        </w:rPr>
        <w:t xml:space="preserve"> </w:t>
      </w:r>
      <w:r w:rsidR="0086121F" w:rsidRPr="00485092">
        <w:t>Problematika oddělení udržitelnosti a případné realizace nových projektů OP VVV bude blíže řešena v implementačních dokumentech OP VVV, které jsou v současné době v přípravě.</w:t>
      </w:r>
    </w:p>
    <w:p w:rsidR="00DE7229" w:rsidRPr="003527C4" w:rsidRDefault="00DE7229" w:rsidP="006A11DC">
      <w:pPr>
        <w:jc w:val="both"/>
      </w:pPr>
    </w:p>
    <w:p w:rsidR="00DE7229" w:rsidRPr="003527C4" w:rsidRDefault="00F05733" w:rsidP="006A11DC">
      <w:pPr>
        <w:pStyle w:val="Nadpis1"/>
        <w:numPr>
          <w:ilvl w:val="0"/>
          <w:numId w:val="2"/>
        </w:numPr>
        <w:rPr>
          <w:rFonts w:ascii="Arial" w:hAnsi="Arial" w:cs="Arial"/>
          <w:color w:val="000000" w:themeColor="text1"/>
          <w:sz w:val="20"/>
          <w:szCs w:val="20"/>
        </w:rPr>
      </w:pPr>
      <w:r w:rsidRPr="003527C4">
        <w:rPr>
          <w:rFonts w:ascii="Arial" w:hAnsi="Arial" w:cs="Arial"/>
          <w:color w:val="000000" w:themeColor="text1"/>
          <w:sz w:val="20"/>
          <w:szCs w:val="20"/>
        </w:rPr>
        <w:t>Rizika spojená s</w:t>
      </w:r>
      <w:r w:rsidR="00BB55FB" w:rsidRPr="003527C4">
        <w:rPr>
          <w:rFonts w:ascii="Arial" w:hAnsi="Arial" w:cs="Arial"/>
          <w:color w:val="000000" w:themeColor="text1"/>
          <w:sz w:val="20"/>
          <w:szCs w:val="20"/>
        </w:rPr>
        <w:t> </w:t>
      </w:r>
      <w:r w:rsidR="00946885" w:rsidRPr="003527C4">
        <w:rPr>
          <w:rFonts w:ascii="Arial" w:hAnsi="Arial" w:cs="Arial"/>
          <w:color w:val="000000" w:themeColor="text1"/>
          <w:sz w:val="20"/>
          <w:szCs w:val="20"/>
        </w:rPr>
        <w:t>udržitelností</w:t>
      </w:r>
      <w:r w:rsidR="00BB55FB" w:rsidRPr="003527C4">
        <w:rPr>
          <w:rFonts w:ascii="Arial" w:hAnsi="Arial" w:cs="Arial"/>
          <w:color w:val="000000" w:themeColor="text1"/>
          <w:sz w:val="20"/>
          <w:szCs w:val="20"/>
        </w:rPr>
        <w:t xml:space="preserve"> a </w:t>
      </w:r>
      <w:r w:rsidR="00676504" w:rsidRPr="003527C4">
        <w:rPr>
          <w:rFonts w:ascii="Arial" w:hAnsi="Arial" w:cs="Arial"/>
          <w:color w:val="000000" w:themeColor="text1"/>
          <w:sz w:val="20"/>
          <w:szCs w:val="20"/>
        </w:rPr>
        <w:t xml:space="preserve">realizovaná </w:t>
      </w:r>
      <w:r w:rsidR="00BB55FB" w:rsidRPr="003527C4">
        <w:rPr>
          <w:rFonts w:ascii="Arial" w:hAnsi="Arial" w:cs="Arial"/>
          <w:color w:val="000000" w:themeColor="text1"/>
          <w:sz w:val="20"/>
          <w:szCs w:val="20"/>
        </w:rPr>
        <w:t>opatření</w:t>
      </w:r>
      <w:r w:rsidR="00C46E09" w:rsidRPr="003527C4">
        <w:rPr>
          <w:rFonts w:ascii="Arial" w:hAnsi="Arial" w:cs="Arial"/>
          <w:color w:val="000000" w:themeColor="text1"/>
          <w:sz w:val="20"/>
          <w:szCs w:val="20"/>
        </w:rPr>
        <w:t xml:space="preserve"> na jejich zmírnění</w:t>
      </w:r>
      <w:r w:rsidR="00BC0130" w:rsidRPr="003527C4">
        <w:rPr>
          <w:rFonts w:ascii="Arial" w:hAnsi="Arial" w:cs="Arial"/>
          <w:color w:val="000000" w:themeColor="text1"/>
          <w:sz w:val="20"/>
          <w:szCs w:val="20"/>
        </w:rPr>
        <w:t xml:space="preserve"> </w:t>
      </w:r>
    </w:p>
    <w:p w:rsidR="00C46E09" w:rsidRPr="003527C4" w:rsidRDefault="003A042F" w:rsidP="006A11DC">
      <w:pPr>
        <w:pStyle w:val="Nadpis2"/>
        <w:numPr>
          <w:ilvl w:val="1"/>
          <w:numId w:val="2"/>
        </w:numPr>
        <w:spacing w:after="200"/>
        <w:ind w:left="788" w:hanging="431"/>
        <w:rPr>
          <w:rFonts w:ascii="Arial" w:hAnsi="Arial" w:cs="Arial"/>
          <w:color w:val="000000" w:themeColor="text1"/>
          <w:sz w:val="20"/>
          <w:szCs w:val="20"/>
        </w:rPr>
      </w:pPr>
      <w:r w:rsidRPr="003527C4">
        <w:rPr>
          <w:rFonts w:ascii="Arial" w:hAnsi="Arial" w:cs="Arial"/>
          <w:color w:val="000000" w:themeColor="text1"/>
          <w:sz w:val="20"/>
          <w:szCs w:val="20"/>
        </w:rPr>
        <w:t>Institucionální</w:t>
      </w:r>
      <w:r w:rsidR="005F0E67" w:rsidRPr="003527C4">
        <w:rPr>
          <w:rFonts w:ascii="Arial" w:hAnsi="Arial" w:cs="Arial"/>
          <w:color w:val="000000" w:themeColor="text1"/>
          <w:sz w:val="20"/>
          <w:szCs w:val="20"/>
        </w:rPr>
        <w:t xml:space="preserve"> a účelové</w:t>
      </w:r>
      <w:r w:rsidRPr="003527C4">
        <w:rPr>
          <w:rFonts w:ascii="Arial" w:hAnsi="Arial" w:cs="Arial"/>
          <w:color w:val="000000" w:themeColor="text1"/>
          <w:sz w:val="20"/>
          <w:szCs w:val="20"/>
        </w:rPr>
        <w:t xml:space="preserve"> financování </w:t>
      </w:r>
    </w:p>
    <w:p w:rsidR="00574505" w:rsidRPr="003527C4" w:rsidRDefault="009B294C" w:rsidP="00E70FDC">
      <w:pPr>
        <w:jc w:val="both"/>
        <w:rPr>
          <w:color w:val="000000" w:themeColor="text1"/>
        </w:rPr>
      </w:pPr>
      <w:proofErr w:type="spellStart"/>
      <w:r w:rsidRPr="003527C4">
        <w:rPr>
          <w:color w:val="000000" w:themeColor="text1"/>
        </w:rPr>
        <w:t>VaV</w:t>
      </w:r>
      <w:proofErr w:type="spellEnd"/>
      <w:r w:rsidRPr="003527C4">
        <w:rPr>
          <w:color w:val="000000" w:themeColor="text1"/>
        </w:rPr>
        <w:t xml:space="preserve"> centra čelí riziku přílišné závislosti na národních zdrojích financování a nejistotě disponibilních prostředků. </w:t>
      </w:r>
      <w:r w:rsidR="00576BFD" w:rsidRPr="003527C4">
        <w:rPr>
          <w:color w:val="000000" w:themeColor="text1"/>
        </w:rPr>
        <w:t xml:space="preserve">Některá </w:t>
      </w:r>
      <w:proofErr w:type="spellStart"/>
      <w:r w:rsidR="00FF54D0" w:rsidRPr="003527C4">
        <w:rPr>
          <w:color w:val="000000" w:themeColor="text1"/>
        </w:rPr>
        <w:t>VaV</w:t>
      </w:r>
      <w:proofErr w:type="spellEnd"/>
      <w:r w:rsidR="00FF54D0" w:rsidRPr="003527C4">
        <w:rPr>
          <w:color w:val="000000" w:themeColor="text1"/>
        </w:rPr>
        <w:t xml:space="preserve"> centra</w:t>
      </w:r>
      <w:r w:rsidR="00576BFD" w:rsidRPr="003527C4">
        <w:rPr>
          <w:color w:val="000000" w:themeColor="text1"/>
        </w:rPr>
        <w:t xml:space="preserve"> mají</w:t>
      </w:r>
      <w:r w:rsidR="00FF54D0" w:rsidRPr="003527C4">
        <w:rPr>
          <w:color w:val="000000" w:themeColor="text1"/>
        </w:rPr>
        <w:t xml:space="preserve"> potíže se </w:t>
      </w:r>
      <w:r w:rsidR="00574505" w:rsidRPr="003527C4">
        <w:rPr>
          <w:color w:val="000000" w:themeColor="text1"/>
        </w:rPr>
        <w:t>získávání</w:t>
      </w:r>
      <w:r w:rsidR="00FF54D0" w:rsidRPr="003527C4">
        <w:rPr>
          <w:color w:val="000000" w:themeColor="text1"/>
        </w:rPr>
        <w:t>m zdrojů</w:t>
      </w:r>
      <w:r w:rsidR="00574505" w:rsidRPr="003527C4">
        <w:rPr>
          <w:color w:val="000000" w:themeColor="text1"/>
        </w:rPr>
        <w:t xml:space="preserve"> mezinárodních finančních prostředků</w:t>
      </w:r>
      <w:r w:rsidR="00FF54D0" w:rsidRPr="003527C4">
        <w:rPr>
          <w:color w:val="000000" w:themeColor="text1"/>
        </w:rPr>
        <w:t xml:space="preserve"> a</w:t>
      </w:r>
      <w:r w:rsidR="00574505" w:rsidRPr="003527C4">
        <w:rPr>
          <w:color w:val="000000" w:themeColor="text1"/>
        </w:rPr>
        <w:t xml:space="preserve"> </w:t>
      </w:r>
      <w:r w:rsidR="00FF54D0" w:rsidRPr="003527C4">
        <w:rPr>
          <w:color w:val="000000" w:themeColor="text1"/>
        </w:rPr>
        <w:t xml:space="preserve">ze </w:t>
      </w:r>
      <w:r w:rsidR="00574505" w:rsidRPr="003527C4">
        <w:rPr>
          <w:color w:val="000000" w:themeColor="text1"/>
        </w:rPr>
        <w:t>smluvní</w:t>
      </w:r>
      <w:r w:rsidR="00FF54D0" w:rsidRPr="003527C4">
        <w:rPr>
          <w:color w:val="000000" w:themeColor="text1"/>
        </w:rPr>
        <w:t>ho</w:t>
      </w:r>
      <w:r w:rsidR="00574505" w:rsidRPr="003527C4">
        <w:rPr>
          <w:color w:val="000000" w:themeColor="text1"/>
        </w:rPr>
        <w:t xml:space="preserve"> výzkum</w:t>
      </w:r>
      <w:r w:rsidR="00FF54D0" w:rsidRPr="003527C4">
        <w:rPr>
          <w:color w:val="000000" w:themeColor="text1"/>
        </w:rPr>
        <w:t>u</w:t>
      </w:r>
      <w:r w:rsidR="00576BFD" w:rsidRPr="003527C4">
        <w:rPr>
          <w:color w:val="000000" w:themeColor="text1"/>
        </w:rPr>
        <w:t>. Objem prostředků</w:t>
      </w:r>
      <w:r w:rsidR="00574505" w:rsidRPr="003527C4">
        <w:rPr>
          <w:color w:val="000000" w:themeColor="text1"/>
        </w:rPr>
        <w:t>, kter</w:t>
      </w:r>
      <w:r w:rsidR="00576BFD" w:rsidRPr="003527C4">
        <w:rPr>
          <w:color w:val="000000" w:themeColor="text1"/>
        </w:rPr>
        <w:t>ý</w:t>
      </w:r>
      <w:r w:rsidR="00574505" w:rsidRPr="003527C4">
        <w:rPr>
          <w:color w:val="000000" w:themeColor="text1"/>
        </w:rPr>
        <w:t xml:space="preserve"> příjemci </w:t>
      </w:r>
      <w:r w:rsidR="00576BFD" w:rsidRPr="003527C4">
        <w:rPr>
          <w:color w:val="000000" w:themeColor="text1"/>
        </w:rPr>
        <w:t xml:space="preserve">plánují </w:t>
      </w:r>
      <w:r w:rsidR="00574505" w:rsidRPr="003527C4">
        <w:rPr>
          <w:color w:val="000000" w:themeColor="text1"/>
        </w:rPr>
        <w:t xml:space="preserve">získat </w:t>
      </w:r>
      <w:r w:rsidR="00576BFD" w:rsidRPr="003527C4">
        <w:rPr>
          <w:color w:val="000000" w:themeColor="text1"/>
        </w:rPr>
        <w:t xml:space="preserve">z národních zdrojů </w:t>
      </w:r>
      <w:r w:rsidR="00574505" w:rsidRPr="003527C4">
        <w:rPr>
          <w:color w:val="000000" w:themeColor="text1"/>
        </w:rPr>
        <w:t>výrazně nad rámec svých současných příjmů</w:t>
      </w:r>
      <w:r w:rsidR="00576BFD" w:rsidRPr="003527C4">
        <w:rPr>
          <w:color w:val="000000" w:themeColor="text1"/>
        </w:rPr>
        <w:t>,</w:t>
      </w:r>
      <w:r w:rsidR="00574505" w:rsidRPr="003527C4">
        <w:rPr>
          <w:color w:val="000000" w:themeColor="text1"/>
        </w:rPr>
        <w:t xml:space="preserve"> j</w:t>
      </w:r>
      <w:r w:rsidR="00B52E9D">
        <w:rPr>
          <w:color w:val="000000" w:themeColor="text1"/>
        </w:rPr>
        <w:t>e často</w:t>
      </w:r>
      <w:r w:rsidR="00576BFD" w:rsidRPr="003527C4">
        <w:rPr>
          <w:color w:val="000000" w:themeColor="text1"/>
        </w:rPr>
        <w:t xml:space="preserve"> nerealistick</w:t>
      </w:r>
      <w:r w:rsidR="00B52E9D">
        <w:rPr>
          <w:color w:val="000000" w:themeColor="text1"/>
        </w:rPr>
        <w:t>ý</w:t>
      </w:r>
      <w:r w:rsidR="00574505" w:rsidRPr="003527C4">
        <w:rPr>
          <w:color w:val="000000" w:themeColor="text1"/>
        </w:rPr>
        <w:t xml:space="preserve">. </w:t>
      </w:r>
      <w:r w:rsidR="000B4C2B" w:rsidRPr="003527C4">
        <w:rPr>
          <w:color w:val="000000" w:themeColor="text1"/>
        </w:rPr>
        <w:t xml:space="preserve">Jedná se </w:t>
      </w:r>
      <w:r w:rsidR="00576BFD" w:rsidRPr="003527C4">
        <w:rPr>
          <w:color w:val="000000" w:themeColor="text1"/>
        </w:rPr>
        <w:t xml:space="preserve">o </w:t>
      </w:r>
      <w:r w:rsidR="000B4C2B" w:rsidRPr="003527C4">
        <w:rPr>
          <w:color w:val="000000" w:themeColor="text1"/>
        </w:rPr>
        <w:t>velké</w:t>
      </w:r>
      <w:r w:rsidR="00574505" w:rsidRPr="003527C4">
        <w:rPr>
          <w:color w:val="000000" w:themeColor="text1"/>
        </w:rPr>
        <w:t xml:space="preserve"> finanční </w:t>
      </w:r>
      <w:r w:rsidR="00576BFD" w:rsidRPr="003527C4">
        <w:rPr>
          <w:color w:val="000000" w:themeColor="text1"/>
        </w:rPr>
        <w:t xml:space="preserve">požadavky </w:t>
      </w:r>
      <w:r w:rsidR="00574505" w:rsidRPr="003527C4">
        <w:rPr>
          <w:color w:val="000000" w:themeColor="text1"/>
        </w:rPr>
        <w:t>a jejich kumulace může v budoucnu způsobit velké problémy s udržitelností center, která již dnes počítají s </w:t>
      </w:r>
      <w:r w:rsidR="000B4C2B" w:rsidRPr="003527C4">
        <w:rPr>
          <w:color w:val="000000" w:themeColor="text1"/>
        </w:rPr>
        <w:t>financemi, kter</w:t>
      </w:r>
      <w:r w:rsidR="00C67997" w:rsidRPr="003527C4">
        <w:rPr>
          <w:color w:val="000000" w:themeColor="text1"/>
        </w:rPr>
        <w:t>é</w:t>
      </w:r>
      <w:r w:rsidR="000B4C2B" w:rsidRPr="003527C4">
        <w:rPr>
          <w:color w:val="000000" w:themeColor="text1"/>
        </w:rPr>
        <w:t xml:space="preserve"> </w:t>
      </w:r>
      <w:r w:rsidR="00C67997" w:rsidRPr="003527C4">
        <w:rPr>
          <w:color w:val="000000" w:themeColor="text1"/>
        </w:rPr>
        <w:t>v současném</w:t>
      </w:r>
      <w:r w:rsidR="000B4C2B" w:rsidRPr="003527C4">
        <w:rPr>
          <w:color w:val="000000" w:themeColor="text1"/>
        </w:rPr>
        <w:t xml:space="preserve"> systém</w:t>
      </w:r>
      <w:r w:rsidR="00C67997" w:rsidRPr="003527C4">
        <w:rPr>
          <w:color w:val="000000" w:themeColor="text1"/>
        </w:rPr>
        <w:t>u</w:t>
      </w:r>
      <w:r w:rsidR="000B4C2B" w:rsidRPr="003527C4">
        <w:rPr>
          <w:color w:val="000000" w:themeColor="text1"/>
        </w:rPr>
        <w:t xml:space="preserve"> financování </w:t>
      </w:r>
      <w:proofErr w:type="spellStart"/>
      <w:r w:rsidR="000B4C2B" w:rsidRPr="003527C4">
        <w:rPr>
          <w:color w:val="000000" w:themeColor="text1"/>
        </w:rPr>
        <w:t>VaV</w:t>
      </w:r>
      <w:proofErr w:type="spellEnd"/>
      <w:r w:rsidR="000B4C2B" w:rsidRPr="003527C4">
        <w:rPr>
          <w:color w:val="000000" w:themeColor="text1"/>
        </w:rPr>
        <w:t xml:space="preserve"> </w:t>
      </w:r>
      <w:r w:rsidR="00C67997" w:rsidRPr="003527C4">
        <w:rPr>
          <w:color w:val="000000" w:themeColor="text1"/>
        </w:rPr>
        <w:t>nejsou</w:t>
      </w:r>
      <w:r w:rsidR="00574505" w:rsidRPr="003527C4">
        <w:rPr>
          <w:color w:val="000000" w:themeColor="text1"/>
        </w:rPr>
        <w:t>.</w:t>
      </w:r>
    </w:p>
    <w:p w:rsidR="00C67997" w:rsidRPr="003527C4" w:rsidRDefault="00C67997" w:rsidP="00E70FDC">
      <w:pPr>
        <w:jc w:val="both"/>
        <w:rPr>
          <w:color w:val="000000" w:themeColor="text1"/>
        </w:rPr>
      </w:pPr>
    </w:p>
    <w:p w:rsidR="00E70FDC" w:rsidRPr="003527C4" w:rsidRDefault="00C67997" w:rsidP="00E70FDC">
      <w:pPr>
        <w:pStyle w:val="Textkomente"/>
        <w:jc w:val="both"/>
        <w:rPr>
          <w:b/>
          <w:color w:val="000000" w:themeColor="text1"/>
          <w:sz w:val="24"/>
          <w:szCs w:val="24"/>
        </w:rPr>
      </w:pPr>
      <w:r w:rsidRPr="003527C4">
        <w:rPr>
          <w:color w:val="000000" w:themeColor="text1"/>
          <w:sz w:val="24"/>
          <w:szCs w:val="24"/>
        </w:rPr>
        <w:t>Z</w:t>
      </w:r>
      <w:r w:rsidR="00FF54D0" w:rsidRPr="003527C4">
        <w:rPr>
          <w:color w:val="000000" w:themeColor="text1"/>
          <w:sz w:val="24"/>
          <w:szCs w:val="24"/>
        </w:rPr>
        <w:t> tabulky 2</w:t>
      </w:r>
      <w:r w:rsidRPr="003527C4">
        <w:rPr>
          <w:color w:val="000000" w:themeColor="text1"/>
          <w:sz w:val="24"/>
          <w:szCs w:val="24"/>
        </w:rPr>
        <w:t xml:space="preserve"> výše je zřejmé, že</w:t>
      </w:r>
      <w:r w:rsidR="005970BE" w:rsidRPr="003527C4">
        <w:rPr>
          <w:color w:val="000000" w:themeColor="text1"/>
          <w:sz w:val="24"/>
          <w:szCs w:val="24"/>
        </w:rPr>
        <w:t xml:space="preserve"> </w:t>
      </w:r>
      <w:r w:rsidR="00E70FDC" w:rsidRPr="003527C4">
        <w:rPr>
          <w:color w:val="000000" w:themeColor="text1"/>
          <w:sz w:val="24"/>
          <w:szCs w:val="24"/>
        </w:rPr>
        <w:t>centra předpokládají</w:t>
      </w:r>
      <w:r w:rsidRPr="003527C4">
        <w:rPr>
          <w:color w:val="000000" w:themeColor="text1"/>
          <w:sz w:val="24"/>
          <w:szCs w:val="24"/>
        </w:rPr>
        <w:t xml:space="preserve"> podíl instituci</w:t>
      </w:r>
      <w:r w:rsidR="00576BFD" w:rsidRPr="003527C4">
        <w:rPr>
          <w:color w:val="000000" w:themeColor="text1"/>
          <w:sz w:val="24"/>
          <w:szCs w:val="24"/>
        </w:rPr>
        <w:t>on</w:t>
      </w:r>
      <w:r w:rsidRPr="003527C4">
        <w:rPr>
          <w:color w:val="000000" w:themeColor="text1"/>
          <w:sz w:val="24"/>
          <w:szCs w:val="24"/>
        </w:rPr>
        <w:t xml:space="preserve">ální podpory na financování </w:t>
      </w:r>
      <w:proofErr w:type="spellStart"/>
      <w:r w:rsidRPr="003527C4">
        <w:rPr>
          <w:color w:val="000000" w:themeColor="text1"/>
          <w:sz w:val="24"/>
          <w:szCs w:val="24"/>
        </w:rPr>
        <w:t>VaV</w:t>
      </w:r>
      <w:proofErr w:type="spellEnd"/>
      <w:r w:rsidRPr="003527C4">
        <w:rPr>
          <w:color w:val="000000" w:themeColor="text1"/>
          <w:sz w:val="24"/>
          <w:szCs w:val="24"/>
        </w:rPr>
        <w:t xml:space="preserve"> center</w:t>
      </w:r>
      <w:r w:rsidR="0035398A" w:rsidRPr="003527C4">
        <w:rPr>
          <w:color w:val="000000" w:themeColor="text1"/>
          <w:sz w:val="24"/>
          <w:szCs w:val="24"/>
        </w:rPr>
        <w:t xml:space="preserve"> v letech 201</w:t>
      </w:r>
      <w:r w:rsidR="00576BFD" w:rsidRPr="003527C4">
        <w:rPr>
          <w:color w:val="000000" w:themeColor="text1"/>
          <w:sz w:val="24"/>
          <w:szCs w:val="24"/>
        </w:rPr>
        <w:t>6</w:t>
      </w:r>
      <w:r w:rsidR="0035398A" w:rsidRPr="003527C4">
        <w:rPr>
          <w:color w:val="000000" w:themeColor="text1"/>
          <w:sz w:val="24"/>
          <w:szCs w:val="24"/>
        </w:rPr>
        <w:t xml:space="preserve"> – 2020 kolem </w:t>
      </w:r>
      <w:r w:rsidR="00507B2E">
        <w:rPr>
          <w:color w:val="000000" w:themeColor="text1"/>
          <w:sz w:val="24"/>
          <w:szCs w:val="24"/>
        </w:rPr>
        <w:t>17</w:t>
      </w:r>
      <w:r w:rsidR="00E70FDC" w:rsidRPr="003527C4">
        <w:rPr>
          <w:color w:val="000000" w:themeColor="text1"/>
          <w:sz w:val="24"/>
          <w:szCs w:val="24"/>
        </w:rPr>
        <w:t xml:space="preserve"> </w:t>
      </w:r>
      <w:r w:rsidR="0035398A" w:rsidRPr="003527C4">
        <w:rPr>
          <w:color w:val="000000" w:themeColor="text1"/>
          <w:sz w:val="24"/>
          <w:szCs w:val="24"/>
        </w:rPr>
        <w:t>%, na této úrovni zůstává a nijak výrazně neklesá.</w:t>
      </w:r>
      <w:r w:rsidRPr="003527C4">
        <w:rPr>
          <w:color w:val="000000" w:themeColor="text1"/>
          <w:sz w:val="24"/>
          <w:szCs w:val="24"/>
        </w:rPr>
        <w:t xml:space="preserve"> </w:t>
      </w:r>
      <w:r w:rsidR="00576BFD" w:rsidRPr="003527C4">
        <w:rPr>
          <w:color w:val="000000" w:themeColor="text1"/>
          <w:sz w:val="24"/>
          <w:szCs w:val="24"/>
        </w:rPr>
        <w:t>Stejně tak je tomu v</w:t>
      </w:r>
      <w:r w:rsidR="00F06399" w:rsidRPr="003527C4">
        <w:rPr>
          <w:color w:val="000000" w:themeColor="text1"/>
          <w:sz w:val="24"/>
          <w:szCs w:val="24"/>
        </w:rPr>
        <w:t> případě účelového financování</w:t>
      </w:r>
      <w:r w:rsidR="0051028F" w:rsidRPr="003527C4">
        <w:rPr>
          <w:color w:val="000000" w:themeColor="text1"/>
          <w:sz w:val="24"/>
          <w:szCs w:val="24"/>
        </w:rPr>
        <w:t>, jehož p</w:t>
      </w:r>
      <w:r w:rsidR="00F06399" w:rsidRPr="003527C4">
        <w:rPr>
          <w:color w:val="000000" w:themeColor="text1"/>
          <w:sz w:val="24"/>
          <w:szCs w:val="24"/>
        </w:rPr>
        <w:t xml:space="preserve">odíl </w:t>
      </w:r>
      <w:r w:rsidR="00507B2E">
        <w:rPr>
          <w:color w:val="000000" w:themeColor="text1"/>
          <w:sz w:val="24"/>
          <w:szCs w:val="24"/>
        </w:rPr>
        <w:t>zůstává na 50</w:t>
      </w:r>
      <w:r w:rsidR="00576BFD" w:rsidRPr="003527C4">
        <w:rPr>
          <w:color w:val="000000" w:themeColor="text1"/>
          <w:sz w:val="24"/>
          <w:szCs w:val="24"/>
        </w:rPr>
        <w:t xml:space="preserve"> %</w:t>
      </w:r>
      <w:r w:rsidR="00F06399" w:rsidRPr="003527C4">
        <w:rPr>
          <w:color w:val="000000" w:themeColor="text1"/>
          <w:sz w:val="24"/>
          <w:szCs w:val="24"/>
        </w:rPr>
        <w:t>.</w:t>
      </w:r>
      <w:r w:rsidR="00E70FDC" w:rsidRPr="003527C4">
        <w:rPr>
          <w:color w:val="000000" w:themeColor="text1"/>
          <w:sz w:val="24"/>
          <w:szCs w:val="24"/>
        </w:rPr>
        <w:t xml:space="preserve"> </w:t>
      </w:r>
      <w:r w:rsidR="00E70FDC" w:rsidRPr="003527C4">
        <w:rPr>
          <w:b/>
          <w:color w:val="000000" w:themeColor="text1"/>
          <w:sz w:val="24"/>
          <w:szCs w:val="24"/>
        </w:rPr>
        <w:t>Z provozních plánů center je tedy zřejmá výrazná závislost center na státním rozpočtu</w:t>
      </w:r>
      <w:r w:rsidR="0051028F" w:rsidRPr="003527C4">
        <w:rPr>
          <w:b/>
          <w:color w:val="000000" w:themeColor="text1"/>
          <w:sz w:val="24"/>
          <w:szCs w:val="24"/>
        </w:rPr>
        <w:t xml:space="preserve"> (kolem </w:t>
      </w:r>
      <w:r w:rsidR="001C72F4">
        <w:rPr>
          <w:b/>
          <w:color w:val="000000" w:themeColor="text1"/>
          <w:sz w:val="24"/>
          <w:szCs w:val="24"/>
        </w:rPr>
        <w:t>68</w:t>
      </w:r>
      <w:r w:rsidR="0051028F" w:rsidRPr="003527C4">
        <w:rPr>
          <w:b/>
          <w:color w:val="000000" w:themeColor="text1"/>
          <w:sz w:val="24"/>
          <w:szCs w:val="24"/>
        </w:rPr>
        <w:t>%)</w:t>
      </w:r>
      <w:r w:rsidR="00E70FDC" w:rsidRPr="003527C4">
        <w:rPr>
          <w:b/>
          <w:color w:val="000000" w:themeColor="text1"/>
          <w:sz w:val="24"/>
          <w:szCs w:val="24"/>
        </w:rPr>
        <w:t>, což v případě stagnujících výdaj</w:t>
      </w:r>
      <w:r w:rsidR="0051028F" w:rsidRPr="003527C4">
        <w:rPr>
          <w:b/>
          <w:color w:val="000000" w:themeColor="text1"/>
          <w:sz w:val="24"/>
          <w:szCs w:val="24"/>
        </w:rPr>
        <w:t>ů</w:t>
      </w:r>
      <w:r w:rsidR="00E70FDC" w:rsidRPr="003527C4">
        <w:rPr>
          <w:b/>
          <w:color w:val="000000" w:themeColor="text1"/>
          <w:sz w:val="24"/>
          <w:szCs w:val="24"/>
        </w:rPr>
        <w:t xml:space="preserve"> na </w:t>
      </w:r>
      <w:proofErr w:type="spellStart"/>
      <w:r w:rsidR="00E70FDC" w:rsidRPr="003527C4">
        <w:rPr>
          <w:b/>
          <w:color w:val="000000" w:themeColor="text1"/>
          <w:sz w:val="24"/>
          <w:szCs w:val="24"/>
        </w:rPr>
        <w:t>VaV</w:t>
      </w:r>
      <w:proofErr w:type="spellEnd"/>
      <w:r w:rsidR="00E70FDC" w:rsidRPr="003527C4">
        <w:rPr>
          <w:b/>
          <w:color w:val="000000" w:themeColor="text1"/>
          <w:sz w:val="24"/>
          <w:szCs w:val="24"/>
        </w:rPr>
        <w:t xml:space="preserve"> a narůstajícím počtu center může způsobit zásadní problém.</w:t>
      </w:r>
      <w:r w:rsidR="009C58C5" w:rsidRPr="003527C4">
        <w:rPr>
          <w:b/>
          <w:color w:val="000000" w:themeColor="text1"/>
          <w:sz w:val="24"/>
          <w:szCs w:val="24"/>
        </w:rPr>
        <w:t xml:space="preserve"> </w:t>
      </w:r>
    </w:p>
    <w:p w:rsidR="00C67997" w:rsidRPr="003527C4" w:rsidRDefault="00C67997" w:rsidP="00E70FDC">
      <w:pPr>
        <w:jc w:val="both"/>
        <w:rPr>
          <w:color w:val="000000" w:themeColor="text1"/>
        </w:rPr>
      </w:pPr>
    </w:p>
    <w:p w:rsidR="00E70FDC" w:rsidRPr="003527C4" w:rsidRDefault="00E70FDC" w:rsidP="007C02BF">
      <w:pPr>
        <w:pStyle w:val="Textkomente"/>
        <w:jc w:val="both"/>
        <w:rPr>
          <w:b/>
          <w:color w:val="000000" w:themeColor="text1"/>
          <w:sz w:val="24"/>
          <w:szCs w:val="24"/>
        </w:rPr>
      </w:pPr>
      <w:r w:rsidRPr="003527C4">
        <w:rPr>
          <w:b/>
          <w:color w:val="000000" w:themeColor="text1"/>
          <w:sz w:val="24"/>
          <w:szCs w:val="24"/>
        </w:rPr>
        <w:t xml:space="preserve">V případě, že nebudou </w:t>
      </w:r>
      <w:r w:rsidR="00CB4AF8">
        <w:rPr>
          <w:b/>
          <w:color w:val="000000" w:themeColor="text1"/>
          <w:sz w:val="24"/>
          <w:szCs w:val="24"/>
        </w:rPr>
        <w:t xml:space="preserve">efektivně </w:t>
      </w:r>
      <w:r w:rsidR="007A0A5A">
        <w:rPr>
          <w:b/>
          <w:color w:val="000000" w:themeColor="text1"/>
          <w:sz w:val="24"/>
          <w:szCs w:val="24"/>
        </w:rPr>
        <w:t>roz</w:t>
      </w:r>
      <w:r w:rsidR="00CB4AF8">
        <w:rPr>
          <w:b/>
          <w:color w:val="000000" w:themeColor="text1"/>
          <w:sz w:val="24"/>
          <w:szCs w:val="24"/>
        </w:rPr>
        <w:t>dělovány</w:t>
      </w:r>
      <w:r w:rsidR="00CB4AF8" w:rsidRPr="003527C4">
        <w:rPr>
          <w:b/>
          <w:color w:val="000000" w:themeColor="text1"/>
          <w:sz w:val="24"/>
          <w:szCs w:val="24"/>
        </w:rPr>
        <w:t xml:space="preserve"> </w:t>
      </w:r>
      <w:r w:rsidRPr="003527C4">
        <w:rPr>
          <w:b/>
          <w:color w:val="000000" w:themeColor="text1"/>
          <w:sz w:val="24"/>
          <w:szCs w:val="24"/>
        </w:rPr>
        <w:t xml:space="preserve">prostředky na institucionální a účelovou podporu </w:t>
      </w:r>
      <w:r w:rsidR="0086121F" w:rsidRPr="00485092">
        <w:rPr>
          <w:b/>
          <w:color w:val="000000" w:themeColor="text1"/>
          <w:sz w:val="24"/>
          <w:szCs w:val="24"/>
        </w:rPr>
        <w:t xml:space="preserve">a </w:t>
      </w:r>
      <w:proofErr w:type="spellStart"/>
      <w:r w:rsidR="0086121F" w:rsidRPr="00485092">
        <w:rPr>
          <w:b/>
          <w:color w:val="000000" w:themeColor="text1"/>
          <w:sz w:val="24"/>
          <w:szCs w:val="24"/>
        </w:rPr>
        <w:t>VaV</w:t>
      </w:r>
      <w:proofErr w:type="spellEnd"/>
      <w:r w:rsidR="0086121F" w:rsidRPr="00485092">
        <w:rPr>
          <w:b/>
          <w:color w:val="000000" w:themeColor="text1"/>
          <w:sz w:val="24"/>
          <w:szCs w:val="24"/>
        </w:rPr>
        <w:t xml:space="preserve"> centra nebudou strategicky motivována k zajištění kvalitních lidských zdrojů, nebude docházet k </w:t>
      </w:r>
      <w:r w:rsidRPr="003527C4">
        <w:rPr>
          <w:b/>
          <w:color w:val="000000" w:themeColor="text1"/>
          <w:sz w:val="24"/>
          <w:szCs w:val="24"/>
        </w:rPr>
        <w:t>rozvoji vysoce kvalifikovaných lidských zdrojů</w:t>
      </w:r>
      <w:r w:rsidR="000F5CAA" w:rsidRPr="003527C4">
        <w:rPr>
          <w:b/>
          <w:color w:val="000000" w:themeColor="text1"/>
          <w:sz w:val="24"/>
          <w:szCs w:val="24"/>
        </w:rPr>
        <w:t xml:space="preserve"> (především není možné financovat </w:t>
      </w:r>
      <w:r w:rsidRPr="003527C4">
        <w:rPr>
          <w:b/>
          <w:color w:val="000000" w:themeColor="text1"/>
          <w:sz w:val="24"/>
          <w:szCs w:val="24"/>
        </w:rPr>
        <w:t>vědce ze zahraničí</w:t>
      </w:r>
      <w:r w:rsidR="000F5CAA" w:rsidRPr="003527C4">
        <w:rPr>
          <w:b/>
          <w:color w:val="000000" w:themeColor="text1"/>
          <w:sz w:val="24"/>
          <w:szCs w:val="24"/>
        </w:rPr>
        <w:t xml:space="preserve"> a podporovat </w:t>
      </w:r>
      <w:proofErr w:type="spellStart"/>
      <w:r w:rsidR="000F5CAA" w:rsidRPr="003527C4">
        <w:rPr>
          <w:b/>
          <w:color w:val="000000" w:themeColor="text1"/>
          <w:sz w:val="24"/>
          <w:szCs w:val="24"/>
        </w:rPr>
        <w:t>VaV</w:t>
      </w:r>
      <w:proofErr w:type="spellEnd"/>
      <w:r w:rsidR="000F5CAA" w:rsidRPr="003527C4">
        <w:rPr>
          <w:b/>
          <w:color w:val="000000" w:themeColor="text1"/>
          <w:sz w:val="24"/>
          <w:szCs w:val="24"/>
        </w:rPr>
        <w:t xml:space="preserve"> orientaci na univerzitách). </w:t>
      </w:r>
      <w:r w:rsidR="007C02BF" w:rsidRPr="003527C4">
        <w:rPr>
          <w:b/>
          <w:color w:val="000000" w:themeColor="text1"/>
          <w:sz w:val="24"/>
          <w:szCs w:val="24"/>
        </w:rPr>
        <w:t>To může mít z</w:t>
      </w:r>
      <w:r w:rsidR="00282789" w:rsidRPr="003527C4">
        <w:rPr>
          <w:b/>
          <w:color w:val="000000" w:themeColor="text1"/>
          <w:sz w:val="24"/>
          <w:szCs w:val="24"/>
        </w:rPr>
        <w:t xml:space="preserve">a následek vážný nedostatek </w:t>
      </w:r>
      <w:r w:rsidR="00933296">
        <w:rPr>
          <w:b/>
          <w:color w:val="000000" w:themeColor="text1"/>
          <w:sz w:val="24"/>
          <w:szCs w:val="24"/>
        </w:rPr>
        <w:t>kvalitních lidských zdrojů</w:t>
      </w:r>
      <w:r w:rsidR="007C02BF" w:rsidRPr="003527C4">
        <w:rPr>
          <w:b/>
          <w:color w:val="000000" w:themeColor="text1"/>
          <w:sz w:val="24"/>
          <w:szCs w:val="24"/>
        </w:rPr>
        <w:t xml:space="preserve"> v </w:t>
      </w:r>
      <w:r w:rsidR="000F5CAA" w:rsidRPr="003527C4">
        <w:rPr>
          <w:b/>
          <w:color w:val="000000" w:themeColor="text1"/>
          <w:sz w:val="24"/>
          <w:szCs w:val="24"/>
        </w:rPr>
        <w:t xml:space="preserve">systému </w:t>
      </w:r>
      <w:proofErr w:type="spellStart"/>
      <w:r w:rsidR="000F5CAA" w:rsidRPr="003527C4">
        <w:rPr>
          <w:b/>
          <w:color w:val="000000" w:themeColor="text1"/>
          <w:sz w:val="24"/>
          <w:szCs w:val="24"/>
        </w:rPr>
        <w:t>VaV</w:t>
      </w:r>
      <w:proofErr w:type="spellEnd"/>
      <w:r w:rsidR="000F5CAA" w:rsidRPr="003527C4">
        <w:rPr>
          <w:b/>
          <w:color w:val="000000" w:themeColor="text1"/>
          <w:sz w:val="24"/>
          <w:szCs w:val="24"/>
        </w:rPr>
        <w:t>.</w:t>
      </w:r>
    </w:p>
    <w:p w:rsidR="00351FDC" w:rsidRPr="003527C4" w:rsidRDefault="00351FDC" w:rsidP="00351FDC">
      <w:pPr>
        <w:jc w:val="both"/>
        <w:rPr>
          <w:color w:val="000000" w:themeColor="text1"/>
        </w:rPr>
      </w:pPr>
    </w:p>
    <w:p w:rsidR="007051AC" w:rsidRPr="003527C4" w:rsidRDefault="007051AC" w:rsidP="00E70FDC">
      <w:pPr>
        <w:widowControl/>
        <w:suppressAutoHyphens w:val="0"/>
        <w:autoSpaceDN/>
        <w:spacing w:after="200"/>
        <w:jc w:val="both"/>
        <w:textAlignment w:val="auto"/>
        <w:rPr>
          <w:b/>
          <w:color w:val="000000" w:themeColor="text1"/>
        </w:rPr>
      </w:pPr>
      <w:r w:rsidRPr="003527C4">
        <w:rPr>
          <w:b/>
          <w:color w:val="000000" w:themeColor="text1"/>
        </w:rPr>
        <w:t>Výše uvedené důvody čin</w:t>
      </w:r>
      <w:r w:rsidR="00F06399" w:rsidRPr="003527C4">
        <w:rPr>
          <w:b/>
          <w:color w:val="000000" w:themeColor="text1"/>
        </w:rPr>
        <w:t>í</w:t>
      </w:r>
      <w:r w:rsidRPr="003527C4">
        <w:rPr>
          <w:b/>
          <w:color w:val="000000" w:themeColor="text1"/>
        </w:rPr>
        <w:t xml:space="preserve"> finanční plánování provozu center, zvláště v dlouhodobém výhledu</w:t>
      </w:r>
      <w:r w:rsidR="00DE2B77" w:rsidRPr="003527C4">
        <w:rPr>
          <w:b/>
          <w:color w:val="000000" w:themeColor="text1"/>
        </w:rPr>
        <w:t xml:space="preserve"> velmi obtížným, což se negativně projevuje i na absenci </w:t>
      </w:r>
      <w:r w:rsidR="00816892" w:rsidRPr="003527C4">
        <w:rPr>
          <w:b/>
          <w:color w:val="000000" w:themeColor="text1"/>
        </w:rPr>
        <w:t xml:space="preserve">kvalitní </w:t>
      </w:r>
      <w:r w:rsidR="00DE2B77" w:rsidRPr="003527C4">
        <w:rPr>
          <w:b/>
          <w:color w:val="000000" w:themeColor="text1"/>
        </w:rPr>
        <w:t>strategické</w:t>
      </w:r>
      <w:r w:rsidR="00816892" w:rsidRPr="003527C4">
        <w:rPr>
          <w:b/>
          <w:color w:val="000000" w:themeColor="text1"/>
        </w:rPr>
        <w:t xml:space="preserve"> výzkumné</w:t>
      </w:r>
      <w:r w:rsidR="00DE2B77" w:rsidRPr="003527C4">
        <w:rPr>
          <w:b/>
          <w:color w:val="000000" w:themeColor="text1"/>
        </w:rPr>
        <w:t xml:space="preserve"> vize </w:t>
      </w:r>
      <w:r w:rsidR="00816892" w:rsidRPr="003527C4">
        <w:rPr>
          <w:b/>
          <w:color w:val="000000" w:themeColor="text1"/>
        </w:rPr>
        <w:t xml:space="preserve">mnohých </w:t>
      </w:r>
      <w:proofErr w:type="spellStart"/>
      <w:r w:rsidR="00DE2B77" w:rsidRPr="003527C4">
        <w:rPr>
          <w:b/>
          <w:color w:val="000000" w:themeColor="text1"/>
        </w:rPr>
        <w:t>VaV</w:t>
      </w:r>
      <w:proofErr w:type="spellEnd"/>
      <w:r w:rsidR="00DE2B77" w:rsidRPr="003527C4">
        <w:rPr>
          <w:b/>
          <w:color w:val="000000" w:themeColor="text1"/>
        </w:rPr>
        <w:t xml:space="preserve"> center. </w:t>
      </w:r>
      <w:r w:rsidRPr="003527C4">
        <w:rPr>
          <w:b/>
          <w:color w:val="000000" w:themeColor="text1"/>
        </w:rPr>
        <w:t xml:space="preserve">Centra rozvíjející svojí činnost na mezinárodní úroveň </w:t>
      </w:r>
      <w:r w:rsidR="00E70FDC" w:rsidRPr="003527C4">
        <w:rPr>
          <w:b/>
          <w:color w:val="000000" w:themeColor="text1"/>
        </w:rPr>
        <w:t>jsou</w:t>
      </w:r>
      <w:r w:rsidRPr="003527C4">
        <w:rPr>
          <w:b/>
          <w:color w:val="000000" w:themeColor="text1"/>
        </w:rPr>
        <w:t xml:space="preserve"> těmito pr</w:t>
      </w:r>
      <w:r w:rsidRPr="003527C4">
        <w:rPr>
          <w:b/>
          <w:color w:val="000000" w:themeColor="text1"/>
        </w:rPr>
        <w:t>o</w:t>
      </w:r>
      <w:r w:rsidRPr="003527C4">
        <w:rPr>
          <w:b/>
          <w:color w:val="000000" w:themeColor="text1"/>
        </w:rPr>
        <w:t>blémy velmi svazována</w:t>
      </w:r>
      <w:r w:rsidR="00816892" w:rsidRPr="003527C4">
        <w:rPr>
          <w:b/>
          <w:color w:val="000000" w:themeColor="text1"/>
        </w:rPr>
        <w:t xml:space="preserve">. </w:t>
      </w:r>
      <w:r w:rsidR="00FB542C" w:rsidRPr="003527C4">
        <w:rPr>
          <w:b/>
          <w:color w:val="000000" w:themeColor="text1"/>
        </w:rPr>
        <w:t>Systém přidělování instituci</w:t>
      </w:r>
      <w:r w:rsidR="00933296">
        <w:rPr>
          <w:b/>
          <w:color w:val="000000" w:themeColor="text1"/>
        </w:rPr>
        <w:t>on</w:t>
      </w:r>
      <w:r w:rsidR="00FB542C" w:rsidRPr="003527C4">
        <w:rPr>
          <w:b/>
          <w:color w:val="000000" w:themeColor="text1"/>
        </w:rPr>
        <w:t xml:space="preserve">ální podpory vyžaduje reformu. </w:t>
      </w:r>
      <w:r w:rsidR="00282789" w:rsidRPr="003527C4">
        <w:rPr>
          <w:b/>
          <w:color w:val="000000" w:themeColor="text1"/>
        </w:rPr>
        <w:t xml:space="preserve">Na škodlivou nestabilitu financování </w:t>
      </w:r>
      <w:proofErr w:type="spellStart"/>
      <w:r w:rsidR="00282789" w:rsidRPr="003527C4">
        <w:rPr>
          <w:b/>
          <w:color w:val="000000" w:themeColor="text1"/>
        </w:rPr>
        <w:t>VaVaI</w:t>
      </w:r>
      <w:proofErr w:type="spellEnd"/>
      <w:r w:rsidR="00282789" w:rsidRPr="003527C4">
        <w:rPr>
          <w:b/>
          <w:color w:val="000000" w:themeColor="text1"/>
        </w:rPr>
        <w:t xml:space="preserve"> pro </w:t>
      </w:r>
      <w:r w:rsidR="00FB542C" w:rsidRPr="003527C4">
        <w:rPr>
          <w:b/>
          <w:color w:val="000000" w:themeColor="text1"/>
        </w:rPr>
        <w:t>VO</w:t>
      </w:r>
      <w:r w:rsidR="00282789" w:rsidRPr="003527C4">
        <w:rPr>
          <w:b/>
          <w:color w:val="000000" w:themeColor="text1"/>
        </w:rPr>
        <w:t xml:space="preserve"> rovněž upozorňuje Audit </w:t>
      </w:r>
      <w:proofErr w:type="spellStart"/>
      <w:r w:rsidR="00282789" w:rsidRPr="003527C4">
        <w:rPr>
          <w:b/>
          <w:color w:val="000000" w:themeColor="text1"/>
        </w:rPr>
        <w:t>VaVaI</w:t>
      </w:r>
      <w:proofErr w:type="spellEnd"/>
      <w:r w:rsidR="00282789" w:rsidRPr="003527C4">
        <w:rPr>
          <w:b/>
          <w:color w:val="000000" w:themeColor="text1"/>
        </w:rPr>
        <w:t xml:space="preserve"> </w:t>
      </w:r>
      <w:r w:rsidR="00282789" w:rsidRPr="003527C4">
        <w:rPr>
          <w:rStyle w:val="Znakapoznpodarou"/>
          <w:b/>
          <w:color w:val="000000" w:themeColor="text1"/>
        </w:rPr>
        <w:footnoteReference w:id="14"/>
      </w:r>
      <w:r w:rsidR="00816892" w:rsidRPr="003527C4">
        <w:rPr>
          <w:b/>
          <w:color w:val="000000" w:themeColor="text1"/>
        </w:rPr>
        <w:t>Ř</w:t>
      </w:r>
      <w:r w:rsidRPr="003527C4">
        <w:rPr>
          <w:b/>
          <w:color w:val="000000" w:themeColor="text1"/>
        </w:rPr>
        <w:t xml:space="preserve">ešení </w:t>
      </w:r>
      <w:r w:rsidR="00816892" w:rsidRPr="003527C4">
        <w:rPr>
          <w:b/>
          <w:color w:val="000000" w:themeColor="text1"/>
        </w:rPr>
        <w:t xml:space="preserve">této situace </w:t>
      </w:r>
      <w:r w:rsidRPr="003527C4">
        <w:rPr>
          <w:b/>
          <w:color w:val="000000" w:themeColor="text1"/>
        </w:rPr>
        <w:t>musí být systémové a mělo by</w:t>
      </w:r>
      <w:r w:rsidR="00FF54D0" w:rsidRPr="003527C4">
        <w:rPr>
          <w:b/>
          <w:color w:val="000000" w:themeColor="text1"/>
        </w:rPr>
        <w:t xml:space="preserve"> být přijato na vládní úrovni. </w:t>
      </w:r>
    </w:p>
    <w:p w:rsidR="009B294C" w:rsidRPr="003527C4" w:rsidRDefault="009B294C" w:rsidP="00E70FDC">
      <w:pPr>
        <w:widowControl/>
        <w:suppressAutoHyphens w:val="0"/>
        <w:autoSpaceDN/>
        <w:spacing w:after="200"/>
        <w:jc w:val="both"/>
        <w:textAlignment w:val="auto"/>
        <w:rPr>
          <w:color w:val="000000" w:themeColor="text1"/>
        </w:rPr>
      </w:pPr>
    </w:p>
    <w:p w:rsidR="003A042F" w:rsidRPr="003527C4" w:rsidRDefault="003A042F" w:rsidP="00827594">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Lidské zdroje</w:t>
      </w:r>
    </w:p>
    <w:p w:rsidR="00BC3967" w:rsidRPr="003527C4" w:rsidRDefault="00BC3967" w:rsidP="00BC3967">
      <w:pPr>
        <w:widowControl/>
        <w:suppressAutoHyphens w:val="0"/>
        <w:autoSpaceDN/>
        <w:spacing w:after="200" w:line="276" w:lineRule="auto"/>
        <w:jc w:val="both"/>
        <w:textAlignment w:val="auto"/>
        <w:rPr>
          <w:color w:val="000000" w:themeColor="text1"/>
        </w:rPr>
      </w:pPr>
    </w:p>
    <w:p w:rsidR="00BC3967" w:rsidRPr="003527C4" w:rsidRDefault="009043C7" w:rsidP="009F6274">
      <w:pPr>
        <w:widowControl/>
        <w:suppressAutoHyphens w:val="0"/>
        <w:autoSpaceDN/>
        <w:spacing w:after="200"/>
        <w:jc w:val="both"/>
        <w:textAlignment w:val="auto"/>
        <w:rPr>
          <w:color w:val="000000" w:themeColor="text1"/>
        </w:rPr>
      </w:pPr>
      <w:r w:rsidRPr="003527C4">
        <w:rPr>
          <w:color w:val="000000" w:themeColor="text1"/>
        </w:rPr>
        <w:t xml:space="preserve">Přístup ČR k řízení a rozvoji lidských zdrojů v českém systému </w:t>
      </w:r>
      <w:proofErr w:type="spellStart"/>
      <w:r w:rsidRPr="003527C4">
        <w:rPr>
          <w:color w:val="000000" w:themeColor="text1"/>
        </w:rPr>
        <w:t>VaVaI</w:t>
      </w:r>
      <w:proofErr w:type="spellEnd"/>
      <w:r w:rsidRPr="003527C4">
        <w:rPr>
          <w:color w:val="000000" w:themeColor="text1"/>
        </w:rPr>
        <w:t xml:space="preserve"> je charakterizován jako n</w:t>
      </w:r>
      <w:r w:rsidRPr="003527C4">
        <w:rPr>
          <w:color w:val="000000" w:themeColor="text1"/>
        </w:rPr>
        <w:t>e</w:t>
      </w:r>
      <w:r w:rsidRPr="003527C4">
        <w:rPr>
          <w:color w:val="000000" w:themeColor="text1"/>
        </w:rPr>
        <w:t xml:space="preserve">systematický. </w:t>
      </w:r>
      <w:r w:rsidR="00BC3967" w:rsidRPr="003527C4">
        <w:rPr>
          <w:color w:val="000000" w:themeColor="text1"/>
        </w:rPr>
        <w:t>Značné rezervy má ČR v oblasti kariérní struktury výzkumníků, která je charakter</w:t>
      </w:r>
      <w:r w:rsidR="00BC3967" w:rsidRPr="003527C4">
        <w:rPr>
          <w:color w:val="000000" w:themeColor="text1"/>
        </w:rPr>
        <w:t>i</w:t>
      </w:r>
      <w:r w:rsidR="00BC3967" w:rsidRPr="003527C4">
        <w:rPr>
          <w:color w:val="000000" w:themeColor="text1"/>
        </w:rPr>
        <w:t>zována deformovaným věkovým složením, vysokým věkem vědců na nejvyšších pozicích, nízkým zastoupením žen, nízkou mobilitou výzkumníků a poměrně nízkým odměňováním mladých vědců ve srovnání s průměrnou mzdou v České republice. Všechny tyto aspekty včetně nedostatků na strukturální úrovni, jako např. náročný a komplikovaný charakter akademické kariéry, mají vliv na</w:t>
      </w:r>
      <w:r w:rsidR="00FB542C" w:rsidRPr="003527C4">
        <w:rPr>
          <w:color w:val="000000" w:themeColor="text1"/>
        </w:rPr>
        <w:t xml:space="preserve"> její</w:t>
      </w:r>
      <w:r w:rsidR="00BC3967" w:rsidRPr="003527C4">
        <w:rPr>
          <w:color w:val="000000" w:themeColor="text1"/>
        </w:rPr>
        <w:t xml:space="preserve"> nízkou atraktivitu. Pro posílení kapacit ve </w:t>
      </w:r>
      <w:proofErr w:type="spellStart"/>
      <w:r w:rsidR="00BC3967" w:rsidRPr="003527C4">
        <w:rPr>
          <w:color w:val="000000" w:themeColor="text1"/>
        </w:rPr>
        <w:t>VaVaI</w:t>
      </w:r>
      <w:proofErr w:type="spellEnd"/>
      <w:r w:rsidR="00BC3967" w:rsidRPr="003527C4">
        <w:rPr>
          <w:color w:val="000000" w:themeColor="text1"/>
        </w:rPr>
        <w:t xml:space="preserve"> je nezbytné tuto atraktivitu zvýšit, a to jak pro české absolventy, tak i pro talenty ze zahraničí. Klíčovou složkou těchto změn bude </w:t>
      </w:r>
      <w:r w:rsidR="00BC3967" w:rsidRPr="003527C4">
        <w:rPr>
          <w:b/>
          <w:color w:val="000000" w:themeColor="text1"/>
        </w:rPr>
        <w:t>snížení nejist</w:t>
      </w:r>
      <w:r w:rsidR="00BC3967" w:rsidRPr="003527C4">
        <w:rPr>
          <w:b/>
          <w:color w:val="000000" w:themeColor="text1"/>
        </w:rPr>
        <w:t>o</w:t>
      </w:r>
      <w:r w:rsidR="00BC3967" w:rsidRPr="003527C4">
        <w:rPr>
          <w:b/>
          <w:color w:val="000000" w:themeColor="text1"/>
        </w:rPr>
        <w:t>ty z hlediska financování lidských zdrojů</w:t>
      </w:r>
      <w:r w:rsidR="00B57D0A" w:rsidRPr="003527C4">
        <w:rPr>
          <w:b/>
          <w:color w:val="000000" w:themeColor="text1"/>
        </w:rPr>
        <w:t>,</w:t>
      </w:r>
      <w:r w:rsidR="00BC3967" w:rsidRPr="003527C4">
        <w:rPr>
          <w:color w:val="000000" w:themeColor="text1"/>
        </w:rPr>
        <w:t xml:space="preserve"> která vyplývá ze současné metodiky hodnocení </w:t>
      </w:r>
      <w:proofErr w:type="spellStart"/>
      <w:r w:rsidR="00BC3967" w:rsidRPr="003527C4">
        <w:rPr>
          <w:color w:val="000000" w:themeColor="text1"/>
        </w:rPr>
        <w:t>VaVaI</w:t>
      </w:r>
      <w:proofErr w:type="spellEnd"/>
      <w:r w:rsidR="00BC3967" w:rsidRPr="003527C4">
        <w:rPr>
          <w:color w:val="000000" w:themeColor="text1"/>
        </w:rPr>
        <w:t>, což by umožnilo výzkumným organizacím vytvářet a rozvíjet dlouhodobé strategie.</w:t>
      </w:r>
    </w:p>
    <w:p w:rsidR="000D31EF" w:rsidRPr="003527C4" w:rsidRDefault="000D31EF" w:rsidP="009F6274">
      <w:pPr>
        <w:pStyle w:val="Odstavecseseznamem"/>
        <w:widowControl/>
        <w:suppressAutoHyphens w:val="0"/>
        <w:autoSpaceDN/>
        <w:spacing w:after="200"/>
        <w:ind w:left="0"/>
        <w:jc w:val="both"/>
        <w:textAlignment w:val="auto"/>
        <w:rPr>
          <w:b/>
          <w:color w:val="000000" w:themeColor="text1"/>
          <w:szCs w:val="24"/>
        </w:rPr>
      </w:pPr>
      <w:r w:rsidRPr="003527C4">
        <w:rPr>
          <w:color w:val="000000" w:themeColor="text1"/>
          <w:szCs w:val="24"/>
        </w:rPr>
        <w:t xml:space="preserve">Kvalita řízení rozvoje lidských zdrojů </w:t>
      </w:r>
      <w:r w:rsidR="00CC45E3" w:rsidRPr="003527C4">
        <w:rPr>
          <w:color w:val="000000" w:themeColor="text1"/>
          <w:szCs w:val="24"/>
        </w:rPr>
        <w:t xml:space="preserve">se v jednotlivých </w:t>
      </w:r>
      <w:proofErr w:type="spellStart"/>
      <w:r w:rsidR="00282789" w:rsidRPr="003527C4">
        <w:rPr>
          <w:color w:val="000000" w:themeColor="text1"/>
          <w:szCs w:val="24"/>
        </w:rPr>
        <w:t>VaV</w:t>
      </w:r>
      <w:proofErr w:type="spellEnd"/>
      <w:r w:rsidR="00282789" w:rsidRPr="003527C4">
        <w:rPr>
          <w:color w:val="000000" w:themeColor="text1"/>
          <w:szCs w:val="24"/>
        </w:rPr>
        <w:t xml:space="preserve"> </w:t>
      </w:r>
      <w:r w:rsidR="00CC45E3" w:rsidRPr="003527C4">
        <w:rPr>
          <w:color w:val="000000" w:themeColor="text1"/>
          <w:szCs w:val="24"/>
        </w:rPr>
        <w:t>centrech liší.</w:t>
      </w:r>
      <w:r w:rsidR="00EB6527" w:rsidRPr="003527C4">
        <w:rPr>
          <w:color w:val="000000" w:themeColor="text1"/>
          <w:szCs w:val="24"/>
        </w:rPr>
        <w:t xml:space="preserve"> V </w:t>
      </w:r>
      <w:r w:rsidRPr="003527C4">
        <w:rPr>
          <w:color w:val="000000" w:themeColor="text1"/>
          <w:szCs w:val="24"/>
        </w:rPr>
        <w:t xml:space="preserve">některých případech již je vytvořen sofistikovaný systém rozvoje </w:t>
      </w:r>
      <w:r w:rsidR="00CC45E3" w:rsidRPr="003527C4">
        <w:rPr>
          <w:color w:val="000000" w:themeColor="text1"/>
          <w:szCs w:val="24"/>
        </w:rPr>
        <w:t>lid</w:t>
      </w:r>
      <w:r w:rsidR="008C6807" w:rsidRPr="003527C4">
        <w:rPr>
          <w:color w:val="000000" w:themeColor="text1"/>
          <w:szCs w:val="24"/>
        </w:rPr>
        <w:t>s</w:t>
      </w:r>
      <w:r w:rsidR="00CC45E3" w:rsidRPr="003527C4">
        <w:rPr>
          <w:color w:val="000000" w:themeColor="text1"/>
          <w:szCs w:val="24"/>
        </w:rPr>
        <w:t>kých zdrojů</w:t>
      </w:r>
      <w:r w:rsidRPr="003527C4">
        <w:rPr>
          <w:color w:val="000000" w:themeColor="text1"/>
          <w:szCs w:val="24"/>
        </w:rPr>
        <w:t>, jiná</w:t>
      </w:r>
      <w:r w:rsidR="00FB542C" w:rsidRPr="003527C4">
        <w:rPr>
          <w:color w:val="000000" w:themeColor="text1"/>
          <w:szCs w:val="24"/>
        </w:rPr>
        <w:t xml:space="preserve"> </w:t>
      </w:r>
      <w:proofErr w:type="spellStart"/>
      <w:r w:rsidR="00FB542C" w:rsidRPr="003527C4">
        <w:rPr>
          <w:color w:val="000000" w:themeColor="text1"/>
          <w:szCs w:val="24"/>
        </w:rPr>
        <w:t>VaV</w:t>
      </w:r>
      <w:proofErr w:type="spellEnd"/>
      <w:r w:rsidRPr="003527C4">
        <w:rPr>
          <w:color w:val="000000" w:themeColor="text1"/>
          <w:szCs w:val="24"/>
        </w:rPr>
        <w:t xml:space="preserve"> centra</w:t>
      </w:r>
      <w:r w:rsidR="00CC45E3" w:rsidRPr="003527C4">
        <w:rPr>
          <w:color w:val="000000" w:themeColor="text1"/>
          <w:szCs w:val="24"/>
        </w:rPr>
        <w:t xml:space="preserve"> je</w:t>
      </w:r>
      <w:r w:rsidRPr="003527C4">
        <w:rPr>
          <w:color w:val="000000" w:themeColor="text1"/>
          <w:szCs w:val="24"/>
        </w:rPr>
        <w:t xml:space="preserve"> teprve zavádí. N</w:t>
      </w:r>
      <w:r w:rsidRPr="003527C4">
        <w:rPr>
          <w:color w:val="000000" w:themeColor="text1"/>
          <w:szCs w:val="24"/>
        </w:rPr>
        <w:t>ě</w:t>
      </w:r>
      <w:r w:rsidRPr="003527C4">
        <w:rPr>
          <w:color w:val="000000" w:themeColor="text1"/>
          <w:szCs w:val="24"/>
        </w:rPr>
        <w:t xml:space="preserve">která </w:t>
      </w:r>
      <w:proofErr w:type="spellStart"/>
      <w:r w:rsidR="00FB542C" w:rsidRPr="003527C4">
        <w:rPr>
          <w:color w:val="000000" w:themeColor="text1"/>
          <w:szCs w:val="24"/>
        </w:rPr>
        <w:t>VaV</w:t>
      </w:r>
      <w:proofErr w:type="spellEnd"/>
      <w:r w:rsidR="00FB542C" w:rsidRPr="003527C4">
        <w:rPr>
          <w:color w:val="000000" w:themeColor="text1"/>
          <w:szCs w:val="24"/>
        </w:rPr>
        <w:t xml:space="preserve"> </w:t>
      </w:r>
      <w:r w:rsidRPr="003527C4">
        <w:rPr>
          <w:color w:val="000000" w:themeColor="text1"/>
          <w:szCs w:val="24"/>
        </w:rPr>
        <w:t>centra přebírají systémy rozvoje lidských zdrojů svých mateřských nebo původních inst</w:t>
      </w:r>
      <w:r w:rsidRPr="003527C4">
        <w:rPr>
          <w:color w:val="000000" w:themeColor="text1"/>
          <w:szCs w:val="24"/>
        </w:rPr>
        <w:t>i</w:t>
      </w:r>
      <w:r w:rsidRPr="003527C4">
        <w:rPr>
          <w:color w:val="000000" w:themeColor="text1"/>
          <w:szCs w:val="24"/>
        </w:rPr>
        <w:t xml:space="preserve">tucí, tento model však není shledáván jako vhodný vzhledem k výzvám, kterým budou v této oblasti </w:t>
      </w:r>
      <w:proofErr w:type="spellStart"/>
      <w:r w:rsidR="00FB542C" w:rsidRPr="003527C4">
        <w:rPr>
          <w:color w:val="000000" w:themeColor="text1"/>
          <w:szCs w:val="24"/>
        </w:rPr>
        <w:t>VaV</w:t>
      </w:r>
      <w:proofErr w:type="spellEnd"/>
      <w:r w:rsidR="00FB542C" w:rsidRPr="003527C4">
        <w:rPr>
          <w:color w:val="000000" w:themeColor="text1"/>
          <w:szCs w:val="24"/>
        </w:rPr>
        <w:t xml:space="preserve"> </w:t>
      </w:r>
      <w:r w:rsidRPr="003527C4">
        <w:rPr>
          <w:color w:val="000000" w:themeColor="text1"/>
          <w:szCs w:val="24"/>
        </w:rPr>
        <w:t xml:space="preserve">centra čelit do budoucna. </w:t>
      </w:r>
      <w:r w:rsidR="001D5A73">
        <w:rPr>
          <w:rFonts w:cs="Arial"/>
          <w:color w:val="000000"/>
        </w:rPr>
        <w:t>Z NPU lze financovat mzdy zahraničních pracovníků, nicméně VO jsou často svazovány politikami odměňování lidských zdrojů svých mateřských institucí.</w:t>
      </w:r>
      <w:r w:rsidR="00C009DC">
        <w:rPr>
          <w:rFonts w:cs="Arial"/>
          <w:color w:val="000000"/>
        </w:rPr>
        <w:t xml:space="preserve"> </w:t>
      </w:r>
      <w:r w:rsidRPr="003527C4">
        <w:rPr>
          <w:color w:val="000000" w:themeColor="text1"/>
          <w:szCs w:val="24"/>
        </w:rPr>
        <w:t>Pro zv</w:t>
      </w:r>
      <w:r w:rsidRPr="003527C4">
        <w:rPr>
          <w:color w:val="000000" w:themeColor="text1"/>
          <w:szCs w:val="24"/>
        </w:rPr>
        <w:t>ý</w:t>
      </w:r>
      <w:r w:rsidRPr="003527C4">
        <w:rPr>
          <w:color w:val="000000" w:themeColor="text1"/>
          <w:szCs w:val="24"/>
        </w:rPr>
        <w:t>šení a podporu internacionalizace center je nezbytná jednak jejich orientace na přilákání zahrani</w:t>
      </w:r>
      <w:r w:rsidRPr="003527C4">
        <w:rPr>
          <w:color w:val="000000" w:themeColor="text1"/>
          <w:szCs w:val="24"/>
        </w:rPr>
        <w:t>č</w:t>
      </w:r>
      <w:r w:rsidRPr="003527C4">
        <w:rPr>
          <w:color w:val="000000" w:themeColor="text1"/>
          <w:szCs w:val="24"/>
        </w:rPr>
        <w:t>ních pracovníků, a jednak je významné pořádání mezinárodních vědeckých seminářů vedených z</w:t>
      </w:r>
      <w:r w:rsidRPr="003527C4">
        <w:rPr>
          <w:color w:val="000000" w:themeColor="text1"/>
          <w:szCs w:val="24"/>
        </w:rPr>
        <w:t>a</w:t>
      </w:r>
      <w:r w:rsidRPr="003527C4">
        <w:rPr>
          <w:color w:val="000000" w:themeColor="text1"/>
          <w:szCs w:val="24"/>
        </w:rPr>
        <w:t xml:space="preserve">hraničními vědeckými špičkami, což mimo jiné umožňuje navazování kontaktů a je pak klíčové pro rozvoj obousměrné zahraniční mobility. </w:t>
      </w:r>
      <w:r w:rsidRPr="003527C4">
        <w:rPr>
          <w:b/>
          <w:color w:val="000000" w:themeColor="text1"/>
          <w:szCs w:val="24"/>
        </w:rPr>
        <w:t>Obecně centra čelí potížím s lákáním a udržením z</w:t>
      </w:r>
      <w:r w:rsidRPr="003527C4">
        <w:rPr>
          <w:b/>
          <w:color w:val="000000" w:themeColor="text1"/>
          <w:szCs w:val="24"/>
        </w:rPr>
        <w:t>a</w:t>
      </w:r>
      <w:r w:rsidRPr="003527C4">
        <w:rPr>
          <w:b/>
          <w:color w:val="000000" w:themeColor="text1"/>
          <w:szCs w:val="24"/>
        </w:rPr>
        <w:t>hraničních vědců</w:t>
      </w:r>
      <w:r w:rsidR="00902BD0" w:rsidRPr="003527C4">
        <w:rPr>
          <w:b/>
          <w:color w:val="000000" w:themeColor="text1"/>
          <w:szCs w:val="24"/>
        </w:rPr>
        <w:t>.</w:t>
      </w:r>
      <w:r w:rsidRPr="003527C4">
        <w:rPr>
          <w:color w:val="000000" w:themeColor="text1"/>
          <w:szCs w:val="24"/>
        </w:rPr>
        <w:t xml:space="preserve"> </w:t>
      </w:r>
      <w:r w:rsidR="00902BD0" w:rsidRPr="003527C4">
        <w:rPr>
          <w:color w:val="000000" w:themeColor="text1"/>
          <w:szCs w:val="24"/>
        </w:rPr>
        <w:t>J</w:t>
      </w:r>
      <w:r w:rsidRPr="003527C4">
        <w:rPr>
          <w:color w:val="000000" w:themeColor="text1"/>
          <w:szCs w:val="24"/>
        </w:rPr>
        <w:t xml:space="preserve">ednak </w:t>
      </w:r>
      <w:r w:rsidRPr="003527C4">
        <w:rPr>
          <w:b/>
          <w:color w:val="000000" w:themeColor="text1"/>
          <w:szCs w:val="24"/>
        </w:rPr>
        <w:t>mzdové nároky kvalitních vědců ze zahraničí</w:t>
      </w:r>
      <w:r w:rsidRPr="003527C4">
        <w:rPr>
          <w:color w:val="000000" w:themeColor="text1"/>
          <w:szCs w:val="24"/>
        </w:rPr>
        <w:t xml:space="preserve"> (především západní Evropy, USA) jsou vysoké</w:t>
      </w:r>
      <w:r w:rsidR="00902BD0" w:rsidRPr="003527C4">
        <w:rPr>
          <w:color w:val="000000" w:themeColor="text1"/>
          <w:szCs w:val="24"/>
        </w:rPr>
        <w:t>,</w:t>
      </w:r>
      <w:r w:rsidRPr="003527C4">
        <w:rPr>
          <w:color w:val="000000" w:themeColor="text1"/>
          <w:szCs w:val="24"/>
        </w:rPr>
        <w:t xml:space="preserve"> a </w:t>
      </w:r>
      <w:r w:rsidR="00902BD0" w:rsidRPr="003527C4">
        <w:rPr>
          <w:color w:val="000000" w:themeColor="text1"/>
          <w:szCs w:val="24"/>
        </w:rPr>
        <w:t xml:space="preserve">zároveň </w:t>
      </w:r>
      <w:r w:rsidRPr="003527C4">
        <w:rPr>
          <w:color w:val="000000" w:themeColor="text1"/>
          <w:szCs w:val="24"/>
        </w:rPr>
        <w:t>je pro ně obtížné překonat kulturní a jazykové bariéry v </w:t>
      </w:r>
      <w:r w:rsidR="004B7E5D" w:rsidRPr="003527C4">
        <w:rPr>
          <w:color w:val="000000" w:themeColor="text1"/>
          <w:szCs w:val="24"/>
        </w:rPr>
        <w:t>městech regionálního charakteru.</w:t>
      </w:r>
      <w:r w:rsidRPr="003527C4">
        <w:rPr>
          <w:color w:val="000000" w:themeColor="text1"/>
          <w:szCs w:val="24"/>
        </w:rPr>
        <w:t xml:space="preserve"> </w:t>
      </w:r>
      <w:r w:rsidRPr="003527C4">
        <w:rPr>
          <w:b/>
          <w:color w:val="000000" w:themeColor="text1"/>
          <w:szCs w:val="24"/>
        </w:rPr>
        <w:t>Centra potřebují mít možnost nabízet zahraničním praco</w:t>
      </w:r>
      <w:r w:rsidRPr="003527C4">
        <w:rPr>
          <w:b/>
          <w:color w:val="000000" w:themeColor="text1"/>
          <w:szCs w:val="24"/>
        </w:rPr>
        <w:t>v</w:t>
      </w:r>
      <w:r w:rsidRPr="003527C4">
        <w:rPr>
          <w:b/>
          <w:color w:val="000000" w:themeColor="text1"/>
          <w:szCs w:val="24"/>
        </w:rPr>
        <w:t xml:space="preserve">níkům dlouhodobé kontrakty, </w:t>
      </w:r>
      <w:r w:rsidR="004B7E5D" w:rsidRPr="003527C4">
        <w:rPr>
          <w:b/>
          <w:color w:val="000000" w:themeColor="text1"/>
          <w:szCs w:val="24"/>
        </w:rPr>
        <w:t>v současné době</w:t>
      </w:r>
      <w:r w:rsidRPr="003527C4">
        <w:rPr>
          <w:b/>
          <w:color w:val="000000" w:themeColor="text1"/>
          <w:szCs w:val="24"/>
        </w:rPr>
        <w:t xml:space="preserve"> </w:t>
      </w:r>
      <w:r w:rsidR="00282789" w:rsidRPr="003527C4">
        <w:rPr>
          <w:b/>
          <w:color w:val="000000" w:themeColor="text1"/>
          <w:szCs w:val="24"/>
        </w:rPr>
        <w:t xml:space="preserve">ale není </w:t>
      </w:r>
      <w:r w:rsidRPr="003527C4">
        <w:rPr>
          <w:b/>
          <w:color w:val="000000" w:themeColor="text1"/>
          <w:szCs w:val="24"/>
        </w:rPr>
        <w:t xml:space="preserve">jistá jejich </w:t>
      </w:r>
      <w:proofErr w:type="spellStart"/>
      <w:r w:rsidRPr="003527C4">
        <w:rPr>
          <w:b/>
          <w:color w:val="000000" w:themeColor="text1"/>
          <w:szCs w:val="24"/>
        </w:rPr>
        <w:t>financovatelnost</w:t>
      </w:r>
      <w:proofErr w:type="spellEnd"/>
      <w:r w:rsidRPr="003527C4">
        <w:rPr>
          <w:b/>
          <w:color w:val="000000" w:themeColor="text1"/>
          <w:szCs w:val="24"/>
        </w:rPr>
        <w:t xml:space="preserve">. </w:t>
      </w:r>
    </w:p>
    <w:p w:rsidR="000D31EF" w:rsidRPr="003527C4" w:rsidRDefault="000D31EF" w:rsidP="009F6274">
      <w:pPr>
        <w:pStyle w:val="Odstavecseseznamem"/>
        <w:ind w:left="0"/>
        <w:jc w:val="both"/>
        <w:rPr>
          <w:color w:val="000000" w:themeColor="text1"/>
          <w:szCs w:val="24"/>
        </w:rPr>
      </w:pPr>
    </w:p>
    <w:p w:rsidR="000D31EF" w:rsidRPr="003527C4" w:rsidRDefault="000D31EF" w:rsidP="000207F8">
      <w:pPr>
        <w:jc w:val="both"/>
      </w:pPr>
      <w:r w:rsidRPr="003527C4">
        <w:t xml:space="preserve">Příklady dobré praxe </w:t>
      </w:r>
      <w:r w:rsidR="00FD0768" w:rsidRPr="003527C4">
        <w:t>jsou</w:t>
      </w:r>
      <w:r w:rsidRPr="003527C4">
        <w:t xml:space="preserve"> pozorovány v těch centrech, která podporovala své zaměstnance ve studiu či práci v obdobných centrech v zahraničí. V těchto případech </w:t>
      </w:r>
      <w:r w:rsidR="00FD0768" w:rsidRPr="003527C4">
        <w:t>je</w:t>
      </w:r>
      <w:r w:rsidRPr="003527C4">
        <w:t xml:space="preserve"> evidentní, že zkušenosti získané tímto způsobem </w:t>
      </w:r>
      <w:r w:rsidR="00FD0768" w:rsidRPr="003527C4">
        <w:t>jsou</w:t>
      </w:r>
      <w:r w:rsidRPr="003527C4">
        <w:t xml:space="preserve"> velkým přínosem nejen pro dotyčného pracovníka, ale i pro centrum samotné. T</w:t>
      </w:r>
      <w:r w:rsidR="00FD0768" w:rsidRPr="003527C4">
        <w:t xml:space="preserve">ím centrum získává </w:t>
      </w:r>
      <w:r w:rsidRPr="003527C4">
        <w:t>nejen kvalitnějšího zaměstnance, ale posíli</w:t>
      </w:r>
      <w:r w:rsidR="008E011B">
        <w:t>lo tím institucionální vazbu na </w:t>
      </w:r>
      <w:r w:rsidRPr="003527C4">
        <w:t>zahraničního partnera</w:t>
      </w:r>
      <w:r w:rsidRPr="0086091A">
        <w:t>.</w:t>
      </w:r>
      <w:r w:rsidR="00133265" w:rsidRPr="0086091A">
        <w:t xml:space="preserve"> </w:t>
      </w:r>
      <w:r w:rsidR="008E011B">
        <w:t>R</w:t>
      </w:r>
      <w:r w:rsidR="00133265" w:rsidRPr="0086091A">
        <w:t xml:space="preserve">ozvoj v oblasti lidských zdrojů </w:t>
      </w:r>
      <w:r w:rsidR="008E011B">
        <w:t xml:space="preserve">je částečně </w:t>
      </w:r>
      <w:r w:rsidR="00133265" w:rsidRPr="0086091A">
        <w:t>podporován z</w:t>
      </w:r>
      <w:r w:rsidR="005C33DA" w:rsidRPr="0086091A">
        <w:t>e</w:t>
      </w:r>
      <w:r w:rsidR="008E011B">
        <w:t> </w:t>
      </w:r>
      <w:r w:rsidR="005C33DA" w:rsidRPr="0086091A">
        <w:t>synergického</w:t>
      </w:r>
      <w:r w:rsidR="00133265" w:rsidRPr="007058E7">
        <w:t> Operačního programu Vzdělávání pro konkurenceschopnos</w:t>
      </w:r>
      <w:r w:rsidR="005C33DA" w:rsidRPr="007058E7">
        <w:t>t.</w:t>
      </w:r>
      <w:r w:rsidR="005C33DA">
        <w:t xml:space="preserve"> </w:t>
      </w:r>
    </w:p>
    <w:p w:rsidR="000D31EF" w:rsidRPr="003527C4" w:rsidRDefault="000D31EF" w:rsidP="009F6274">
      <w:pPr>
        <w:pStyle w:val="Odstavecseseznamem"/>
        <w:widowControl/>
        <w:suppressAutoHyphens w:val="0"/>
        <w:autoSpaceDN/>
        <w:spacing w:after="200"/>
        <w:ind w:left="0"/>
        <w:jc w:val="both"/>
        <w:textAlignment w:val="auto"/>
        <w:rPr>
          <w:color w:val="000000" w:themeColor="text1"/>
          <w:szCs w:val="24"/>
        </w:rPr>
      </w:pPr>
    </w:p>
    <w:p w:rsidR="000D31EF" w:rsidRPr="003527C4" w:rsidRDefault="000D31EF" w:rsidP="000207F8">
      <w:pPr>
        <w:pStyle w:val="Odstavecseseznamem"/>
        <w:widowControl/>
        <w:suppressAutoHyphens w:val="0"/>
        <w:autoSpaceDN/>
        <w:spacing w:after="200"/>
        <w:ind w:left="0"/>
        <w:jc w:val="both"/>
        <w:textAlignment w:val="auto"/>
        <w:rPr>
          <w:color w:val="000000" w:themeColor="text1"/>
          <w:szCs w:val="24"/>
        </w:rPr>
      </w:pPr>
      <w:r w:rsidRPr="003527C4">
        <w:rPr>
          <w:b/>
        </w:rPr>
        <w:t xml:space="preserve">Významným </w:t>
      </w:r>
      <w:r w:rsidR="004B7E5D" w:rsidRPr="003527C4">
        <w:rPr>
          <w:b/>
        </w:rPr>
        <w:t>problémem</w:t>
      </w:r>
      <w:r w:rsidRPr="003527C4">
        <w:rPr>
          <w:b/>
        </w:rPr>
        <w:t>, který se promítá do všech center</w:t>
      </w:r>
      <w:r w:rsidR="00933296">
        <w:rPr>
          <w:b/>
        </w:rPr>
        <w:t xml:space="preserve"> (a je tedy i významným faktorem jejich dlouhodobé udržitelnosti)</w:t>
      </w:r>
      <w:r w:rsidRPr="003527C4">
        <w:rPr>
          <w:b/>
        </w:rPr>
        <w:t>, je vysoký nárok na personální vědecké kapacity odpovídající kvality</w:t>
      </w:r>
      <w:r w:rsidR="00933296">
        <w:rPr>
          <w:b/>
        </w:rPr>
        <w:t>.</w:t>
      </w:r>
      <w:r w:rsidRPr="003527C4">
        <w:rPr>
          <w:b/>
        </w:rPr>
        <w:t xml:space="preserve"> </w:t>
      </w:r>
      <w:r w:rsidR="00933296">
        <w:rPr>
          <w:b/>
        </w:rPr>
        <w:t>H</w:t>
      </w:r>
      <w:r w:rsidRPr="003527C4">
        <w:rPr>
          <w:b/>
        </w:rPr>
        <w:t xml:space="preserve">rozí, že Česká republika nenasytí požadavky všech 48 center. Demografické trendy počtu studentů mají klesající tendenci, s tím je spojeno riziko zmenšující se základny vědců potenciálně se rekrutujících do center a následující upadající kvalita </w:t>
      </w:r>
      <w:proofErr w:type="spellStart"/>
      <w:r w:rsidRPr="003527C4">
        <w:rPr>
          <w:b/>
        </w:rPr>
        <w:t>VaV</w:t>
      </w:r>
      <w:proofErr w:type="spellEnd"/>
      <w:r w:rsidRPr="003527C4">
        <w:rPr>
          <w:b/>
        </w:rPr>
        <w:t xml:space="preserve"> v ČR. Personální složení center je převážně regionální, výzkumníci pochází z mateřské instituce, jen vzácně z jiných regionů. V tom se odráží převažující regionální zaměření center </w:t>
      </w:r>
      <w:proofErr w:type="spellStart"/>
      <w:r w:rsidRPr="003527C4">
        <w:rPr>
          <w:b/>
        </w:rPr>
        <w:t>VaVpI</w:t>
      </w:r>
      <w:proofErr w:type="spellEnd"/>
      <w:r w:rsidR="004B7E5D" w:rsidRPr="003527C4">
        <w:rPr>
          <w:b/>
        </w:rPr>
        <w:t>.</w:t>
      </w:r>
      <w:r w:rsidRPr="003527C4">
        <w:rPr>
          <w:color w:val="000000" w:themeColor="text1"/>
          <w:szCs w:val="24"/>
        </w:rPr>
        <w:t xml:space="preserve"> </w:t>
      </w:r>
      <w:r w:rsidR="00282789" w:rsidRPr="003527C4">
        <w:rPr>
          <w:b/>
          <w:color w:val="000000" w:themeColor="text1"/>
          <w:szCs w:val="24"/>
        </w:rPr>
        <w:t>Z</w:t>
      </w:r>
      <w:r w:rsidRPr="003527C4">
        <w:rPr>
          <w:b/>
          <w:color w:val="000000" w:themeColor="text1"/>
          <w:szCs w:val="24"/>
        </w:rPr>
        <w:t> tohoto d</w:t>
      </w:r>
      <w:r w:rsidRPr="003527C4">
        <w:rPr>
          <w:b/>
          <w:color w:val="000000" w:themeColor="text1"/>
          <w:szCs w:val="24"/>
        </w:rPr>
        <w:t>ů</w:t>
      </w:r>
      <w:r w:rsidRPr="003527C4">
        <w:rPr>
          <w:b/>
          <w:color w:val="000000" w:themeColor="text1"/>
          <w:szCs w:val="24"/>
        </w:rPr>
        <w:t xml:space="preserve">vodu je </w:t>
      </w:r>
      <w:r w:rsidR="00282789" w:rsidRPr="003527C4">
        <w:rPr>
          <w:b/>
          <w:color w:val="000000" w:themeColor="text1"/>
          <w:szCs w:val="24"/>
        </w:rPr>
        <w:t>nezbytné</w:t>
      </w:r>
      <w:r w:rsidRPr="003527C4">
        <w:rPr>
          <w:b/>
          <w:color w:val="000000" w:themeColor="text1"/>
          <w:szCs w:val="24"/>
        </w:rPr>
        <w:t xml:space="preserve"> podporovat zahraniční orientaci se vš</w:t>
      </w:r>
      <w:r w:rsidR="007C2E63" w:rsidRPr="003527C4">
        <w:rPr>
          <w:b/>
          <w:color w:val="000000" w:themeColor="text1"/>
          <w:szCs w:val="24"/>
        </w:rPr>
        <w:t>emi pozitivn</w:t>
      </w:r>
      <w:r w:rsidRPr="003527C4">
        <w:rPr>
          <w:b/>
          <w:color w:val="000000" w:themeColor="text1"/>
          <w:szCs w:val="24"/>
        </w:rPr>
        <w:t>ím</w:t>
      </w:r>
      <w:r w:rsidR="007C2E63" w:rsidRPr="003527C4">
        <w:rPr>
          <w:b/>
          <w:color w:val="000000" w:themeColor="text1"/>
          <w:szCs w:val="24"/>
        </w:rPr>
        <w:t>i dopady, které</w:t>
      </w:r>
      <w:r w:rsidRPr="003527C4">
        <w:rPr>
          <w:b/>
          <w:color w:val="000000" w:themeColor="text1"/>
          <w:szCs w:val="24"/>
        </w:rPr>
        <w:t xml:space="preserve"> s sebou přináší.</w:t>
      </w:r>
      <w:r w:rsidRPr="003527C4">
        <w:rPr>
          <w:color w:val="000000" w:themeColor="text1"/>
          <w:szCs w:val="24"/>
        </w:rPr>
        <w:t xml:space="preserve"> </w:t>
      </w:r>
    </w:p>
    <w:p w:rsidR="000D31EF" w:rsidRPr="003527C4" w:rsidRDefault="000D31EF" w:rsidP="000D31EF">
      <w:pPr>
        <w:pStyle w:val="Odstavecseseznamem"/>
        <w:widowControl/>
        <w:suppressAutoHyphens w:val="0"/>
        <w:autoSpaceDN/>
        <w:spacing w:after="200" w:line="276" w:lineRule="auto"/>
        <w:ind w:left="0"/>
        <w:jc w:val="both"/>
        <w:textAlignment w:val="auto"/>
        <w:rPr>
          <w:color w:val="000000" w:themeColor="text1"/>
          <w:szCs w:val="24"/>
        </w:rPr>
      </w:pPr>
      <w:r w:rsidRPr="003527C4">
        <w:rPr>
          <w:color w:val="000000" w:themeColor="text1"/>
          <w:szCs w:val="24"/>
        </w:rPr>
        <w:t xml:space="preserve"> </w:t>
      </w:r>
    </w:p>
    <w:p w:rsidR="00A3629B" w:rsidRPr="003527C4" w:rsidRDefault="00C452DE" w:rsidP="00827594">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Hospodářská činnost center </w:t>
      </w:r>
      <w:proofErr w:type="spellStart"/>
      <w:r w:rsidRPr="003527C4">
        <w:rPr>
          <w:rFonts w:ascii="Arial" w:hAnsi="Arial" w:cs="Arial"/>
          <w:color w:val="000000" w:themeColor="text1"/>
          <w:sz w:val="20"/>
          <w:szCs w:val="20"/>
        </w:rPr>
        <w:t>VaVaI</w:t>
      </w:r>
      <w:proofErr w:type="spellEnd"/>
      <w:r w:rsidRPr="003527C4">
        <w:rPr>
          <w:rFonts w:ascii="Arial" w:hAnsi="Arial" w:cs="Arial"/>
          <w:color w:val="000000" w:themeColor="text1"/>
          <w:sz w:val="20"/>
          <w:szCs w:val="20"/>
        </w:rPr>
        <w:t xml:space="preserve"> </w:t>
      </w:r>
      <w:r w:rsidR="00902BD0" w:rsidRPr="003527C4">
        <w:rPr>
          <w:rFonts w:ascii="Arial" w:hAnsi="Arial" w:cs="Arial"/>
          <w:color w:val="000000" w:themeColor="text1"/>
          <w:sz w:val="20"/>
          <w:szCs w:val="20"/>
        </w:rPr>
        <w:t>a</w:t>
      </w:r>
      <w:r w:rsidR="003A042F" w:rsidRPr="003527C4">
        <w:rPr>
          <w:rFonts w:ascii="Arial" w:hAnsi="Arial" w:cs="Arial"/>
          <w:color w:val="000000" w:themeColor="text1"/>
          <w:sz w:val="20"/>
          <w:szCs w:val="20"/>
        </w:rPr>
        <w:t xml:space="preserve"> riziko v</w:t>
      </w:r>
      <w:r w:rsidR="00BB55FB" w:rsidRPr="003527C4">
        <w:rPr>
          <w:rFonts w:ascii="Arial" w:hAnsi="Arial" w:cs="Arial"/>
          <w:color w:val="000000" w:themeColor="text1"/>
          <w:sz w:val="20"/>
          <w:szCs w:val="20"/>
        </w:rPr>
        <w:t>eřejn</w:t>
      </w:r>
      <w:r w:rsidR="003A042F" w:rsidRPr="003527C4">
        <w:rPr>
          <w:rFonts w:ascii="Arial" w:hAnsi="Arial" w:cs="Arial"/>
          <w:color w:val="000000" w:themeColor="text1"/>
          <w:sz w:val="20"/>
          <w:szCs w:val="20"/>
        </w:rPr>
        <w:t>é</w:t>
      </w:r>
      <w:r w:rsidR="00BB55FB" w:rsidRPr="003527C4">
        <w:rPr>
          <w:rFonts w:ascii="Arial" w:hAnsi="Arial" w:cs="Arial"/>
          <w:color w:val="000000" w:themeColor="text1"/>
          <w:sz w:val="20"/>
          <w:szCs w:val="20"/>
        </w:rPr>
        <w:t xml:space="preserve"> podpor</w:t>
      </w:r>
      <w:r w:rsidR="003A042F" w:rsidRPr="003527C4">
        <w:rPr>
          <w:rFonts w:ascii="Arial" w:hAnsi="Arial" w:cs="Arial"/>
          <w:color w:val="000000" w:themeColor="text1"/>
          <w:sz w:val="20"/>
          <w:szCs w:val="20"/>
        </w:rPr>
        <w:t>y</w:t>
      </w:r>
    </w:p>
    <w:p w:rsidR="00A3629B" w:rsidRPr="003527C4" w:rsidRDefault="00A3629B" w:rsidP="00A3629B">
      <w:pPr>
        <w:widowControl/>
        <w:suppressAutoHyphens w:val="0"/>
        <w:autoSpaceDN/>
        <w:spacing w:after="200" w:line="276" w:lineRule="auto"/>
        <w:jc w:val="both"/>
        <w:textAlignment w:val="auto"/>
        <w:rPr>
          <w:rFonts w:ascii="Arial" w:hAnsi="Arial" w:cs="Arial"/>
        </w:rPr>
      </w:pPr>
    </w:p>
    <w:p w:rsidR="008E63F1" w:rsidRPr="003527C4" w:rsidRDefault="008E63F1" w:rsidP="000207F8">
      <w:pPr>
        <w:spacing w:after="120"/>
        <w:jc w:val="both"/>
        <w:rPr>
          <w:color w:val="000000"/>
        </w:rPr>
      </w:pPr>
      <w:r w:rsidRPr="003527C4">
        <w:rPr>
          <w:color w:val="000000"/>
        </w:rPr>
        <w:t xml:space="preserve">Smluvní výzkum představuje potenciálně významný zdroj financování budoucí udržitelnosti mnoha center. Hospodářské činnosti center ale mohou být vysoce rizikové z hlediska pravidel veřejné podpory. Ze strany EK dosud nebyla na rozpočtové období 2007-2013 přesně stanovena přípustná míra hospodářské činnosti subjektů čerpajících 100% dotaci v režimu Rámce, která by nezakládala nepovolenou veřejnou podporu. </w:t>
      </w:r>
      <w:proofErr w:type="spellStart"/>
      <w:r w:rsidR="00B318A8">
        <w:rPr>
          <w:color w:val="000000"/>
        </w:rPr>
        <w:t>VaV</w:t>
      </w:r>
      <w:proofErr w:type="spellEnd"/>
      <w:r w:rsidR="00B318A8">
        <w:rPr>
          <w:color w:val="000000"/>
        </w:rPr>
        <w:t xml:space="preserve"> centra se tak dostávají do situace, kdy je na jednu stranu vysoce žádoucí, aby spolupracovala s aplikační sférou a získávala tak maximum finančních prostředků na svůj provoz, na druhou stranu jsou však ve značné nejistotě, kdy bude ještě jejich ekonomická aktivita posouzena jako slučitelná s pravidly veřejné podpory a kdy již nikoliv.</w:t>
      </w:r>
    </w:p>
    <w:p w:rsidR="009B6E8F" w:rsidRDefault="009B6E8F" w:rsidP="000207F8">
      <w:pPr>
        <w:widowControl/>
        <w:suppressAutoHyphens w:val="0"/>
        <w:autoSpaceDE w:val="0"/>
        <w:adjustRightInd w:val="0"/>
        <w:jc w:val="both"/>
        <w:textAlignment w:val="auto"/>
        <w:rPr>
          <w:rFonts w:eastAsia="Times New Roman" w:cs="Tahoma"/>
          <w:color w:val="000000"/>
        </w:rPr>
      </w:pPr>
      <w:r w:rsidRPr="003527C4">
        <w:rPr>
          <w:rFonts w:eastAsia="Times New Roman" w:cs="Tahoma"/>
          <w:color w:val="000000"/>
        </w:rPr>
        <w:t xml:space="preserve">Příjemci OP </w:t>
      </w:r>
      <w:proofErr w:type="spellStart"/>
      <w:r w:rsidRPr="003527C4">
        <w:rPr>
          <w:rFonts w:eastAsia="Times New Roman" w:cs="Tahoma"/>
          <w:color w:val="000000"/>
        </w:rPr>
        <w:t>VaVpI</w:t>
      </w:r>
      <w:proofErr w:type="spellEnd"/>
      <w:r w:rsidRPr="003527C4">
        <w:rPr>
          <w:rFonts w:eastAsia="Times New Roman" w:cs="Tahoma"/>
          <w:color w:val="000000"/>
        </w:rPr>
        <w:t xml:space="preserve"> mají povinnost mít účetně odděleny hospodářské a </w:t>
      </w:r>
      <w:proofErr w:type="spellStart"/>
      <w:r w:rsidRPr="003527C4">
        <w:rPr>
          <w:rFonts w:eastAsia="Times New Roman" w:cs="Tahoma"/>
          <w:color w:val="000000"/>
        </w:rPr>
        <w:t>nehospodářské</w:t>
      </w:r>
      <w:proofErr w:type="spellEnd"/>
      <w:r w:rsidRPr="003527C4">
        <w:rPr>
          <w:rFonts w:eastAsia="Times New Roman" w:cs="Tahoma"/>
          <w:color w:val="000000"/>
        </w:rPr>
        <w:t xml:space="preserve"> činnosti. </w:t>
      </w:r>
      <w:r w:rsidR="008E63F1" w:rsidRPr="003527C4">
        <w:rPr>
          <w:rFonts w:eastAsia="Times New Roman" w:cs="Tahoma"/>
          <w:color w:val="000000"/>
        </w:rPr>
        <w:t xml:space="preserve">Tato povinnost </w:t>
      </w:r>
      <w:r w:rsidRPr="003527C4">
        <w:rPr>
          <w:rFonts w:eastAsia="Times New Roman" w:cs="Tahoma"/>
          <w:color w:val="000000"/>
        </w:rPr>
        <w:t>byl</w:t>
      </w:r>
      <w:r w:rsidR="008E63F1" w:rsidRPr="003527C4">
        <w:rPr>
          <w:rFonts w:eastAsia="Times New Roman" w:cs="Tahoma"/>
          <w:color w:val="000000"/>
        </w:rPr>
        <w:t>a</w:t>
      </w:r>
      <w:r w:rsidRPr="003527C4">
        <w:rPr>
          <w:rFonts w:eastAsia="Times New Roman" w:cs="Tahoma"/>
          <w:color w:val="000000"/>
        </w:rPr>
        <w:t xml:space="preserve"> v </w:t>
      </w:r>
      <w:proofErr w:type="spellStart"/>
      <w:r w:rsidRPr="003527C4">
        <w:rPr>
          <w:rFonts w:eastAsia="Times New Roman" w:cs="Tahoma"/>
          <w:color w:val="000000"/>
        </w:rPr>
        <w:t>RoPD</w:t>
      </w:r>
      <w:proofErr w:type="spellEnd"/>
      <w:r w:rsidRPr="003527C4">
        <w:rPr>
          <w:rFonts w:eastAsia="Times New Roman" w:cs="Tahoma"/>
          <w:color w:val="000000"/>
        </w:rPr>
        <w:t xml:space="preserve"> ukotven</w:t>
      </w:r>
      <w:r w:rsidR="008E63F1" w:rsidRPr="003527C4">
        <w:rPr>
          <w:rFonts w:eastAsia="Times New Roman" w:cs="Tahoma"/>
          <w:color w:val="000000"/>
        </w:rPr>
        <w:t>a</w:t>
      </w:r>
      <w:r w:rsidRPr="003527C4">
        <w:rPr>
          <w:rFonts w:eastAsia="Times New Roman" w:cs="Tahoma"/>
          <w:color w:val="000000"/>
        </w:rPr>
        <w:t xml:space="preserve"> za účelem předejít nepovolené veřejné podpoře transparentním oddělení aktivit, tj. aby bylo zřejmé, že dotace není použita na ekonomické aktivity příjemců, v souladu s čl. 3.1.1. Rámce</w:t>
      </w:r>
      <w:r w:rsidR="008E63F1" w:rsidRPr="003527C4">
        <w:rPr>
          <w:rFonts w:eastAsia="Times New Roman" w:cs="Tahoma"/>
          <w:color w:val="000000"/>
        </w:rPr>
        <w:t xml:space="preserve">. </w:t>
      </w:r>
      <w:r w:rsidRPr="003527C4">
        <w:rPr>
          <w:rFonts w:eastAsia="Times New Roman" w:cs="Tahoma"/>
          <w:color w:val="000000"/>
        </w:rPr>
        <w:t>Ekonomické aktivity mají být prováděny za účelem efektivního využ</w:t>
      </w:r>
      <w:r w:rsidRPr="003527C4">
        <w:rPr>
          <w:rFonts w:eastAsia="Times New Roman" w:cs="Tahoma"/>
          <w:color w:val="000000"/>
        </w:rPr>
        <w:t>i</w:t>
      </w:r>
      <w:r w:rsidRPr="003527C4">
        <w:rPr>
          <w:rFonts w:eastAsia="Times New Roman" w:cs="Tahoma"/>
          <w:color w:val="000000"/>
        </w:rPr>
        <w:t>tí zbytkové kapacity infrastruktury, mají mít pouze doplňkový charakter</w:t>
      </w:r>
      <w:r w:rsidR="008E63F1" w:rsidRPr="003527C4">
        <w:rPr>
          <w:rFonts w:eastAsia="Times New Roman" w:cs="Tahoma"/>
          <w:color w:val="000000"/>
        </w:rPr>
        <w:t>.</w:t>
      </w:r>
      <w:r w:rsidR="00ED2E37">
        <w:rPr>
          <w:rFonts w:eastAsia="Times New Roman" w:cs="Tahoma"/>
          <w:color w:val="000000"/>
        </w:rPr>
        <w:t xml:space="preserve"> </w:t>
      </w:r>
    </w:p>
    <w:p w:rsidR="00ED2E37" w:rsidRDefault="00ED2E37" w:rsidP="000207F8">
      <w:pPr>
        <w:widowControl/>
        <w:suppressAutoHyphens w:val="0"/>
        <w:autoSpaceDE w:val="0"/>
        <w:adjustRightInd w:val="0"/>
        <w:jc w:val="both"/>
        <w:textAlignment w:val="auto"/>
        <w:rPr>
          <w:rFonts w:eastAsia="Times New Roman" w:cs="Tahoma"/>
          <w:color w:val="000000"/>
        </w:rPr>
      </w:pPr>
    </w:p>
    <w:p w:rsidR="00ED2E37" w:rsidRPr="003527C4" w:rsidRDefault="00ED2E37" w:rsidP="000207F8">
      <w:pPr>
        <w:widowControl/>
        <w:suppressAutoHyphens w:val="0"/>
        <w:autoSpaceDE w:val="0"/>
        <w:adjustRightInd w:val="0"/>
        <w:jc w:val="both"/>
        <w:textAlignment w:val="auto"/>
        <w:rPr>
          <w:rFonts w:eastAsia="Times New Roman" w:cs="Tahoma"/>
          <w:i/>
          <w:color w:val="000000"/>
        </w:rPr>
      </w:pPr>
      <w:r>
        <w:rPr>
          <w:rFonts w:eastAsia="Times New Roman" w:cs="Tahoma"/>
          <w:color w:val="000000"/>
        </w:rPr>
        <w:t>Dne 1. 7. 2014 vstoupil v </w:t>
      </w:r>
      <w:r w:rsidR="0086091A">
        <w:rPr>
          <w:rFonts w:eastAsia="Times New Roman" w:cs="Tahoma"/>
          <w:color w:val="000000"/>
        </w:rPr>
        <w:t>účinnost</w:t>
      </w:r>
      <w:r>
        <w:rPr>
          <w:rFonts w:eastAsia="Times New Roman" w:cs="Tahoma"/>
          <w:color w:val="000000"/>
        </w:rPr>
        <w:t xml:space="preserve"> nový Rámec, který stanoví nová pravidla pro veřejnou podporu. Nové tituly podpory (</w:t>
      </w:r>
      <w:r w:rsidR="0086091A">
        <w:rPr>
          <w:rFonts w:eastAsia="Times New Roman" w:cs="Tahoma"/>
          <w:color w:val="000000"/>
        </w:rPr>
        <w:t xml:space="preserve">např. </w:t>
      </w:r>
      <w:r>
        <w:rPr>
          <w:rFonts w:eastAsia="Times New Roman" w:cs="Tahoma"/>
          <w:color w:val="000000"/>
        </w:rPr>
        <w:t>OP VVV</w:t>
      </w:r>
      <w:r w:rsidR="0086091A">
        <w:rPr>
          <w:rFonts w:eastAsia="Times New Roman" w:cs="Tahoma"/>
          <w:color w:val="000000"/>
        </w:rPr>
        <w:t xml:space="preserve"> a dotační tituly účelové podpory</w:t>
      </w:r>
      <w:r>
        <w:rPr>
          <w:rFonts w:eastAsia="Times New Roman" w:cs="Tahoma"/>
          <w:color w:val="000000"/>
        </w:rPr>
        <w:t xml:space="preserve">) poběží v režimu nového Rámce. Pro realizaci a udržitelnost projektů OP </w:t>
      </w:r>
      <w:proofErr w:type="spellStart"/>
      <w:r>
        <w:rPr>
          <w:rFonts w:eastAsia="Times New Roman" w:cs="Tahoma"/>
          <w:color w:val="000000"/>
        </w:rPr>
        <w:t>VaVpI</w:t>
      </w:r>
      <w:proofErr w:type="spellEnd"/>
      <w:r>
        <w:rPr>
          <w:rFonts w:eastAsia="Times New Roman" w:cs="Tahoma"/>
          <w:color w:val="000000"/>
        </w:rPr>
        <w:t xml:space="preserve"> je však závazný Rámec z roku 2006.</w:t>
      </w:r>
    </w:p>
    <w:p w:rsidR="008E63F1" w:rsidRPr="003527C4" w:rsidRDefault="008E63F1" w:rsidP="008E63F1">
      <w:pPr>
        <w:spacing w:after="120"/>
        <w:jc w:val="both"/>
        <w:rPr>
          <w:color w:val="000000"/>
        </w:rPr>
      </w:pPr>
    </w:p>
    <w:p w:rsidR="008E63F1" w:rsidRPr="003527C4" w:rsidRDefault="007C2E63" w:rsidP="008E63F1">
      <w:pPr>
        <w:pStyle w:val="Textkomente"/>
        <w:jc w:val="both"/>
        <w:rPr>
          <w:b/>
          <w:color w:val="000000" w:themeColor="text1"/>
          <w:sz w:val="24"/>
          <w:szCs w:val="24"/>
        </w:rPr>
      </w:pPr>
      <w:r w:rsidRPr="003527C4">
        <w:rPr>
          <w:b/>
          <w:color w:val="000000" w:themeColor="text1"/>
          <w:sz w:val="24"/>
          <w:szCs w:val="24"/>
        </w:rPr>
        <w:t>Jelikož</w:t>
      </w:r>
      <w:r w:rsidR="008E63F1" w:rsidRPr="003527C4">
        <w:rPr>
          <w:b/>
          <w:color w:val="000000" w:themeColor="text1"/>
          <w:sz w:val="24"/>
          <w:szCs w:val="24"/>
        </w:rPr>
        <w:t xml:space="preserve"> centra nemohou věnovat převážnou část svých kapacit hospodářské činnosti, je </w:t>
      </w:r>
      <w:r w:rsidR="002D7D70" w:rsidRPr="003527C4">
        <w:rPr>
          <w:b/>
          <w:color w:val="000000" w:themeColor="text1"/>
          <w:sz w:val="24"/>
          <w:szCs w:val="24"/>
        </w:rPr>
        <w:t>nutn</w:t>
      </w:r>
      <w:r w:rsidR="006803D2">
        <w:rPr>
          <w:b/>
          <w:color w:val="000000" w:themeColor="text1"/>
          <w:sz w:val="24"/>
          <w:szCs w:val="24"/>
        </w:rPr>
        <w:t>é</w:t>
      </w:r>
      <w:r w:rsidR="00994856">
        <w:rPr>
          <w:b/>
          <w:color w:val="000000" w:themeColor="text1"/>
          <w:sz w:val="24"/>
          <w:szCs w:val="24"/>
        </w:rPr>
        <w:t>,</w:t>
      </w:r>
      <w:r w:rsidR="006803D2">
        <w:rPr>
          <w:b/>
          <w:color w:val="000000" w:themeColor="text1"/>
          <w:sz w:val="24"/>
          <w:szCs w:val="24"/>
        </w:rPr>
        <w:t xml:space="preserve"> aby ve svých ekonomických aktivitách byla natolik efektivní, aby si zajistila důležitý zdroj pří</w:t>
      </w:r>
      <w:r w:rsidR="001E4927">
        <w:rPr>
          <w:b/>
          <w:color w:val="000000" w:themeColor="text1"/>
          <w:sz w:val="24"/>
          <w:szCs w:val="24"/>
        </w:rPr>
        <w:t>j</w:t>
      </w:r>
      <w:r w:rsidR="006803D2">
        <w:rPr>
          <w:b/>
          <w:color w:val="000000" w:themeColor="text1"/>
          <w:sz w:val="24"/>
          <w:szCs w:val="24"/>
        </w:rPr>
        <w:t>mu pro svou udržitelnost.</w:t>
      </w:r>
    </w:p>
    <w:p w:rsidR="00BB55FB" w:rsidRPr="003527C4" w:rsidRDefault="00BB55FB" w:rsidP="00A3629B">
      <w:pPr>
        <w:pStyle w:val="Nadpis2"/>
        <w:numPr>
          <w:ilvl w:val="0"/>
          <w:numId w:val="0"/>
        </w:numPr>
        <w:ind w:left="576" w:hanging="576"/>
        <w:rPr>
          <w:rFonts w:ascii="Arial" w:hAnsi="Arial" w:cs="Arial"/>
          <w:color w:val="000000" w:themeColor="text1"/>
          <w:sz w:val="20"/>
          <w:szCs w:val="20"/>
        </w:rPr>
      </w:pPr>
    </w:p>
    <w:p w:rsidR="00BC0130" w:rsidRPr="003527C4" w:rsidRDefault="00DF26A4" w:rsidP="00827594">
      <w:pPr>
        <w:pStyle w:val="Nadpis2"/>
        <w:numPr>
          <w:ilvl w:val="1"/>
          <w:numId w:val="2"/>
        </w:numPr>
        <w:rPr>
          <w:rFonts w:ascii="Arial" w:hAnsi="Arial" w:cs="Arial"/>
          <w:color w:val="000000" w:themeColor="text1"/>
          <w:sz w:val="20"/>
          <w:szCs w:val="20"/>
        </w:rPr>
      </w:pPr>
      <w:r w:rsidRPr="003527C4">
        <w:rPr>
          <w:rFonts w:ascii="Arial" w:hAnsi="Arial" w:cs="Arial"/>
          <w:color w:val="000000" w:themeColor="text1"/>
          <w:sz w:val="20"/>
          <w:szCs w:val="20"/>
        </w:rPr>
        <w:t xml:space="preserve">Regionální vs. mezinárodní dimenze </w:t>
      </w:r>
      <w:proofErr w:type="spellStart"/>
      <w:r w:rsidRPr="003527C4">
        <w:rPr>
          <w:rFonts w:ascii="Arial" w:hAnsi="Arial" w:cs="Arial"/>
          <w:color w:val="000000" w:themeColor="text1"/>
          <w:sz w:val="20"/>
          <w:szCs w:val="20"/>
        </w:rPr>
        <w:t>VaV</w:t>
      </w:r>
      <w:proofErr w:type="spellEnd"/>
      <w:r w:rsidRPr="003527C4">
        <w:rPr>
          <w:rFonts w:ascii="Arial" w:hAnsi="Arial" w:cs="Arial"/>
          <w:color w:val="000000" w:themeColor="text1"/>
          <w:sz w:val="20"/>
          <w:szCs w:val="20"/>
        </w:rPr>
        <w:t xml:space="preserve"> center </w:t>
      </w:r>
    </w:p>
    <w:p w:rsidR="00CD594F" w:rsidRPr="003527C4" w:rsidRDefault="00CD594F" w:rsidP="00CD594F"/>
    <w:p w:rsidR="00180AA7" w:rsidRPr="003527C4" w:rsidRDefault="00180AA7" w:rsidP="000207F8">
      <w:pPr>
        <w:spacing w:after="240"/>
        <w:jc w:val="both"/>
        <w:rPr>
          <w:color w:val="000000" w:themeColor="text1"/>
        </w:rPr>
      </w:pPr>
      <w:r w:rsidRPr="003527C4">
        <w:rPr>
          <w:color w:val="000000" w:themeColor="text1"/>
        </w:rPr>
        <w:t xml:space="preserve">Jednou z otázek souvisejících s efektivním fungováním a dlouhodobou udržitelností </w:t>
      </w:r>
      <w:proofErr w:type="spellStart"/>
      <w:r w:rsidRPr="003527C4">
        <w:rPr>
          <w:color w:val="000000" w:themeColor="text1"/>
        </w:rPr>
        <w:t>VaV</w:t>
      </w:r>
      <w:proofErr w:type="spellEnd"/>
      <w:r w:rsidRPr="003527C4">
        <w:rPr>
          <w:color w:val="000000" w:themeColor="text1"/>
        </w:rPr>
        <w:t xml:space="preserve"> center je okruh, ve kterém tato centra hledají potenciální partnery pro své aktivity, ať už se jedná o spolupráci s aplikační sférou nebo o hledání partnerů pro výzkumné aktivity a projekty.</w:t>
      </w:r>
    </w:p>
    <w:p w:rsidR="00180AA7" w:rsidRPr="003527C4" w:rsidRDefault="009C4F90" w:rsidP="000207F8">
      <w:pPr>
        <w:spacing w:after="240"/>
        <w:jc w:val="both"/>
        <w:rPr>
          <w:color w:val="000000" w:themeColor="text1"/>
        </w:rPr>
      </w:pPr>
      <w:r>
        <w:rPr>
          <w:color w:val="000000" w:themeColor="text1"/>
        </w:rPr>
        <w:t>U</w:t>
      </w:r>
      <w:r w:rsidR="00180AA7" w:rsidRPr="003527C4">
        <w:rPr>
          <w:color w:val="000000" w:themeColor="text1"/>
        </w:rPr>
        <w:t xml:space="preserve"> většiny výzkumných zařízení financovaných v rámci </w:t>
      </w:r>
      <w:r w:rsidR="007C2E63" w:rsidRPr="003527C4">
        <w:rPr>
          <w:color w:val="000000" w:themeColor="text1"/>
        </w:rPr>
        <w:t>PO</w:t>
      </w:r>
      <w:r w:rsidR="00180AA7" w:rsidRPr="003527C4">
        <w:rPr>
          <w:color w:val="000000" w:themeColor="text1"/>
        </w:rPr>
        <w:t xml:space="preserve"> 2 OP </w:t>
      </w:r>
      <w:proofErr w:type="spellStart"/>
      <w:r w:rsidR="00180AA7" w:rsidRPr="003527C4">
        <w:rPr>
          <w:color w:val="000000" w:themeColor="text1"/>
        </w:rPr>
        <w:t>VaVpI</w:t>
      </w:r>
      <w:proofErr w:type="spellEnd"/>
      <w:r w:rsidR="00180AA7" w:rsidRPr="003527C4">
        <w:rPr>
          <w:color w:val="000000" w:themeColor="text1"/>
        </w:rPr>
        <w:t xml:space="preserve"> je v současné době patrný silný lokální či regionální charakter, ať už z hlediska původu zaměstnanců, či vzhledem k původu velké části partnerů z aplikační sféry. Tento fakt lze samozřejmě vnímat jako silnou stránku vzhledem k rozvoji výzkumného potenciálu regionu (což je v souladu s cíli této </w:t>
      </w:r>
      <w:r w:rsidR="007C2E63" w:rsidRPr="003527C4">
        <w:rPr>
          <w:color w:val="000000" w:themeColor="text1"/>
        </w:rPr>
        <w:t>PO</w:t>
      </w:r>
      <w:r w:rsidR="00180AA7" w:rsidRPr="003527C4">
        <w:rPr>
          <w:color w:val="000000" w:themeColor="text1"/>
        </w:rPr>
        <w:t xml:space="preserve">), na druhou stranu takto orientovaná centra </w:t>
      </w:r>
      <w:r w:rsidR="00180AA7" w:rsidRPr="003527C4">
        <w:rPr>
          <w:b/>
          <w:color w:val="000000" w:themeColor="text1"/>
        </w:rPr>
        <w:t>mohou brzy dosáhnout limitů daného regionu</w:t>
      </w:r>
      <w:r w:rsidR="0086091A">
        <w:rPr>
          <w:b/>
          <w:color w:val="000000" w:themeColor="text1"/>
        </w:rPr>
        <w:t>, což může být brzdou jejich rozvoje</w:t>
      </w:r>
      <w:r w:rsidR="00180AA7" w:rsidRPr="003527C4">
        <w:rPr>
          <w:color w:val="000000" w:themeColor="text1"/>
        </w:rPr>
        <w:t>.</w:t>
      </w:r>
    </w:p>
    <w:p w:rsidR="00762A24" w:rsidRDefault="00762A24" w:rsidP="00180AA7">
      <w:pPr>
        <w:spacing w:after="240"/>
        <w:jc w:val="both"/>
        <w:rPr>
          <w:color w:val="000000" w:themeColor="text1"/>
        </w:rPr>
      </w:pPr>
    </w:p>
    <w:p w:rsidR="00180AA7" w:rsidRPr="003527C4" w:rsidRDefault="00180AA7" w:rsidP="00180AA7">
      <w:pPr>
        <w:spacing w:after="240"/>
        <w:jc w:val="both"/>
        <w:rPr>
          <w:color w:val="000000" w:themeColor="text1"/>
        </w:rPr>
      </w:pPr>
      <w:r w:rsidRPr="003527C4">
        <w:rPr>
          <w:color w:val="000000" w:themeColor="text1"/>
        </w:rPr>
        <w:t xml:space="preserve">Vzhledem k objemu prostředků na </w:t>
      </w:r>
      <w:proofErr w:type="spellStart"/>
      <w:r w:rsidRPr="003527C4">
        <w:rPr>
          <w:color w:val="000000" w:themeColor="text1"/>
        </w:rPr>
        <w:t>VaV</w:t>
      </w:r>
      <w:proofErr w:type="spellEnd"/>
      <w:r w:rsidRPr="003527C4">
        <w:rPr>
          <w:color w:val="000000" w:themeColor="text1"/>
        </w:rPr>
        <w:t xml:space="preserve"> z národních zdrojů a schopnosti a ochotě industriálních partnerů v regionu podílet se na výzkumných aktivitách a využívat výstupy je zřejmé, že v období udržitelnosti bude stále více nabývat na důležitosti schopnost </w:t>
      </w:r>
      <w:proofErr w:type="spellStart"/>
      <w:r w:rsidRPr="003527C4">
        <w:rPr>
          <w:color w:val="000000" w:themeColor="text1"/>
        </w:rPr>
        <w:t>VaV</w:t>
      </w:r>
      <w:proofErr w:type="spellEnd"/>
      <w:r w:rsidRPr="003527C4">
        <w:rPr>
          <w:color w:val="000000" w:themeColor="text1"/>
        </w:rPr>
        <w:t xml:space="preserve"> center získávat prostředky ze zahraničních zdrojů. V porovnání s druhem podpory poskytovaným z národních zdrojů (z hlediska objemu a doby, na kterou jsou granty poskytovány) je v případě mezinárodních grantových projektů (např. </w:t>
      </w:r>
      <w:proofErr w:type="spellStart"/>
      <w:r w:rsidRPr="003527C4">
        <w:rPr>
          <w:color w:val="000000" w:themeColor="text1"/>
        </w:rPr>
        <w:t>Horizon</w:t>
      </w:r>
      <w:proofErr w:type="spellEnd"/>
      <w:r w:rsidR="007C2E63" w:rsidRPr="003527C4">
        <w:rPr>
          <w:color w:val="000000" w:themeColor="text1"/>
        </w:rPr>
        <w:t xml:space="preserve"> </w:t>
      </w:r>
      <w:r w:rsidRPr="003527C4">
        <w:rPr>
          <w:color w:val="000000" w:themeColor="text1"/>
        </w:rPr>
        <w:t>2020) jejich potenciální dopad na celkovou situaci center značný. Stejně tak získání silného zahraničního partnera z aplikační sféry může znamenat podstatně větší šanci na udržitelnost a další rozvoj výzkumného zařízení.</w:t>
      </w:r>
    </w:p>
    <w:p w:rsidR="00180AA7" w:rsidRPr="003527C4" w:rsidRDefault="00180AA7" w:rsidP="00180AA7">
      <w:pPr>
        <w:spacing w:after="240"/>
        <w:jc w:val="both"/>
        <w:rPr>
          <w:color w:val="000000" w:themeColor="text1"/>
        </w:rPr>
      </w:pPr>
      <w:r w:rsidRPr="003527C4">
        <w:rPr>
          <w:color w:val="000000" w:themeColor="text1"/>
        </w:rPr>
        <w:t xml:space="preserve">Vzhledem k výše uvedenému je zřejmé, že </w:t>
      </w:r>
      <w:r w:rsidRPr="003527C4">
        <w:rPr>
          <w:b/>
          <w:color w:val="000000" w:themeColor="text1"/>
        </w:rPr>
        <w:t>schopnost výzkumných center přitáhnout kvalitní zahraniční pracovníky, či české vědce působící dlouhodobě v cizině, a poskytnout jim prostředí (a prostředky) pro excelentní výzkumnou činnost bude v období udržitelnosti jedním z klíčových faktorů</w:t>
      </w:r>
      <w:r w:rsidRPr="003527C4">
        <w:rPr>
          <w:color w:val="000000" w:themeColor="text1"/>
        </w:rPr>
        <w:t>. Profesionální vazby a síť vztahů, založená na předchozí činnosti těchto pracovníků značným způsobem rozšíří okruh potenciálních partnerů, stejně tak jako bude přínosem případná předchozí zkušenost s podáváním žádostí do mezinárodních grantových soutěží (která je u skutečně kvalitních vědeckých pracovníků v podstatě samozřejmostí).</w:t>
      </w:r>
    </w:p>
    <w:p w:rsidR="00A76E2C" w:rsidRPr="003527C4" w:rsidRDefault="00A76E2C" w:rsidP="00A76E2C">
      <w:pPr>
        <w:spacing w:after="240"/>
        <w:jc w:val="both"/>
        <w:rPr>
          <w:b/>
          <w:color w:val="000000" w:themeColor="text1"/>
        </w:rPr>
      </w:pPr>
      <w:r w:rsidRPr="003527C4">
        <w:rPr>
          <w:b/>
          <w:color w:val="000000" w:themeColor="text1"/>
        </w:rPr>
        <w:t xml:space="preserve">Rizikem </w:t>
      </w:r>
      <w:r w:rsidR="0086091A">
        <w:rPr>
          <w:b/>
          <w:color w:val="000000" w:themeColor="text1"/>
        </w:rPr>
        <w:t xml:space="preserve">nízkých </w:t>
      </w:r>
      <w:r w:rsidRPr="003527C4">
        <w:rPr>
          <w:b/>
          <w:color w:val="000000" w:themeColor="text1"/>
        </w:rPr>
        <w:t xml:space="preserve">internacionalizačních ambicí tedy může být postupná ztráta efektivity v doručování kvalitních a hodnotných/využitelných výstupů. Vědecká centra vybudovaná za značných vstupních nákladů v současné době mají potenciál takové výstupy doručovat, nicméně stagnací během období udržitelnosti se tento potenciál </w:t>
      </w:r>
      <w:r w:rsidR="0086091A">
        <w:rPr>
          <w:b/>
          <w:color w:val="000000" w:themeColor="text1"/>
        </w:rPr>
        <w:t>může</w:t>
      </w:r>
      <w:r w:rsidR="0086091A" w:rsidRPr="003527C4">
        <w:rPr>
          <w:b/>
          <w:color w:val="000000" w:themeColor="text1"/>
        </w:rPr>
        <w:t xml:space="preserve"> </w:t>
      </w:r>
      <w:r w:rsidRPr="003527C4">
        <w:rPr>
          <w:b/>
          <w:color w:val="000000" w:themeColor="text1"/>
        </w:rPr>
        <w:t>postupně vyčerpávat.</w:t>
      </w:r>
    </w:p>
    <w:p w:rsidR="00180AA7" w:rsidRPr="003527C4" w:rsidRDefault="00195DEC" w:rsidP="00180AA7">
      <w:pPr>
        <w:spacing w:after="240"/>
        <w:jc w:val="both"/>
        <w:rPr>
          <w:color w:val="000000" w:themeColor="text1"/>
        </w:rPr>
      </w:pPr>
      <w:r w:rsidRPr="003527C4">
        <w:rPr>
          <w:color w:val="000000" w:themeColor="text1"/>
        </w:rPr>
        <w:t>Jako důležité se také jeví zvy</w:t>
      </w:r>
      <w:r w:rsidR="00180AA7" w:rsidRPr="003527C4">
        <w:rPr>
          <w:color w:val="000000" w:themeColor="text1"/>
        </w:rPr>
        <w:t>šovat povědomí o způsob</w:t>
      </w:r>
      <w:r w:rsidR="008E011B">
        <w:rPr>
          <w:color w:val="000000" w:themeColor="text1"/>
        </w:rPr>
        <w:t>u psaní projektových žádostí do </w:t>
      </w:r>
      <w:r w:rsidR="00180AA7" w:rsidRPr="003527C4">
        <w:rPr>
          <w:color w:val="000000" w:themeColor="text1"/>
        </w:rPr>
        <w:t>mezinárodních grantových programů, ať už po formální stránce, či s ohledem na akcentaci horizontálních témat, jimž je při posuzování těchto žá</w:t>
      </w:r>
      <w:r w:rsidR="00F87B8B" w:rsidRPr="003527C4">
        <w:rPr>
          <w:color w:val="000000" w:themeColor="text1"/>
        </w:rPr>
        <w:t>dostí věnována velká pozornost.</w:t>
      </w:r>
      <w:r w:rsidR="00180AA7" w:rsidRPr="003527C4">
        <w:rPr>
          <w:color w:val="000000" w:themeColor="text1"/>
        </w:rPr>
        <w:t xml:space="preserve"> Dalším bodem může být </w:t>
      </w:r>
      <w:r w:rsidR="00180AA7" w:rsidRPr="003527C4">
        <w:rPr>
          <w:b/>
          <w:color w:val="000000" w:themeColor="text1"/>
        </w:rPr>
        <w:t>podpora při formulaci strategických dokumentů</w:t>
      </w:r>
      <w:r w:rsidR="00180AA7" w:rsidRPr="003527C4">
        <w:rPr>
          <w:color w:val="000000" w:themeColor="text1"/>
        </w:rPr>
        <w:t xml:space="preserve"> dalšího rozvoje na úrovni jednotlivých center, při co nejširším zapojení všech klíčových </w:t>
      </w:r>
      <w:r w:rsidR="00F87B8B" w:rsidRPr="003527C4">
        <w:rPr>
          <w:color w:val="000000" w:themeColor="text1"/>
        </w:rPr>
        <w:t>zájmových skupin</w:t>
      </w:r>
      <w:r w:rsidR="00180AA7" w:rsidRPr="003527C4">
        <w:rPr>
          <w:color w:val="000000" w:themeColor="text1"/>
        </w:rPr>
        <w:t xml:space="preserve"> do přípravy takového dokumentu, kde mohou klíčovou roli opět sehrát řádně fungující dozorčí a poradní orgány, na jejichž existenci a vhodné složení by měl být rozhodně kladen důraz. </w:t>
      </w:r>
    </w:p>
    <w:p w:rsidR="00A76E2C" w:rsidRDefault="00A76E2C" w:rsidP="00180AA7">
      <w:pPr>
        <w:spacing w:after="240"/>
        <w:jc w:val="both"/>
        <w:rPr>
          <w:b/>
          <w:color w:val="000000" w:themeColor="text1"/>
        </w:rPr>
      </w:pPr>
      <w:r w:rsidRPr="003527C4">
        <w:rPr>
          <w:b/>
          <w:color w:val="000000" w:themeColor="text1"/>
        </w:rPr>
        <w:t xml:space="preserve">Systémové změny a komplexní národní strategie udržitelnosti spolu se zajištěním dlouhodobého financování výrazným způsobem přispějí k větší internacionalizaci </w:t>
      </w:r>
      <w:proofErr w:type="spellStart"/>
      <w:r w:rsidRPr="003527C4">
        <w:rPr>
          <w:b/>
          <w:color w:val="000000" w:themeColor="text1"/>
        </w:rPr>
        <w:t>VaV</w:t>
      </w:r>
      <w:proofErr w:type="spellEnd"/>
      <w:r w:rsidRPr="003527C4">
        <w:rPr>
          <w:b/>
          <w:color w:val="000000" w:themeColor="text1"/>
        </w:rPr>
        <w:t xml:space="preserve"> center.</w:t>
      </w:r>
    </w:p>
    <w:p w:rsidR="004373BA" w:rsidRDefault="004373BA" w:rsidP="00827594">
      <w:pPr>
        <w:pStyle w:val="Nadpis1"/>
        <w:numPr>
          <w:ilvl w:val="0"/>
          <w:numId w:val="2"/>
        </w:numPr>
        <w:rPr>
          <w:rFonts w:ascii="Arial" w:hAnsi="Arial" w:cs="Arial"/>
          <w:color w:val="000000" w:themeColor="text1"/>
          <w:sz w:val="20"/>
          <w:szCs w:val="20"/>
        </w:rPr>
      </w:pPr>
      <w:r>
        <w:rPr>
          <w:rFonts w:ascii="Arial" w:hAnsi="Arial" w:cs="Arial"/>
          <w:color w:val="000000" w:themeColor="text1"/>
          <w:sz w:val="20"/>
          <w:szCs w:val="20"/>
        </w:rPr>
        <w:t>N</w:t>
      </w:r>
      <w:r w:rsidRPr="004373BA">
        <w:rPr>
          <w:rFonts w:ascii="Arial" w:hAnsi="Arial" w:cs="Arial"/>
          <w:color w:val="000000" w:themeColor="text1"/>
          <w:sz w:val="20"/>
          <w:szCs w:val="20"/>
        </w:rPr>
        <w:t>ávrhy opatření do národní strategie udržitelnosti</w:t>
      </w:r>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VaV</w:t>
      </w:r>
      <w:proofErr w:type="spellEnd"/>
      <w:r>
        <w:rPr>
          <w:rFonts w:ascii="Arial" w:hAnsi="Arial" w:cs="Arial"/>
          <w:color w:val="000000" w:themeColor="text1"/>
          <w:sz w:val="20"/>
          <w:szCs w:val="20"/>
        </w:rPr>
        <w:t xml:space="preserve"> center</w:t>
      </w:r>
    </w:p>
    <w:p w:rsidR="00466898" w:rsidRPr="00EF38B2" w:rsidRDefault="00466898" w:rsidP="00EF38B2"/>
    <w:p w:rsidR="00E86635" w:rsidRDefault="00466898" w:rsidP="00EF38B2">
      <w:pPr>
        <w:jc w:val="both"/>
        <w:rPr>
          <w:color w:val="000000" w:themeColor="text1"/>
        </w:rPr>
      </w:pPr>
      <w:r w:rsidRPr="003527C4">
        <w:rPr>
          <w:color w:val="000000" w:themeColor="text1"/>
        </w:rPr>
        <w:t xml:space="preserve">Komplexní strategie udržitelnosti </w:t>
      </w:r>
      <w:proofErr w:type="spellStart"/>
      <w:r w:rsidRPr="003527C4">
        <w:rPr>
          <w:color w:val="000000" w:themeColor="text1"/>
        </w:rPr>
        <w:t>VaV</w:t>
      </w:r>
      <w:proofErr w:type="spellEnd"/>
      <w:r w:rsidRPr="003527C4">
        <w:rPr>
          <w:color w:val="000000" w:themeColor="text1"/>
        </w:rPr>
        <w:t xml:space="preserve"> center by se měla věnovat</w:t>
      </w:r>
      <w:r>
        <w:rPr>
          <w:color w:val="000000" w:themeColor="text1"/>
        </w:rPr>
        <w:t xml:space="preserve"> otázkám</w:t>
      </w:r>
      <w:r w:rsidR="00E86635">
        <w:rPr>
          <w:color w:val="000000" w:themeColor="text1"/>
        </w:rPr>
        <w:t xml:space="preserve"> </w:t>
      </w:r>
      <w:r w:rsidR="00E86635" w:rsidRPr="00EF38B2">
        <w:rPr>
          <w:b/>
          <w:color w:val="000000" w:themeColor="text1"/>
        </w:rPr>
        <w:t>zajištění finanční udržitelnosti</w:t>
      </w:r>
      <w:r w:rsidR="00E86635">
        <w:rPr>
          <w:color w:val="000000" w:themeColor="text1"/>
        </w:rPr>
        <w:t xml:space="preserve"> pomocí efektivního systému přidělování institucionální a účelové podpory. Současný systém </w:t>
      </w:r>
      <w:r w:rsidR="00F15E6B">
        <w:rPr>
          <w:color w:val="000000" w:themeColor="text1"/>
        </w:rPr>
        <w:t xml:space="preserve">přidělování </w:t>
      </w:r>
      <w:r w:rsidR="00E86635">
        <w:rPr>
          <w:color w:val="000000" w:themeColor="text1"/>
        </w:rPr>
        <w:t>zejména institucionální podpory je nevyhovující.</w:t>
      </w:r>
      <w:r w:rsidR="00541520">
        <w:rPr>
          <w:color w:val="000000" w:themeColor="text1"/>
        </w:rPr>
        <w:t xml:space="preserve"> </w:t>
      </w:r>
    </w:p>
    <w:p w:rsidR="00E86635" w:rsidRDefault="00E86635" w:rsidP="00EF38B2">
      <w:pPr>
        <w:jc w:val="both"/>
        <w:rPr>
          <w:color w:val="000000" w:themeColor="text1"/>
        </w:rPr>
      </w:pPr>
    </w:p>
    <w:p w:rsidR="00466898" w:rsidRDefault="00E86635" w:rsidP="00EF38B2">
      <w:pPr>
        <w:jc w:val="both"/>
        <w:rPr>
          <w:color w:val="000000" w:themeColor="text1"/>
        </w:rPr>
      </w:pPr>
      <w:r>
        <w:rPr>
          <w:color w:val="000000" w:themeColor="text1"/>
        </w:rPr>
        <w:t>Dalším důležitým tématem</w:t>
      </w:r>
      <w:r w:rsidR="00EF38B2">
        <w:rPr>
          <w:color w:val="000000" w:themeColor="text1"/>
        </w:rPr>
        <w:t>, jež by v národní strategii nemělo chybět,</w:t>
      </w:r>
      <w:r>
        <w:rPr>
          <w:color w:val="000000" w:themeColor="text1"/>
        </w:rPr>
        <w:t xml:space="preserve"> je</w:t>
      </w:r>
      <w:r w:rsidR="00466898">
        <w:rPr>
          <w:color w:val="000000" w:themeColor="text1"/>
        </w:rPr>
        <w:t xml:space="preserve"> </w:t>
      </w:r>
      <w:r w:rsidR="00466898" w:rsidRPr="00EF38B2">
        <w:rPr>
          <w:b/>
          <w:color w:val="000000" w:themeColor="text1"/>
        </w:rPr>
        <w:t xml:space="preserve">zvyšování efektivity </w:t>
      </w:r>
      <w:proofErr w:type="spellStart"/>
      <w:r w:rsidR="00466898" w:rsidRPr="00EF38B2">
        <w:rPr>
          <w:b/>
          <w:color w:val="000000" w:themeColor="text1"/>
        </w:rPr>
        <w:t>VaV</w:t>
      </w:r>
      <w:proofErr w:type="spellEnd"/>
      <w:r w:rsidR="00466898" w:rsidRPr="00EF38B2">
        <w:rPr>
          <w:b/>
          <w:color w:val="000000" w:themeColor="text1"/>
        </w:rPr>
        <w:t xml:space="preserve"> center</w:t>
      </w:r>
      <w:r w:rsidR="00466898">
        <w:rPr>
          <w:color w:val="000000" w:themeColor="text1"/>
        </w:rPr>
        <w:t xml:space="preserve"> </w:t>
      </w:r>
      <w:r w:rsidR="009720C1">
        <w:rPr>
          <w:color w:val="000000" w:themeColor="text1"/>
        </w:rPr>
        <w:t>(</w:t>
      </w:r>
      <w:r w:rsidR="00466898" w:rsidRPr="003527C4">
        <w:rPr>
          <w:color w:val="000000" w:themeColor="text1"/>
        </w:rPr>
        <w:t>ve smyslu vysoké kvality výstupů tak, aby odpovídaly vloženým vstupům/prostředkům</w:t>
      </w:r>
      <w:r w:rsidR="009720C1">
        <w:rPr>
          <w:color w:val="000000" w:themeColor="text1"/>
        </w:rPr>
        <w:t>),</w:t>
      </w:r>
      <w:r w:rsidR="00466898" w:rsidRPr="003527C4">
        <w:rPr>
          <w:color w:val="000000" w:themeColor="text1"/>
        </w:rPr>
        <w:t xml:space="preserve"> </w:t>
      </w:r>
      <w:r w:rsidR="009720C1">
        <w:rPr>
          <w:color w:val="000000" w:themeColor="text1"/>
        </w:rPr>
        <w:t xml:space="preserve">aby </w:t>
      </w:r>
      <w:r w:rsidR="00466898" w:rsidRPr="003527C4">
        <w:rPr>
          <w:color w:val="000000" w:themeColor="text1"/>
        </w:rPr>
        <w:t>byl</w:t>
      </w:r>
      <w:r w:rsidR="009720C1">
        <w:rPr>
          <w:color w:val="000000" w:themeColor="text1"/>
        </w:rPr>
        <w:t xml:space="preserve">a </w:t>
      </w:r>
      <w:proofErr w:type="spellStart"/>
      <w:r w:rsidR="009720C1">
        <w:rPr>
          <w:color w:val="000000" w:themeColor="text1"/>
        </w:rPr>
        <w:t>VaV</w:t>
      </w:r>
      <w:proofErr w:type="spellEnd"/>
      <w:r w:rsidR="009720C1">
        <w:rPr>
          <w:color w:val="000000" w:themeColor="text1"/>
        </w:rPr>
        <w:t xml:space="preserve"> centra</w:t>
      </w:r>
      <w:r w:rsidR="00466898" w:rsidRPr="003527C4">
        <w:rPr>
          <w:color w:val="000000" w:themeColor="text1"/>
        </w:rPr>
        <w:t xml:space="preserve"> </w:t>
      </w:r>
      <w:r w:rsidR="00466898" w:rsidRPr="00485092">
        <w:rPr>
          <w:b/>
          <w:color w:val="000000" w:themeColor="text1"/>
        </w:rPr>
        <w:t>dlouhodobě udržiteln</w:t>
      </w:r>
      <w:r w:rsidR="009720C1">
        <w:rPr>
          <w:b/>
          <w:color w:val="000000" w:themeColor="text1"/>
        </w:rPr>
        <w:t>á</w:t>
      </w:r>
      <w:r w:rsidR="009720C1">
        <w:rPr>
          <w:color w:val="000000" w:themeColor="text1"/>
        </w:rPr>
        <w:t xml:space="preserve"> a méně závislá na financování ze státního rozpočtu</w:t>
      </w:r>
      <w:r w:rsidR="00BC1BAC">
        <w:rPr>
          <w:color w:val="000000" w:themeColor="text1"/>
        </w:rPr>
        <w:t>.</w:t>
      </w:r>
      <w:r w:rsidR="00466898">
        <w:rPr>
          <w:color w:val="000000" w:themeColor="text1"/>
        </w:rPr>
        <w:t xml:space="preserve"> </w:t>
      </w:r>
      <w:r w:rsidR="00C3255D">
        <w:rPr>
          <w:color w:val="000000" w:themeColor="text1"/>
        </w:rPr>
        <w:t>Pro zvýšení efektivity center</w:t>
      </w:r>
      <w:r w:rsidR="00466898" w:rsidRPr="003527C4">
        <w:rPr>
          <w:color w:val="000000" w:themeColor="text1"/>
        </w:rPr>
        <w:t xml:space="preserve"> je tedy v podstatě nezbytné výše popsané </w:t>
      </w:r>
      <w:r w:rsidR="00466898" w:rsidRPr="003527C4">
        <w:rPr>
          <w:b/>
          <w:color w:val="000000" w:themeColor="text1"/>
        </w:rPr>
        <w:t>zapojení center d</w:t>
      </w:r>
      <w:r w:rsidR="008E011B">
        <w:rPr>
          <w:b/>
          <w:color w:val="000000" w:themeColor="text1"/>
        </w:rPr>
        <w:t>o </w:t>
      </w:r>
      <w:r w:rsidR="00466898" w:rsidRPr="003527C4">
        <w:rPr>
          <w:b/>
          <w:color w:val="000000" w:themeColor="text1"/>
        </w:rPr>
        <w:t xml:space="preserve">evropského výzkumného prostoru. </w:t>
      </w:r>
      <w:r w:rsidR="00466898" w:rsidRPr="003527C4">
        <w:rPr>
          <w:color w:val="000000" w:themeColor="text1"/>
        </w:rPr>
        <w:t xml:space="preserve">V tomto kontextu je vhodné věnovat pozornost některým dalším </w:t>
      </w:r>
      <w:r w:rsidR="00C03F0D">
        <w:rPr>
          <w:color w:val="000000" w:themeColor="text1"/>
        </w:rPr>
        <w:t>aspektům. N</w:t>
      </w:r>
      <w:r w:rsidR="00466898" w:rsidRPr="003527C4">
        <w:rPr>
          <w:color w:val="000000" w:themeColor="text1"/>
        </w:rPr>
        <w:t xml:space="preserve">a prvním místě je možné uvést </w:t>
      </w:r>
      <w:r w:rsidR="00466898" w:rsidRPr="004B3132">
        <w:rPr>
          <w:b/>
          <w:color w:val="000000" w:themeColor="text1"/>
        </w:rPr>
        <w:t>podporu manažerského způsobu řízení center</w:t>
      </w:r>
      <w:r w:rsidR="00466898" w:rsidRPr="003527C4">
        <w:rPr>
          <w:color w:val="000000" w:themeColor="text1"/>
        </w:rPr>
        <w:t xml:space="preserve">, protože v současné době je zpravidla pozornost manažerského týmu centra upřena i na jiné aktivity (typicky další úvazky na univerzitách, výuka atp.). </w:t>
      </w:r>
      <w:r w:rsidR="00466898" w:rsidRPr="004B3132">
        <w:rPr>
          <w:b/>
          <w:color w:val="000000" w:themeColor="text1"/>
        </w:rPr>
        <w:t xml:space="preserve">Další důležitou premisou je správné složení a funkčnost dozorčích a poradních orgánů </w:t>
      </w:r>
      <w:proofErr w:type="spellStart"/>
      <w:r w:rsidR="00466898" w:rsidRPr="004B3132">
        <w:rPr>
          <w:b/>
          <w:color w:val="000000" w:themeColor="text1"/>
        </w:rPr>
        <w:t>VaV</w:t>
      </w:r>
      <w:proofErr w:type="spellEnd"/>
      <w:r w:rsidR="00466898" w:rsidRPr="004B3132">
        <w:rPr>
          <w:b/>
          <w:color w:val="000000" w:themeColor="text1"/>
        </w:rPr>
        <w:t xml:space="preserve"> institucí (Dozorčí rada, Vědecká rada), jejichž role v managementu je nezřídka podceňována – poradní orgán složený ze zástupců aplikační sféry, výzkumných partnerů, a především za účasti zahraničních členů může být velice silným nástrojem pro budování vazeb, a tím i pro rozšiřování portfolia potenciálních zdrojů příjmů pro zajištění dlouhodobé udržitelnosti.</w:t>
      </w:r>
      <w:r w:rsidR="00466898" w:rsidRPr="003527C4">
        <w:rPr>
          <w:color w:val="000000" w:themeColor="text1"/>
        </w:rPr>
        <w:t xml:space="preserve"> K zajištění efektivního fungování výzkumného pracoviště je také potřebná jistá míra </w:t>
      </w:r>
      <w:r w:rsidR="00466898" w:rsidRPr="004B3132">
        <w:rPr>
          <w:b/>
          <w:color w:val="000000" w:themeColor="text1"/>
        </w:rPr>
        <w:t xml:space="preserve">autonomie na mateřské instituci </w:t>
      </w:r>
      <w:r w:rsidR="00466898" w:rsidRPr="003527C4">
        <w:rPr>
          <w:color w:val="000000" w:themeColor="text1"/>
        </w:rPr>
        <w:t>(mateřských institucích) a jasně vymezené pravomoci managementu, ať už v oblasti personální politiky, nebo v otázkách finančního řízení. V některých případech se objevu</w:t>
      </w:r>
      <w:r w:rsidR="008E011B">
        <w:rPr>
          <w:color w:val="000000" w:themeColor="text1"/>
        </w:rPr>
        <w:t>jí zastaralé formy organizace a </w:t>
      </w:r>
      <w:r w:rsidR="00466898" w:rsidRPr="003527C4">
        <w:rPr>
          <w:color w:val="000000" w:themeColor="text1"/>
        </w:rPr>
        <w:t>managementu, které jsou na překážku efektivit</w:t>
      </w:r>
      <w:r w:rsidR="00466898">
        <w:rPr>
          <w:color w:val="000000" w:themeColor="text1"/>
        </w:rPr>
        <w:t>ě.</w:t>
      </w:r>
    </w:p>
    <w:p w:rsidR="00466898" w:rsidRDefault="00466898" w:rsidP="00EF38B2">
      <w:pPr>
        <w:jc w:val="both"/>
        <w:rPr>
          <w:color w:val="000000" w:themeColor="text1"/>
        </w:rPr>
      </w:pPr>
    </w:p>
    <w:p w:rsidR="004373BA" w:rsidRDefault="001669C0" w:rsidP="00EF38B2">
      <w:pPr>
        <w:jc w:val="both"/>
      </w:pPr>
      <w:r>
        <w:rPr>
          <w:color w:val="000000" w:themeColor="text1"/>
        </w:rPr>
        <w:t>Dále je nezbytné věnovat pozornost</w:t>
      </w:r>
      <w:r w:rsidR="00466898" w:rsidRPr="003527C4">
        <w:rPr>
          <w:color w:val="000000" w:themeColor="text1"/>
        </w:rPr>
        <w:t xml:space="preserve"> i otázkám </w:t>
      </w:r>
      <w:r w:rsidR="00466898" w:rsidRPr="003527C4">
        <w:rPr>
          <w:b/>
          <w:color w:val="000000" w:themeColor="text1"/>
        </w:rPr>
        <w:t>zvýšení atraktivity českého výzkumného prostředí pro zahraniční vědecké pracovníky</w:t>
      </w:r>
      <w:r w:rsidR="00466898" w:rsidRPr="003527C4">
        <w:rPr>
          <w:color w:val="000000" w:themeColor="text1"/>
        </w:rPr>
        <w:t xml:space="preserve"> (či pro české vědce působící dlouhodobě v zahraničí) </w:t>
      </w:r>
      <w:r w:rsidR="00466898" w:rsidRPr="003527C4">
        <w:rPr>
          <w:b/>
          <w:color w:val="000000" w:themeColor="text1"/>
        </w:rPr>
        <w:t>pomocí zajištění odpovídajících podmínek</w:t>
      </w:r>
      <w:r w:rsidR="00466898" w:rsidRPr="003527C4">
        <w:rPr>
          <w:color w:val="000000" w:themeColor="text1"/>
        </w:rPr>
        <w:t>.</w:t>
      </w:r>
    </w:p>
    <w:p w:rsidR="006E3A64" w:rsidRPr="00485092" w:rsidRDefault="006E3A64" w:rsidP="00485092">
      <w:pPr>
        <w:jc w:val="both"/>
        <w:rPr>
          <w:rFonts w:cs="Arial"/>
          <w:color w:val="000000"/>
        </w:rPr>
      </w:pPr>
    </w:p>
    <w:p w:rsidR="001D5A73" w:rsidRDefault="001D5A73" w:rsidP="006E3A64">
      <w:pPr>
        <w:jc w:val="both"/>
        <w:rPr>
          <w:color w:val="000000" w:themeColor="text1"/>
        </w:rPr>
      </w:pPr>
      <w:r>
        <w:rPr>
          <w:rFonts w:cs="Arial"/>
          <w:color w:val="000000"/>
        </w:rPr>
        <w:t>S</w:t>
      </w:r>
      <w:r w:rsidRPr="00205475">
        <w:rPr>
          <w:rFonts w:cs="Arial"/>
          <w:color w:val="000000"/>
        </w:rPr>
        <w:t>tra</w:t>
      </w:r>
      <w:r>
        <w:rPr>
          <w:rFonts w:cs="Arial"/>
          <w:color w:val="000000"/>
        </w:rPr>
        <w:t>tegie by se měla mít dlouhodobý rozměr, tj. měla by pokrývat dobu delší než pět let</w:t>
      </w:r>
      <w:r w:rsidRPr="00205475">
        <w:rPr>
          <w:rFonts w:cs="Arial"/>
          <w:color w:val="000000"/>
        </w:rPr>
        <w:t xml:space="preserve">. Je třeba posoudit rovněž efektivnost vynakládaných prostředků na zajištění </w:t>
      </w:r>
      <w:r w:rsidR="008E011B">
        <w:rPr>
          <w:rFonts w:cs="Arial"/>
          <w:color w:val="000000"/>
        </w:rPr>
        <w:t>udržitelnosti ve vztahu k </w:t>
      </w:r>
      <w:r w:rsidRPr="00205475">
        <w:rPr>
          <w:rFonts w:cs="Arial"/>
          <w:color w:val="000000"/>
        </w:rPr>
        <w:t>fungování projektu po další roky.</w:t>
      </w:r>
    </w:p>
    <w:p w:rsidR="00A209D4" w:rsidRPr="003527C4" w:rsidRDefault="00946885" w:rsidP="00827594">
      <w:pPr>
        <w:pStyle w:val="Nadpis1"/>
        <w:numPr>
          <w:ilvl w:val="0"/>
          <w:numId w:val="2"/>
        </w:numPr>
        <w:rPr>
          <w:rFonts w:ascii="Arial" w:hAnsi="Arial" w:cs="Arial"/>
          <w:i/>
          <w:color w:val="000000" w:themeColor="text1"/>
          <w:sz w:val="20"/>
          <w:szCs w:val="20"/>
        </w:rPr>
      </w:pPr>
      <w:r w:rsidRPr="003527C4">
        <w:rPr>
          <w:rFonts w:ascii="Arial" w:hAnsi="Arial" w:cs="Arial"/>
          <w:color w:val="000000" w:themeColor="text1"/>
          <w:sz w:val="20"/>
          <w:szCs w:val="20"/>
        </w:rPr>
        <w:t>Závěr</w:t>
      </w:r>
      <w:r w:rsidR="00BC0130" w:rsidRPr="003527C4">
        <w:rPr>
          <w:rFonts w:ascii="Arial" w:hAnsi="Arial" w:cs="Arial"/>
          <w:color w:val="000000" w:themeColor="text1"/>
          <w:sz w:val="20"/>
          <w:szCs w:val="20"/>
        </w:rPr>
        <w:t xml:space="preserve"> </w:t>
      </w:r>
    </w:p>
    <w:p w:rsidR="006F415B" w:rsidRPr="003527C4" w:rsidRDefault="006F415B" w:rsidP="006F415B">
      <w:pPr>
        <w:rPr>
          <w:b/>
        </w:rPr>
      </w:pPr>
    </w:p>
    <w:p w:rsidR="00DD7C96" w:rsidRPr="0048742D" w:rsidRDefault="004A082D" w:rsidP="00B50264">
      <w:pPr>
        <w:spacing w:after="120"/>
        <w:jc w:val="both"/>
        <w:rPr>
          <w:szCs w:val="28"/>
        </w:rPr>
      </w:pPr>
      <w:r w:rsidRPr="003527C4">
        <w:rPr>
          <w:szCs w:val="28"/>
        </w:rPr>
        <w:t>Potřeb</w:t>
      </w:r>
      <w:r w:rsidR="002B7526" w:rsidRPr="003527C4">
        <w:rPr>
          <w:szCs w:val="28"/>
        </w:rPr>
        <w:t>a</w:t>
      </w:r>
      <w:r w:rsidRPr="003527C4">
        <w:rPr>
          <w:szCs w:val="28"/>
        </w:rPr>
        <w:t xml:space="preserve"> </w:t>
      </w:r>
      <w:r w:rsidR="00DF26A4" w:rsidRPr="003527C4">
        <w:rPr>
          <w:szCs w:val="28"/>
        </w:rPr>
        <w:t xml:space="preserve">komplexní </w:t>
      </w:r>
      <w:r w:rsidRPr="003527C4">
        <w:rPr>
          <w:szCs w:val="28"/>
        </w:rPr>
        <w:t>celonárodní strate</w:t>
      </w:r>
      <w:r w:rsidR="002A619B" w:rsidRPr="003527C4">
        <w:rPr>
          <w:szCs w:val="28"/>
        </w:rPr>
        <w:t xml:space="preserve">gie udržitelnosti projektů </w:t>
      </w:r>
      <w:r w:rsidR="008E684F" w:rsidRPr="003527C4">
        <w:rPr>
          <w:szCs w:val="28"/>
        </w:rPr>
        <w:t xml:space="preserve">do roku 2020 </w:t>
      </w:r>
      <w:r w:rsidR="002A619B" w:rsidRPr="003527C4">
        <w:rPr>
          <w:szCs w:val="28"/>
        </w:rPr>
        <w:t xml:space="preserve">je vnímána </w:t>
      </w:r>
      <w:r w:rsidRPr="003527C4">
        <w:rPr>
          <w:szCs w:val="28"/>
        </w:rPr>
        <w:t>velmi palčivě a je nezbytné, aby byla tato otázka řešena komplexně na mezirezortní úrovni</w:t>
      </w:r>
      <w:r w:rsidR="00DF26A4" w:rsidRPr="003527C4">
        <w:rPr>
          <w:szCs w:val="28"/>
        </w:rPr>
        <w:t xml:space="preserve"> a v krátkém časovém horizontu, jelikož řada </w:t>
      </w:r>
      <w:proofErr w:type="spellStart"/>
      <w:r w:rsidR="00DF26A4" w:rsidRPr="003527C4">
        <w:rPr>
          <w:szCs w:val="28"/>
        </w:rPr>
        <w:t>VaV</w:t>
      </w:r>
      <w:proofErr w:type="spellEnd"/>
      <w:r w:rsidR="00DF26A4" w:rsidRPr="003527C4">
        <w:rPr>
          <w:szCs w:val="28"/>
        </w:rPr>
        <w:t xml:space="preserve"> center se</w:t>
      </w:r>
      <w:r w:rsidR="007C2E63" w:rsidRPr="003527C4">
        <w:rPr>
          <w:szCs w:val="28"/>
        </w:rPr>
        <w:t xml:space="preserve"> již ve fázi udržitelnosti</w:t>
      </w:r>
      <w:r w:rsidR="00DF26A4" w:rsidRPr="003527C4">
        <w:rPr>
          <w:szCs w:val="28"/>
        </w:rPr>
        <w:t xml:space="preserve"> nachází a bez</w:t>
      </w:r>
      <w:r w:rsidR="00C03F0D">
        <w:rPr>
          <w:szCs w:val="28"/>
        </w:rPr>
        <w:t xml:space="preserve"> komplexní strategie udržitelnosti </w:t>
      </w:r>
      <w:proofErr w:type="spellStart"/>
      <w:r w:rsidR="00C03F0D">
        <w:rPr>
          <w:szCs w:val="28"/>
        </w:rPr>
        <w:t>VaV</w:t>
      </w:r>
      <w:proofErr w:type="spellEnd"/>
      <w:r w:rsidR="00C03F0D">
        <w:rPr>
          <w:szCs w:val="28"/>
        </w:rPr>
        <w:t xml:space="preserve"> center</w:t>
      </w:r>
      <w:r w:rsidR="00DF26A4" w:rsidRPr="003527C4">
        <w:rPr>
          <w:szCs w:val="28"/>
        </w:rPr>
        <w:t xml:space="preserve"> je jakékoliv strategické plánov</w:t>
      </w:r>
      <w:r w:rsidR="00E86635">
        <w:rPr>
          <w:szCs w:val="28"/>
        </w:rPr>
        <w:t>á</w:t>
      </w:r>
      <w:r w:rsidR="00F87B8B" w:rsidRPr="003527C4">
        <w:rPr>
          <w:szCs w:val="28"/>
        </w:rPr>
        <w:t>ní na úrovni center podstatně z</w:t>
      </w:r>
      <w:r w:rsidR="0002730C" w:rsidRPr="003527C4">
        <w:rPr>
          <w:szCs w:val="28"/>
        </w:rPr>
        <w:t>t</w:t>
      </w:r>
      <w:r w:rsidR="00DF26A4" w:rsidRPr="003527C4">
        <w:rPr>
          <w:szCs w:val="28"/>
        </w:rPr>
        <w:t>íženo.</w:t>
      </w:r>
      <w:r w:rsidRPr="003527C4">
        <w:rPr>
          <w:szCs w:val="28"/>
        </w:rPr>
        <w:t xml:space="preserve"> </w:t>
      </w:r>
      <w:r w:rsidR="00DA4B2B">
        <w:rPr>
          <w:szCs w:val="28"/>
        </w:rPr>
        <w:t>C</w:t>
      </w:r>
      <w:r w:rsidRPr="003527C4">
        <w:rPr>
          <w:szCs w:val="28"/>
        </w:rPr>
        <w:t xml:space="preserve">elonárodní strategie </w:t>
      </w:r>
      <w:r w:rsidR="00DA4B2B">
        <w:rPr>
          <w:szCs w:val="28"/>
        </w:rPr>
        <w:t xml:space="preserve">by měla vzniknout ve spolupráci </w:t>
      </w:r>
      <w:r w:rsidRPr="003527C4">
        <w:rPr>
          <w:szCs w:val="28"/>
        </w:rPr>
        <w:t>kompeten</w:t>
      </w:r>
      <w:r w:rsidR="00DA4B2B">
        <w:rPr>
          <w:szCs w:val="28"/>
        </w:rPr>
        <w:t>tní</w:t>
      </w:r>
      <w:r w:rsidR="00853413">
        <w:rPr>
          <w:szCs w:val="28"/>
        </w:rPr>
        <w:t>ch</w:t>
      </w:r>
      <w:r w:rsidRPr="003527C4">
        <w:rPr>
          <w:szCs w:val="28"/>
        </w:rPr>
        <w:t xml:space="preserve"> </w:t>
      </w:r>
      <w:r w:rsidR="00DA4B2B">
        <w:rPr>
          <w:szCs w:val="28"/>
        </w:rPr>
        <w:t>orgán</w:t>
      </w:r>
      <w:r w:rsidR="00853413">
        <w:rPr>
          <w:szCs w:val="28"/>
        </w:rPr>
        <w:t>ů</w:t>
      </w:r>
      <w:r w:rsidR="00DA4B2B">
        <w:rPr>
          <w:szCs w:val="28"/>
        </w:rPr>
        <w:t xml:space="preserve">, zejména MŠMT, Sekce pro vědu, výzkum a inovace Úřadu vlády a </w:t>
      </w:r>
      <w:r w:rsidRPr="003527C4">
        <w:rPr>
          <w:szCs w:val="28"/>
        </w:rPr>
        <w:t xml:space="preserve">RVVI, která zároveň překládá návrh výše celkových výdajů na </w:t>
      </w:r>
      <w:proofErr w:type="spellStart"/>
      <w:r w:rsidRPr="003527C4">
        <w:rPr>
          <w:szCs w:val="28"/>
        </w:rPr>
        <w:t>VaVaI</w:t>
      </w:r>
      <w:proofErr w:type="spellEnd"/>
      <w:r w:rsidRPr="003527C4">
        <w:rPr>
          <w:szCs w:val="28"/>
        </w:rPr>
        <w:t xml:space="preserve"> ze státního rozpočtu ČR. </w:t>
      </w:r>
      <w:r w:rsidR="00DF26A4" w:rsidRPr="003527C4">
        <w:rPr>
          <w:szCs w:val="28"/>
        </w:rPr>
        <w:t xml:space="preserve">Národní strategie musí obsahovat i zajištění potřebných finančních prostředků, jako </w:t>
      </w:r>
      <w:r w:rsidR="00EB6527" w:rsidRPr="003527C4">
        <w:rPr>
          <w:szCs w:val="28"/>
        </w:rPr>
        <w:t xml:space="preserve">nástroje pro dosažení </w:t>
      </w:r>
      <w:r w:rsidR="00DF26A4" w:rsidRPr="003527C4">
        <w:rPr>
          <w:szCs w:val="28"/>
        </w:rPr>
        <w:t xml:space="preserve">úrovně financování </w:t>
      </w:r>
      <w:proofErr w:type="spellStart"/>
      <w:r w:rsidR="00DF26A4" w:rsidRPr="003527C4">
        <w:rPr>
          <w:szCs w:val="28"/>
        </w:rPr>
        <w:t>VaVaI</w:t>
      </w:r>
      <w:proofErr w:type="spellEnd"/>
      <w:r w:rsidR="00F87B8B" w:rsidRPr="003527C4">
        <w:rPr>
          <w:szCs w:val="28"/>
        </w:rPr>
        <w:t xml:space="preserve"> srovnatelné s EU</w:t>
      </w:r>
      <w:r w:rsidR="00DF26A4" w:rsidRPr="003527C4">
        <w:rPr>
          <w:szCs w:val="28"/>
        </w:rPr>
        <w:t>.</w:t>
      </w:r>
      <w:r w:rsidR="008E684F" w:rsidRPr="003527C4">
        <w:rPr>
          <w:szCs w:val="28"/>
        </w:rPr>
        <w:t xml:space="preserve"> </w:t>
      </w:r>
      <w:r w:rsidR="0048742D" w:rsidRPr="003527C4">
        <w:rPr>
          <w:szCs w:val="28"/>
        </w:rPr>
        <w:t>Nárůst finančních prostředků do</w:t>
      </w:r>
      <w:r w:rsidR="0048742D">
        <w:rPr>
          <w:szCs w:val="28"/>
        </w:rPr>
        <w:t> </w:t>
      </w:r>
      <w:proofErr w:type="spellStart"/>
      <w:r w:rsidR="0048742D" w:rsidRPr="003527C4">
        <w:rPr>
          <w:szCs w:val="28"/>
        </w:rPr>
        <w:t>VaVaI</w:t>
      </w:r>
      <w:proofErr w:type="spellEnd"/>
      <w:r w:rsidR="0048742D" w:rsidRPr="003527C4">
        <w:rPr>
          <w:szCs w:val="28"/>
        </w:rPr>
        <w:t xml:space="preserve"> je v souladu s</w:t>
      </w:r>
      <w:r w:rsidR="0048742D">
        <w:rPr>
          <w:szCs w:val="28"/>
        </w:rPr>
        <w:t xml:space="preserve"> hlavními </w:t>
      </w:r>
      <w:r w:rsidR="0048742D" w:rsidRPr="003527C4">
        <w:rPr>
          <w:szCs w:val="28"/>
        </w:rPr>
        <w:t>cíli</w:t>
      </w:r>
      <w:r w:rsidR="0048742D">
        <w:rPr>
          <w:szCs w:val="28"/>
        </w:rPr>
        <w:t xml:space="preserve"> Strategie</w:t>
      </w:r>
      <w:r w:rsidR="0048742D" w:rsidRPr="003527C4">
        <w:rPr>
          <w:szCs w:val="28"/>
        </w:rPr>
        <w:t xml:space="preserve"> Evropa 2020</w:t>
      </w:r>
      <w:r w:rsidR="0048742D">
        <w:rPr>
          <w:szCs w:val="28"/>
        </w:rPr>
        <w:t xml:space="preserve">, která mezi hlavními prioritami uvádí </w:t>
      </w:r>
      <w:r w:rsidR="0048742D" w:rsidRPr="006A11DC">
        <w:rPr>
          <w:i/>
          <w:szCs w:val="28"/>
        </w:rPr>
        <w:t>„</w:t>
      </w:r>
      <w:r w:rsidR="0048742D" w:rsidRPr="006A11DC">
        <w:rPr>
          <w:i/>
        </w:rPr>
        <w:t>zlepšení podmínek pro výzkum a vývoj, zejména s cílem zajistit, aby veřejné a soukromé investice v tomto odvětví dosáhly v úhrnu 3 % HDP.“</w:t>
      </w:r>
    </w:p>
    <w:p w:rsidR="00156A88" w:rsidRPr="00DD7C96" w:rsidRDefault="00156A88" w:rsidP="00156A88">
      <w:pPr>
        <w:spacing w:after="120"/>
        <w:jc w:val="both"/>
        <w:rPr>
          <w:szCs w:val="28"/>
        </w:rPr>
      </w:pPr>
      <w:r w:rsidRPr="009B67DC">
        <w:rPr>
          <w:szCs w:val="28"/>
        </w:rPr>
        <w:t xml:space="preserve">Význam státní stimulace </w:t>
      </w:r>
      <w:proofErr w:type="spellStart"/>
      <w:r w:rsidRPr="009B67DC">
        <w:rPr>
          <w:szCs w:val="28"/>
        </w:rPr>
        <w:t>VaVaI</w:t>
      </w:r>
      <w:proofErr w:type="spellEnd"/>
      <w:r>
        <w:rPr>
          <w:szCs w:val="28"/>
        </w:rPr>
        <w:t xml:space="preserve"> </w:t>
      </w:r>
      <w:r w:rsidRPr="009B67DC">
        <w:rPr>
          <w:szCs w:val="28"/>
        </w:rPr>
        <w:t>je všeobecně uznáván v celosvětovém měřítku.</w:t>
      </w:r>
      <w:r>
        <w:rPr>
          <w:szCs w:val="28"/>
        </w:rPr>
        <w:t xml:space="preserve"> </w:t>
      </w:r>
      <w:r w:rsidRPr="009B67DC">
        <w:rPr>
          <w:szCs w:val="28"/>
        </w:rPr>
        <w:t xml:space="preserve">V současné době se tento význam dostává do popředí, zejména s ohledem na dlouhotrvající hospodářskou recesi. Vlády po celém světě se obracejí k rozvoji </w:t>
      </w:r>
      <w:proofErr w:type="spellStart"/>
      <w:r w:rsidRPr="009B67DC">
        <w:rPr>
          <w:szCs w:val="28"/>
        </w:rPr>
        <w:t>VaV</w:t>
      </w:r>
      <w:proofErr w:type="spellEnd"/>
      <w:r w:rsidRPr="009B67DC">
        <w:rPr>
          <w:szCs w:val="28"/>
        </w:rPr>
        <w:t xml:space="preserve">  jako k jednomu z klíčových zdrojů znovunastartování ekonomik.  Evropská unie nechce hospodářsky zaostávat za zbytkem světa, a v souvislosti s tím nemůže ani zaostávat v navyšování státních investic do </w:t>
      </w:r>
      <w:proofErr w:type="spellStart"/>
      <w:r w:rsidRPr="009B67DC">
        <w:rPr>
          <w:szCs w:val="28"/>
        </w:rPr>
        <w:t>VaVaI</w:t>
      </w:r>
      <w:proofErr w:type="spellEnd"/>
      <w:r w:rsidRPr="009B67DC">
        <w:rPr>
          <w:szCs w:val="28"/>
        </w:rPr>
        <w:t xml:space="preserve">. </w:t>
      </w:r>
    </w:p>
    <w:p w:rsidR="0048742D" w:rsidRPr="00DD7C96" w:rsidRDefault="0048742D" w:rsidP="00156A88">
      <w:pPr>
        <w:spacing w:after="120"/>
        <w:jc w:val="both"/>
        <w:rPr>
          <w:szCs w:val="28"/>
        </w:rPr>
      </w:pPr>
    </w:p>
    <w:sectPr w:rsidR="0048742D" w:rsidRPr="00DD7C96" w:rsidSect="00531E1F">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C07" w:rsidRDefault="00E62C07">
      <w:r>
        <w:separator/>
      </w:r>
    </w:p>
  </w:endnote>
  <w:endnote w:type="continuationSeparator" w:id="0">
    <w:p w:rsidR="00E62C07" w:rsidRDefault="00E62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Arial, Arial">
    <w:altName w:val="Arial"/>
    <w:charset w:val="00"/>
    <w:family w:val="swiss"/>
    <w:pitch w:val="default"/>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0571363"/>
      <w:docPartObj>
        <w:docPartGallery w:val="Page Numbers (Bottom of Page)"/>
        <w:docPartUnique/>
      </w:docPartObj>
    </w:sdtPr>
    <w:sdtEndPr/>
    <w:sdtContent>
      <w:p w:rsidR="00CE2A6B" w:rsidRDefault="00CE2A6B">
        <w:pPr>
          <w:pStyle w:val="Zpat"/>
          <w:jc w:val="center"/>
        </w:pPr>
        <w:r>
          <w:fldChar w:fldCharType="begin"/>
        </w:r>
        <w:r>
          <w:instrText>PAGE   \* MERGEFORMAT</w:instrText>
        </w:r>
        <w:r>
          <w:fldChar w:fldCharType="separate"/>
        </w:r>
        <w:r w:rsidR="007536E4">
          <w:rPr>
            <w:noProof/>
          </w:rPr>
          <w:t>21</w:t>
        </w:r>
        <w:r>
          <w:rPr>
            <w:noProof/>
          </w:rPr>
          <w:fldChar w:fldCharType="end"/>
        </w:r>
      </w:p>
    </w:sdtContent>
  </w:sdt>
  <w:p w:rsidR="00CE2A6B" w:rsidRDefault="00C16563">
    <w:pPr>
      <w:pStyle w:val="Zpat"/>
    </w:pPr>
    <w:r>
      <w:rPr>
        <w:noProof/>
        <w:lang w:eastAsia="cs-CZ" w:bidi="ar-SA"/>
      </w:rPr>
      <w:drawing>
        <wp:anchor distT="0" distB="0" distL="114300" distR="114300" simplePos="0" relativeHeight="251659264" behindDoc="0" locked="0" layoutInCell="1" allowOverlap="1" wp14:anchorId="1D6C9FEC" wp14:editId="6B3FEB10">
          <wp:simplePos x="0" y="0"/>
          <wp:positionH relativeFrom="column">
            <wp:posOffset>947420</wp:posOffset>
          </wp:positionH>
          <wp:positionV relativeFrom="paragraph">
            <wp:posOffset>9638665</wp:posOffset>
          </wp:positionV>
          <wp:extent cx="5449570" cy="939800"/>
          <wp:effectExtent l="0" t="0" r="0" b="0"/>
          <wp:wrapNone/>
          <wp:docPr id="6" name="Obrázek 6" descr="3loga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3loga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957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bidi="ar-SA"/>
      </w:rPr>
      <w:drawing>
        <wp:anchor distT="0" distB="0" distL="114300" distR="114300" simplePos="0" relativeHeight="251658240" behindDoc="0" locked="0" layoutInCell="1" allowOverlap="1" wp14:anchorId="0E29A5D9" wp14:editId="6ECC31FF">
          <wp:simplePos x="0" y="0"/>
          <wp:positionH relativeFrom="column">
            <wp:posOffset>947420</wp:posOffset>
          </wp:positionH>
          <wp:positionV relativeFrom="paragraph">
            <wp:posOffset>9638665</wp:posOffset>
          </wp:positionV>
          <wp:extent cx="5449570" cy="939800"/>
          <wp:effectExtent l="0" t="0" r="0" b="0"/>
          <wp:wrapNone/>
          <wp:docPr id="5" name="Obrázek 5" descr="3loga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3loga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9570" cy="939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C07" w:rsidRDefault="00E62C07">
      <w:r>
        <w:rPr>
          <w:color w:val="000000"/>
        </w:rPr>
        <w:separator/>
      </w:r>
    </w:p>
  </w:footnote>
  <w:footnote w:type="continuationSeparator" w:id="0">
    <w:p w:rsidR="00E62C07" w:rsidRDefault="00E62C07">
      <w:r>
        <w:continuationSeparator/>
      </w:r>
    </w:p>
  </w:footnote>
  <w:footnote w:id="1">
    <w:p w:rsidR="00CE2A6B" w:rsidRPr="00B63156" w:rsidRDefault="00CE2A6B" w:rsidP="00B63156">
      <w:pPr>
        <w:pStyle w:val="NorReport"/>
        <w:rPr>
          <w:rFonts w:ascii="Times New Roman" w:hAnsi="Times New Roman" w:cs="Times New Roman"/>
          <w:sz w:val="20"/>
          <w:szCs w:val="20"/>
        </w:rPr>
      </w:pPr>
      <w:r w:rsidRPr="00B63156">
        <w:rPr>
          <w:rStyle w:val="Znakapoznpodarou"/>
        </w:rPr>
        <w:footnoteRef/>
      </w:r>
      <w:r w:rsidRPr="00B63156">
        <w:rPr>
          <w:rStyle w:val="Znakapoznpodarou"/>
        </w:rPr>
        <w:t xml:space="preserve"> </w:t>
      </w:r>
      <w:r w:rsidRPr="00B63156">
        <w:rPr>
          <w:rFonts w:ascii="Times New Roman" w:hAnsi="Times New Roman" w:cs="Times New Roman"/>
          <w:sz w:val="20"/>
          <w:szCs w:val="20"/>
        </w:rPr>
        <w:t xml:space="preserve">Celková finanční alokace OP </w:t>
      </w:r>
      <w:proofErr w:type="spellStart"/>
      <w:r w:rsidRPr="00B63156">
        <w:rPr>
          <w:rFonts w:ascii="Times New Roman" w:hAnsi="Times New Roman" w:cs="Times New Roman"/>
          <w:sz w:val="20"/>
          <w:szCs w:val="20"/>
        </w:rPr>
        <w:t>VaVpI</w:t>
      </w:r>
      <w:proofErr w:type="spellEnd"/>
      <w:r w:rsidRPr="00B63156">
        <w:rPr>
          <w:rFonts w:ascii="Times New Roman" w:hAnsi="Times New Roman" w:cs="Times New Roman"/>
          <w:sz w:val="20"/>
          <w:szCs w:val="20"/>
        </w:rPr>
        <w:t xml:space="preserve"> dosahuje více než 65</w:t>
      </w:r>
      <w:r>
        <w:rPr>
          <w:rFonts w:ascii="Times New Roman" w:hAnsi="Times New Roman" w:cs="Times New Roman"/>
          <w:sz w:val="20"/>
          <w:szCs w:val="20"/>
        </w:rPr>
        <w:t>,8</w:t>
      </w:r>
      <w:r w:rsidRPr="00B63156">
        <w:rPr>
          <w:rFonts w:ascii="Times New Roman" w:hAnsi="Times New Roman" w:cs="Times New Roman"/>
          <w:sz w:val="20"/>
          <w:szCs w:val="20"/>
        </w:rPr>
        <w:t xml:space="preserve"> miliard</w:t>
      </w:r>
      <w:r>
        <w:rPr>
          <w:rFonts w:ascii="Times New Roman" w:hAnsi="Times New Roman" w:cs="Times New Roman"/>
          <w:sz w:val="20"/>
          <w:szCs w:val="20"/>
        </w:rPr>
        <w:t>y</w:t>
      </w:r>
      <w:r w:rsidRPr="00B63156">
        <w:rPr>
          <w:rFonts w:ascii="Times New Roman" w:hAnsi="Times New Roman" w:cs="Times New Roman"/>
          <w:sz w:val="20"/>
          <w:szCs w:val="20"/>
        </w:rPr>
        <w:t xml:space="preserve"> korun v závislosti na vývoji kurzu CZK/EUR, respektive 2 436 095 160 EUR, z čehož 2 070 680 884 EUR představuje příspěvek Evropského fondu pro regionální rozvoj (ERDF), tj. 85 % celkové alokace a 365 414 276 EUR činí kofinancování ze státního rozpočtu ČR, tj. 15 % ce</w:t>
      </w:r>
      <w:r w:rsidRPr="00B63156">
        <w:rPr>
          <w:rFonts w:ascii="Times New Roman" w:hAnsi="Times New Roman" w:cs="Times New Roman"/>
          <w:sz w:val="20"/>
          <w:szCs w:val="20"/>
        </w:rPr>
        <w:t>l</w:t>
      </w:r>
      <w:r w:rsidRPr="00B63156">
        <w:rPr>
          <w:rFonts w:ascii="Times New Roman" w:hAnsi="Times New Roman" w:cs="Times New Roman"/>
          <w:sz w:val="20"/>
          <w:szCs w:val="20"/>
        </w:rPr>
        <w:t>kové alokace.</w:t>
      </w:r>
    </w:p>
  </w:footnote>
  <w:footnote w:id="2">
    <w:p w:rsidR="00CE2A6B" w:rsidRDefault="00CE2A6B">
      <w:pPr>
        <w:pStyle w:val="Textpoznpodarou"/>
      </w:pPr>
      <w:r>
        <w:rPr>
          <w:rStyle w:val="Znakapoznpodarou"/>
        </w:rPr>
        <w:footnoteRef/>
      </w:r>
      <w:r>
        <w:t xml:space="preserve"> Pro účely tohoto materiálu jsou termínem </w:t>
      </w:r>
      <w:proofErr w:type="spellStart"/>
      <w:r>
        <w:t>VaV</w:t>
      </w:r>
      <w:proofErr w:type="spellEnd"/>
      <w:r>
        <w:t xml:space="preserve"> centra myšleny projekty podpořené v rámci PO 1 a PO 2</w:t>
      </w:r>
    </w:p>
  </w:footnote>
  <w:footnote w:id="3">
    <w:p w:rsidR="00CE2A6B" w:rsidRDefault="00CE2A6B" w:rsidP="00B63156">
      <w:pPr>
        <w:pStyle w:val="Textpoznpodarou"/>
        <w:ind w:left="0" w:firstLine="0"/>
      </w:pPr>
      <w:r w:rsidRPr="00135436">
        <w:rPr>
          <w:rStyle w:val="Znakapoznpodarou"/>
          <w:rFonts w:ascii="Arial" w:hAnsi="Arial" w:cs="Arial"/>
          <w:sz w:val="22"/>
          <w:szCs w:val="22"/>
        </w:rPr>
        <w:footnoteRef/>
      </w:r>
      <w:r w:rsidRPr="00135436">
        <w:rPr>
          <w:rStyle w:val="Znakapoznpodarou"/>
          <w:rFonts w:ascii="Arial" w:hAnsi="Arial" w:cs="Arial"/>
          <w:sz w:val="22"/>
          <w:szCs w:val="22"/>
        </w:rPr>
        <w:t xml:space="preserve"> </w:t>
      </w:r>
      <w:r>
        <w:t xml:space="preserve">Výjimku představují projekty výzvy pro pražské univerzity „3.4 </w:t>
      </w:r>
      <w:r w:rsidRPr="004F6AB0">
        <w:t>Podpora infrastruktury pro výuku spojenou s výzk</w:t>
      </w:r>
      <w:r w:rsidRPr="004F6AB0">
        <w:t>u</w:t>
      </w:r>
      <w:r w:rsidRPr="004F6AB0">
        <w:t xml:space="preserve">mem, PO 4, OP </w:t>
      </w:r>
      <w:proofErr w:type="spellStart"/>
      <w:r w:rsidRPr="004F6AB0">
        <w:t>VaVpI</w:t>
      </w:r>
      <w:proofErr w:type="spellEnd"/>
      <w:r>
        <w:t xml:space="preserve">“, které mají dobu udržitelnosti stanovenu na 10 let kvůli pravidlům programu ISPROFIN, ze kterého mají být projekty této výzvy spolufinancovány. Vydání </w:t>
      </w:r>
      <w:proofErr w:type="spellStart"/>
      <w:r>
        <w:t>RoPD</w:t>
      </w:r>
      <w:proofErr w:type="spellEnd"/>
      <w:r>
        <w:t xml:space="preserve"> projektům výzvy 3.4 je stále projednáváno.</w:t>
      </w:r>
    </w:p>
  </w:footnote>
  <w:footnote w:id="4">
    <w:p w:rsidR="00CE2A6B" w:rsidRDefault="00CE2A6B" w:rsidP="009B6E8F">
      <w:pPr>
        <w:widowControl/>
        <w:suppressAutoHyphens w:val="0"/>
        <w:autoSpaceDE w:val="0"/>
        <w:adjustRightInd w:val="0"/>
        <w:textAlignment w:val="auto"/>
      </w:pPr>
      <w:r w:rsidRPr="00135436">
        <w:rPr>
          <w:rStyle w:val="Znakapoznpodarou"/>
          <w:rFonts w:ascii="Arial" w:eastAsia="Times New Roman" w:hAnsi="Arial" w:cs="Arial"/>
          <w:kern w:val="0"/>
          <w:sz w:val="22"/>
          <w:szCs w:val="22"/>
          <w:lang w:eastAsia="cs-CZ" w:bidi="ar-SA"/>
        </w:rPr>
        <w:footnoteRef/>
      </w:r>
      <w:r w:rsidRPr="00135436">
        <w:rPr>
          <w:rStyle w:val="Znakapoznpodarou"/>
          <w:rFonts w:ascii="Arial" w:eastAsia="Times New Roman" w:hAnsi="Arial" w:cs="Arial"/>
          <w:kern w:val="0"/>
          <w:sz w:val="22"/>
          <w:szCs w:val="22"/>
          <w:lang w:eastAsia="cs-CZ" w:bidi="ar-SA"/>
        </w:rPr>
        <w:t xml:space="preserve"> </w:t>
      </w:r>
      <w:r w:rsidRPr="00EF3F0A">
        <w:rPr>
          <w:rFonts w:eastAsia="Times New Roman" w:cs="Times New Roman"/>
          <w:kern w:val="0"/>
          <w:sz w:val="20"/>
          <w:szCs w:val="20"/>
          <w:lang w:eastAsia="cs-CZ" w:bidi="ar-SA"/>
        </w:rPr>
        <w:t>NAŘÍZENÍ RADY (ES) č. 1083/2006 ze dne 11. července 2006 o obecných ustanoveních o Evropském fondu pro regionální rozvoj, Evropském sociálním fondu a Fondu soudržnosti a o zrušení nařízení (ES) č. 1260/1999</w:t>
      </w:r>
    </w:p>
  </w:footnote>
  <w:footnote w:id="5">
    <w:p w:rsidR="00CE2A6B" w:rsidRDefault="00CE2A6B" w:rsidP="00B73E0E">
      <w:pPr>
        <w:pStyle w:val="Textpoznpodarou"/>
      </w:pPr>
      <w:r>
        <w:rPr>
          <w:rStyle w:val="Znakapoznpodarou"/>
        </w:rPr>
        <w:footnoteRef/>
      </w:r>
      <w:r>
        <w:t xml:space="preserve"> Více k povinnosti oddělovat hospodářské a </w:t>
      </w:r>
      <w:proofErr w:type="spellStart"/>
      <w:r>
        <w:t>nehospodářské</w:t>
      </w:r>
      <w:proofErr w:type="spellEnd"/>
      <w:r>
        <w:t xml:space="preserve"> činnosti viz kap. 4.3</w:t>
      </w:r>
    </w:p>
  </w:footnote>
  <w:footnote w:id="6">
    <w:p w:rsidR="00CE2A6B" w:rsidRDefault="00CE2A6B" w:rsidP="001B1564">
      <w:r>
        <w:rPr>
          <w:rStyle w:val="Znakapoznpodarou"/>
        </w:rPr>
        <w:footnoteRef/>
      </w:r>
      <w:r>
        <w:t xml:space="preserve"> </w:t>
      </w:r>
      <w:r w:rsidRPr="001B1564">
        <w:rPr>
          <w:sz w:val="20"/>
          <w:szCs w:val="20"/>
        </w:rPr>
        <w:t xml:space="preserve">dokument od RVVI, ve kterém se zavazuje k pokrytí nákladů spojených s udržitelností </w:t>
      </w:r>
      <w:proofErr w:type="spellStart"/>
      <w:r w:rsidRPr="001B1564">
        <w:rPr>
          <w:sz w:val="20"/>
          <w:szCs w:val="20"/>
        </w:rPr>
        <w:t>VaV</w:t>
      </w:r>
      <w:proofErr w:type="spellEnd"/>
      <w:r w:rsidRPr="001B1564">
        <w:rPr>
          <w:sz w:val="20"/>
          <w:szCs w:val="20"/>
        </w:rPr>
        <w:t xml:space="preserve"> center podpořených z </w:t>
      </w:r>
      <w:proofErr w:type="gramStart"/>
      <w:r w:rsidRPr="001B1564">
        <w:rPr>
          <w:sz w:val="20"/>
          <w:szCs w:val="20"/>
        </w:rPr>
        <w:t>OP</w:t>
      </w:r>
      <w:proofErr w:type="gramEnd"/>
      <w:r w:rsidRPr="001B1564">
        <w:rPr>
          <w:sz w:val="20"/>
          <w:szCs w:val="20"/>
        </w:rPr>
        <w:t xml:space="preserve"> </w:t>
      </w:r>
      <w:proofErr w:type="spellStart"/>
      <w:r w:rsidRPr="001B1564">
        <w:rPr>
          <w:sz w:val="20"/>
          <w:szCs w:val="20"/>
        </w:rPr>
        <w:t>VaVpI</w:t>
      </w:r>
      <w:proofErr w:type="spellEnd"/>
      <w:r w:rsidRPr="001B1564">
        <w:rPr>
          <w:sz w:val="20"/>
          <w:szCs w:val="20"/>
        </w:rPr>
        <w:t xml:space="preserve">. Tento dokument byl v roce 2010 předán na EK spolu s projektovými žádostmi velkých projektů, následovalo posuzování projektů na jednotlivých </w:t>
      </w:r>
      <w:proofErr w:type="spellStart"/>
      <w:r w:rsidRPr="001B1564">
        <w:rPr>
          <w:sz w:val="20"/>
          <w:szCs w:val="20"/>
        </w:rPr>
        <w:t>DGs</w:t>
      </w:r>
      <w:proofErr w:type="spellEnd"/>
      <w:r w:rsidRPr="001B1564">
        <w:rPr>
          <w:sz w:val="20"/>
          <w:szCs w:val="20"/>
        </w:rPr>
        <w:t>.</w:t>
      </w:r>
      <w:r>
        <w:t xml:space="preserve"> </w:t>
      </w:r>
    </w:p>
    <w:p w:rsidR="00CE2A6B" w:rsidRDefault="00CE2A6B">
      <w:pPr>
        <w:pStyle w:val="Textpoznpodarou"/>
      </w:pPr>
    </w:p>
  </w:footnote>
  <w:footnote w:id="7">
    <w:p w:rsidR="00CE2A6B" w:rsidRDefault="00CE2A6B" w:rsidP="00E73BBD">
      <w:pPr>
        <w:pStyle w:val="Textpoznpodarou"/>
      </w:pPr>
      <w:r>
        <w:rPr>
          <w:rStyle w:val="Znakapoznpodarou"/>
        </w:rPr>
        <w:footnoteRef/>
      </w:r>
      <w:r>
        <w:t xml:space="preserve"> </w:t>
      </w:r>
      <w:proofErr w:type="spellStart"/>
      <w:r>
        <w:t>Pre-seed</w:t>
      </w:r>
      <w:proofErr w:type="spellEnd"/>
      <w:r>
        <w:t xml:space="preserve"> financování umožňuje doplňující výzkum nutný pro následné uvedení výrobku na trh, popř. i výrobu prot</w:t>
      </w:r>
      <w:r>
        <w:t>o</w:t>
      </w:r>
      <w:r>
        <w:t xml:space="preserve">typu, modelu apod. Cílem výzev na podporu </w:t>
      </w:r>
      <w:proofErr w:type="spellStart"/>
      <w:r>
        <w:t>pre-seed</w:t>
      </w:r>
      <w:proofErr w:type="spellEnd"/>
      <w:r>
        <w:t xml:space="preserve"> aktivit je podpořit komercializaci nadějných výsledků s vysokým aplikačním potenciálem, které vznikají zejména ve vysokých školách a veřejných výzkumných instit</w:t>
      </w:r>
      <w:r>
        <w:t>u</w:t>
      </w:r>
      <w:r>
        <w:t xml:space="preserve">cích. </w:t>
      </w:r>
    </w:p>
  </w:footnote>
  <w:footnote w:id="8">
    <w:p w:rsidR="00CE2A6B" w:rsidRDefault="00CE2A6B" w:rsidP="003B3C1C">
      <w:pPr>
        <w:pStyle w:val="Textpoznpodarou"/>
      </w:pPr>
      <w:r>
        <w:rPr>
          <w:rStyle w:val="Znakapoznpodarou"/>
        </w:rPr>
        <w:footnoteRef/>
      </w:r>
      <w:r>
        <w:t xml:space="preserve"> </w:t>
      </w:r>
      <w:r w:rsidRPr="008E54D3">
        <w:t>Více informací na adrese http://www.msmt.cz/vyzkum-a-vyvoj/vyhlaseni-vyzvy-k-predkladani-navrhu-vyzkumnych</w:t>
      </w:r>
    </w:p>
  </w:footnote>
  <w:footnote w:id="9">
    <w:p w:rsidR="00CE2A6B" w:rsidRPr="00F83E17" w:rsidRDefault="00CE2A6B" w:rsidP="003B3C1C">
      <w:pPr>
        <w:pStyle w:val="Odstavecseseznamem"/>
        <w:ind w:left="0"/>
        <w:jc w:val="both"/>
        <w:rPr>
          <w:rFonts w:cs="Times New Roman"/>
          <w:sz w:val="20"/>
          <w:szCs w:val="20"/>
        </w:rPr>
      </w:pPr>
      <w:r>
        <w:rPr>
          <w:rStyle w:val="Znakapoznpodarou"/>
        </w:rPr>
        <w:footnoteRef/>
      </w:r>
      <w:r>
        <w:t xml:space="preserve"> </w:t>
      </w:r>
      <w:r w:rsidRPr="00F83E17">
        <w:rPr>
          <w:rFonts w:cs="Times New Roman"/>
          <w:sz w:val="20"/>
          <w:szCs w:val="20"/>
        </w:rPr>
        <w:t>„</w:t>
      </w:r>
      <w:r w:rsidRPr="00F83E17">
        <w:rPr>
          <w:rFonts w:cs="Times New Roman"/>
          <w:i/>
          <w:sz w:val="20"/>
          <w:szCs w:val="20"/>
        </w:rPr>
        <w:t xml:space="preserve">Výzkumné infrastruktury, které mohou vznikat ve všech oborech, jsou jedinečná zařízení nebo virtuální platformy, které poskytují výzkumné komunitě zdroje a služby k realizaci špičkového výzkumu a vývoje. Tyto výzkumné infrastruktury se mohou nacházet na jednom místě, mohou být distribuované nebo e-infrastruktury, mohou být i součástí nadnárodních sítí a mohou mít rozličnou právní formu. Výzkumné infrastruktury jsou zřizovány pro využití i dalšími výzkumnými organizacemi a jinými uživateli za předem definovaných a transparentních podmínek.“ </w:t>
      </w:r>
    </w:p>
    <w:p w:rsidR="00CE2A6B" w:rsidRDefault="00CE2A6B" w:rsidP="003B3C1C">
      <w:pPr>
        <w:pStyle w:val="Textpoznpodarou"/>
      </w:pPr>
    </w:p>
  </w:footnote>
  <w:footnote w:id="10">
    <w:p w:rsidR="00CE2A6B" w:rsidRDefault="00CE2A6B">
      <w:pPr>
        <w:pStyle w:val="Textpoznpodarou"/>
      </w:pPr>
      <w:r>
        <w:rPr>
          <w:rStyle w:val="Znakapoznpodarou"/>
        </w:rPr>
        <w:footnoteRef/>
      </w:r>
      <w:r>
        <w:t xml:space="preserve"> Podle </w:t>
      </w:r>
      <w:r w:rsidRPr="008032D5">
        <w:rPr>
          <w:color w:val="000000"/>
        </w:rPr>
        <w:t>údajů z výročních zpráv</w:t>
      </w:r>
    </w:p>
  </w:footnote>
  <w:footnote w:id="11">
    <w:p w:rsidR="00CE2A6B" w:rsidRDefault="00CE2A6B">
      <w:pPr>
        <w:pStyle w:val="Textpoznpodarou"/>
      </w:pPr>
      <w:r>
        <w:rPr>
          <w:rStyle w:val="Znakapoznpodarou"/>
        </w:rPr>
        <w:footnoteRef/>
      </w:r>
      <w:r>
        <w:t xml:space="preserve"> Podrobně viz Tabulka 2</w:t>
      </w:r>
    </w:p>
  </w:footnote>
  <w:footnote w:id="12">
    <w:p w:rsidR="00CE2A6B" w:rsidRDefault="00CE2A6B">
      <w:pPr>
        <w:pStyle w:val="Textpoznpodarou"/>
      </w:pPr>
      <w:r>
        <w:rPr>
          <w:rStyle w:val="Znakapoznpodarou"/>
        </w:rPr>
        <w:footnoteRef/>
      </w:r>
      <w:r>
        <w:t xml:space="preserve"> Centra excelence PO 1 mají nižší plánované procento příjmů ze smluvního výzkumu.</w:t>
      </w:r>
    </w:p>
  </w:footnote>
  <w:footnote w:id="13">
    <w:p w:rsidR="00CE2A6B" w:rsidRDefault="00CE2A6B" w:rsidP="00EA7B04">
      <w:pPr>
        <w:pStyle w:val="Textpoznpodarou"/>
      </w:pPr>
      <w:r>
        <w:rPr>
          <w:rStyle w:val="Znakapoznpodarou"/>
        </w:rPr>
        <w:footnoteRef/>
      </w:r>
      <w:r>
        <w:t xml:space="preserve"> </w:t>
      </w:r>
      <w:r w:rsidRPr="00B2743C">
        <w:rPr>
          <w:bCs/>
        </w:rPr>
        <w:t>RÁMEC SPOLEČENSTVÍ PRO STÁTNÍ PODPORU VÝZKUMU, VÝVOJE A INOVACÍ (2006/C 323/01</w:t>
      </w:r>
      <w:r>
        <w:rPr>
          <w:bCs/>
        </w:rPr>
        <w:t>) - dále jen „Rámec“</w:t>
      </w:r>
    </w:p>
  </w:footnote>
  <w:footnote w:id="14">
    <w:p w:rsidR="00CE2A6B" w:rsidRDefault="00CE2A6B" w:rsidP="00282789">
      <w:pPr>
        <w:pStyle w:val="Textpoznpodarou"/>
      </w:pPr>
      <w:r>
        <w:rPr>
          <w:rStyle w:val="Znakapoznpodarou"/>
        </w:rPr>
        <w:footnoteRef/>
      </w:r>
      <w:r>
        <w:t xml:space="preserve"> Audit výzkumu, vývoje a inovací </w:t>
      </w:r>
      <w:r w:rsidRPr="009043C7">
        <w:t xml:space="preserve">zpracovaný mezinárodním dodavatelem </w:t>
      </w:r>
      <w:proofErr w:type="spellStart"/>
      <w:r w:rsidRPr="009043C7">
        <w:t>Technopolis</w:t>
      </w:r>
      <w:proofErr w:type="spellEnd"/>
      <w:r w:rsidRPr="009043C7">
        <w:t xml:space="preserve"> Limited v letech 2010–2011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A6B" w:rsidRDefault="00CE2A6B">
    <w:pPr>
      <w:pStyle w:val="Zhlav"/>
    </w:pPr>
    <w:r>
      <w:t>Ministerstvo školství, mládeže a tělovýchovy</w:t>
    </w:r>
    <w:r>
      <w:tab/>
    </w:r>
    <w:r>
      <w:tab/>
      <w:t>III.</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B4877"/>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088C1E7A"/>
    <w:multiLevelType w:val="hybridMultilevel"/>
    <w:tmpl w:val="8E9A3A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F76F0A"/>
    <w:multiLevelType w:val="hybridMultilevel"/>
    <w:tmpl w:val="2CB6B9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44EF5A1C"/>
    <w:multiLevelType w:val="hybridMultilevel"/>
    <w:tmpl w:val="64B4AD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77A3758"/>
    <w:multiLevelType w:val="hybridMultilevel"/>
    <w:tmpl w:val="59242B84"/>
    <w:lvl w:ilvl="0" w:tplc="0966E35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C8C2844"/>
    <w:multiLevelType w:val="multilevel"/>
    <w:tmpl w:val="F1607CC8"/>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3A02407"/>
    <w:multiLevelType w:val="multilevel"/>
    <w:tmpl w:val="F1607CC8"/>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E9450AC"/>
    <w:multiLevelType w:val="hybridMultilevel"/>
    <w:tmpl w:val="4E1C22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num>
  <w:num w:numId="8">
    <w:abstractNumId w:val="0"/>
  </w:num>
  <w:num w:numId="9">
    <w:abstractNumId w:val="7"/>
  </w:num>
  <w:num w:numId="10">
    <w:abstractNumId w:val="6"/>
  </w:num>
  <w:num w:numId="1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0F2"/>
    <w:rsid w:val="00004F56"/>
    <w:rsid w:val="00014F61"/>
    <w:rsid w:val="000157A6"/>
    <w:rsid w:val="00016F63"/>
    <w:rsid w:val="000207F8"/>
    <w:rsid w:val="000221A5"/>
    <w:rsid w:val="00022B75"/>
    <w:rsid w:val="0002730C"/>
    <w:rsid w:val="000309AB"/>
    <w:rsid w:val="00031011"/>
    <w:rsid w:val="00032763"/>
    <w:rsid w:val="00033588"/>
    <w:rsid w:val="00041B2E"/>
    <w:rsid w:val="00042C19"/>
    <w:rsid w:val="00043817"/>
    <w:rsid w:val="00043ADA"/>
    <w:rsid w:val="000456FE"/>
    <w:rsid w:val="000464AE"/>
    <w:rsid w:val="00050A8B"/>
    <w:rsid w:val="00060301"/>
    <w:rsid w:val="000607F6"/>
    <w:rsid w:val="00060E81"/>
    <w:rsid w:val="000612AE"/>
    <w:rsid w:val="0006737F"/>
    <w:rsid w:val="000700A5"/>
    <w:rsid w:val="00070270"/>
    <w:rsid w:val="000708DD"/>
    <w:rsid w:val="000853B5"/>
    <w:rsid w:val="00092024"/>
    <w:rsid w:val="000A1B73"/>
    <w:rsid w:val="000A2A8F"/>
    <w:rsid w:val="000A5204"/>
    <w:rsid w:val="000A6982"/>
    <w:rsid w:val="000B196B"/>
    <w:rsid w:val="000B4C2B"/>
    <w:rsid w:val="000B4CAC"/>
    <w:rsid w:val="000C019B"/>
    <w:rsid w:val="000C4CC9"/>
    <w:rsid w:val="000C577A"/>
    <w:rsid w:val="000D02E0"/>
    <w:rsid w:val="000D31EF"/>
    <w:rsid w:val="000D32AC"/>
    <w:rsid w:val="000D4ACA"/>
    <w:rsid w:val="000E0572"/>
    <w:rsid w:val="000E078B"/>
    <w:rsid w:val="000E44DB"/>
    <w:rsid w:val="000E56FF"/>
    <w:rsid w:val="000E685A"/>
    <w:rsid w:val="000E7866"/>
    <w:rsid w:val="000F5B4E"/>
    <w:rsid w:val="000F5CAA"/>
    <w:rsid w:val="00100391"/>
    <w:rsid w:val="00101D5F"/>
    <w:rsid w:val="001066E6"/>
    <w:rsid w:val="0011273F"/>
    <w:rsid w:val="00115A45"/>
    <w:rsid w:val="00132D32"/>
    <w:rsid w:val="00133265"/>
    <w:rsid w:val="00134054"/>
    <w:rsid w:val="00135436"/>
    <w:rsid w:val="001374B0"/>
    <w:rsid w:val="001423C1"/>
    <w:rsid w:val="001452BA"/>
    <w:rsid w:val="0015496B"/>
    <w:rsid w:val="00156A88"/>
    <w:rsid w:val="00162D96"/>
    <w:rsid w:val="001669C0"/>
    <w:rsid w:val="00166C81"/>
    <w:rsid w:val="00174E0F"/>
    <w:rsid w:val="00175B42"/>
    <w:rsid w:val="00180AA7"/>
    <w:rsid w:val="001873F7"/>
    <w:rsid w:val="00195DEC"/>
    <w:rsid w:val="00197945"/>
    <w:rsid w:val="001A3B27"/>
    <w:rsid w:val="001A4C95"/>
    <w:rsid w:val="001A4E6C"/>
    <w:rsid w:val="001B1564"/>
    <w:rsid w:val="001B1671"/>
    <w:rsid w:val="001C065F"/>
    <w:rsid w:val="001C72F4"/>
    <w:rsid w:val="001D0C42"/>
    <w:rsid w:val="001D368B"/>
    <w:rsid w:val="001D5A73"/>
    <w:rsid w:val="001D656D"/>
    <w:rsid w:val="001D7F4F"/>
    <w:rsid w:val="001E285E"/>
    <w:rsid w:val="001E3E3B"/>
    <w:rsid w:val="001E4927"/>
    <w:rsid w:val="001F4B12"/>
    <w:rsid w:val="001F604C"/>
    <w:rsid w:val="001F79F9"/>
    <w:rsid w:val="001F7AA9"/>
    <w:rsid w:val="00203378"/>
    <w:rsid w:val="0020480A"/>
    <w:rsid w:val="00212402"/>
    <w:rsid w:val="00214CA3"/>
    <w:rsid w:val="00222A3C"/>
    <w:rsid w:val="00224D6E"/>
    <w:rsid w:val="00227FA3"/>
    <w:rsid w:val="00231388"/>
    <w:rsid w:val="00231775"/>
    <w:rsid w:val="00235CF4"/>
    <w:rsid w:val="00236C5F"/>
    <w:rsid w:val="002378A0"/>
    <w:rsid w:val="00240245"/>
    <w:rsid w:val="00240A97"/>
    <w:rsid w:val="00244FD3"/>
    <w:rsid w:val="00247E5D"/>
    <w:rsid w:val="00252827"/>
    <w:rsid w:val="00256985"/>
    <w:rsid w:val="00263D97"/>
    <w:rsid w:val="0026506E"/>
    <w:rsid w:val="00282789"/>
    <w:rsid w:val="002829E8"/>
    <w:rsid w:val="002934B9"/>
    <w:rsid w:val="002936F4"/>
    <w:rsid w:val="002938C4"/>
    <w:rsid w:val="002A006D"/>
    <w:rsid w:val="002A619B"/>
    <w:rsid w:val="002B2328"/>
    <w:rsid w:val="002B72FE"/>
    <w:rsid w:val="002B7526"/>
    <w:rsid w:val="002C1F9E"/>
    <w:rsid w:val="002C2C9B"/>
    <w:rsid w:val="002C308A"/>
    <w:rsid w:val="002C5CCF"/>
    <w:rsid w:val="002D221F"/>
    <w:rsid w:val="002D61CE"/>
    <w:rsid w:val="002D734C"/>
    <w:rsid w:val="002D7D70"/>
    <w:rsid w:val="002E1499"/>
    <w:rsid w:val="002E4BF1"/>
    <w:rsid w:val="002F049A"/>
    <w:rsid w:val="002F07B7"/>
    <w:rsid w:val="002F1D38"/>
    <w:rsid w:val="002F1EF5"/>
    <w:rsid w:val="002F4DCF"/>
    <w:rsid w:val="003016F7"/>
    <w:rsid w:val="00302590"/>
    <w:rsid w:val="00305F0A"/>
    <w:rsid w:val="0031024B"/>
    <w:rsid w:val="003217AE"/>
    <w:rsid w:val="00321F22"/>
    <w:rsid w:val="00322C99"/>
    <w:rsid w:val="00327AAF"/>
    <w:rsid w:val="0033067A"/>
    <w:rsid w:val="0033096C"/>
    <w:rsid w:val="00332A70"/>
    <w:rsid w:val="0033361A"/>
    <w:rsid w:val="003370D4"/>
    <w:rsid w:val="003415B4"/>
    <w:rsid w:val="00351FDC"/>
    <w:rsid w:val="003527C4"/>
    <w:rsid w:val="0035363C"/>
    <w:rsid w:val="0035398A"/>
    <w:rsid w:val="00356FAE"/>
    <w:rsid w:val="003610B4"/>
    <w:rsid w:val="00364D23"/>
    <w:rsid w:val="00367503"/>
    <w:rsid w:val="00367BC9"/>
    <w:rsid w:val="00370A15"/>
    <w:rsid w:val="00374D4F"/>
    <w:rsid w:val="00380197"/>
    <w:rsid w:val="00381916"/>
    <w:rsid w:val="00383428"/>
    <w:rsid w:val="00393ACB"/>
    <w:rsid w:val="003A042F"/>
    <w:rsid w:val="003A2AEB"/>
    <w:rsid w:val="003A3D5C"/>
    <w:rsid w:val="003B25AB"/>
    <w:rsid w:val="003B2E76"/>
    <w:rsid w:val="003B3C1C"/>
    <w:rsid w:val="003C4E65"/>
    <w:rsid w:val="003C75E1"/>
    <w:rsid w:val="003D07C6"/>
    <w:rsid w:val="003D142B"/>
    <w:rsid w:val="003D605B"/>
    <w:rsid w:val="003E02D9"/>
    <w:rsid w:val="003E2A18"/>
    <w:rsid w:val="003E425C"/>
    <w:rsid w:val="004021CF"/>
    <w:rsid w:val="00405478"/>
    <w:rsid w:val="00412421"/>
    <w:rsid w:val="0041469D"/>
    <w:rsid w:val="004205B9"/>
    <w:rsid w:val="0042237D"/>
    <w:rsid w:val="004228D0"/>
    <w:rsid w:val="0042496A"/>
    <w:rsid w:val="00424B92"/>
    <w:rsid w:val="004257EE"/>
    <w:rsid w:val="00433F94"/>
    <w:rsid w:val="004373BA"/>
    <w:rsid w:val="004536ED"/>
    <w:rsid w:val="004577CE"/>
    <w:rsid w:val="004610A6"/>
    <w:rsid w:val="00462C45"/>
    <w:rsid w:val="00466898"/>
    <w:rsid w:val="00470607"/>
    <w:rsid w:val="004771B4"/>
    <w:rsid w:val="00485092"/>
    <w:rsid w:val="0048742D"/>
    <w:rsid w:val="004908D2"/>
    <w:rsid w:val="004935AA"/>
    <w:rsid w:val="00494D84"/>
    <w:rsid w:val="004A082D"/>
    <w:rsid w:val="004A16C7"/>
    <w:rsid w:val="004A400C"/>
    <w:rsid w:val="004B0AEA"/>
    <w:rsid w:val="004B1C81"/>
    <w:rsid w:val="004B7E5D"/>
    <w:rsid w:val="004C07E7"/>
    <w:rsid w:val="004D0EAE"/>
    <w:rsid w:val="004D33F3"/>
    <w:rsid w:val="004D5B9C"/>
    <w:rsid w:val="004D6628"/>
    <w:rsid w:val="004E0BDF"/>
    <w:rsid w:val="004E1982"/>
    <w:rsid w:val="004E6528"/>
    <w:rsid w:val="004F02D5"/>
    <w:rsid w:val="004F24D2"/>
    <w:rsid w:val="004F4000"/>
    <w:rsid w:val="004F6AB0"/>
    <w:rsid w:val="005019F4"/>
    <w:rsid w:val="00507B2E"/>
    <w:rsid w:val="0051028F"/>
    <w:rsid w:val="00514431"/>
    <w:rsid w:val="00515CB9"/>
    <w:rsid w:val="005164CB"/>
    <w:rsid w:val="00520047"/>
    <w:rsid w:val="00521FD6"/>
    <w:rsid w:val="00525366"/>
    <w:rsid w:val="00526E64"/>
    <w:rsid w:val="00531E1F"/>
    <w:rsid w:val="005332CB"/>
    <w:rsid w:val="0053387B"/>
    <w:rsid w:val="00534B0A"/>
    <w:rsid w:val="00536B26"/>
    <w:rsid w:val="00536FD3"/>
    <w:rsid w:val="00541520"/>
    <w:rsid w:val="00545EBA"/>
    <w:rsid w:val="0055180B"/>
    <w:rsid w:val="005719F4"/>
    <w:rsid w:val="00574505"/>
    <w:rsid w:val="005748AA"/>
    <w:rsid w:val="00576BFD"/>
    <w:rsid w:val="005943C2"/>
    <w:rsid w:val="005965CA"/>
    <w:rsid w:val="005969B2"/>
    <w:rsid w:val="005970BE"/>
    <w:rsid w:val="005A15EE"/>
    <w:rsid w:val="005A2EFB"/>
    <w:rsid w:val="005A7CB5"/>
    <w:rsid w:val="005B0ED2"/>
    <w:rsid w:val="005B1B7B"/>
    <w:rsid w:val="005B1D16"/>
    <w:rsid w:val="005B3F66"/>
    <w:rsid w:val="005B5EC5"/>
    <w:rsid w:val="005B79F5"/>
    <w:rsid w:val="005C33DA"/>
    <w:rsid w:val="005C79DD"/>
    <w:rsid w:val="005D136F"/>
    <w:rsid w:val="005E2226"/>
    <w:rsid w:val="005E406E"/>
    <w:rsid w:val="005E4C9A"/>
    <w:rsid w:val="005E5197"/>
    <w:rsid w:val="005E6544"/>
    <w:rsid w:val="005F0E67"/>
    <w:rsid w:val="00602F9C"/>
    <w:rsid w:val="00605307"/>
    <w:rsid w:val="00605571"/>
    <w:rsid w:val="00607C20"/>
    <w:rsid w:val="00611D9E"/>
    <w:rsid w:val="00614288"/>
    <w:rsid w:val="00614975"/>
    <w:rsid w:val="00615C49"/>
    <w:rsid w:val="00616499"/>
    <w:rsid w:val="00625408"/>
    <w:rsid w:val="006265DA"/>
    <w:rsid w:val="0063668E"/>
    <w:rsid w:val="0063730A"/>
    <w:rsid w:val="0066381A"/>
    <w:rsid w:val="006707C9"/>
    <w:rsid w:val="006710CC"/>
    <w:rsid w:val="006715A6"/>
    <w:rsid w:val="00676504"/>
    <w:rsid w:val="00676C86"/>
    <w:rsid w:val="006803D2"/>
    <w:rsid w:val="00686A37"/>
    <w:rsid w:val="006928EE"/>
    <w:rsid w:val="00692F48"/>
    <w:rsid w:val="00694E6E"/>
    <w:rsid w:val="00697533"/>
    <w:rsid w:val="0069754E"/>
    <w:rsid w:val="006A0038"/>
    <w:rsid w:val="006A11DC"/>
    <w:rsid w:val="006A30B7"/>
    <w:rsid w:val="006A3BD9"/>
    <w:rsid w:val="006A78D6"/>
    <w:rsid w:val="006B005E"/>
    <w:rsid w:val="006B0E98"/>
    <w:rsid w:val="006B3B8C"/>
    <w:rsid w:val="006C77BF"/>
    <w:rsid w:val="006D18B3"/>
    <w:rsid w:val="006D2880"/>
    <w:rsid w:val="006D34E8"/>
    <w:rsid w:val="006D3CC0"/>
    <w:rsid w:val="006D53F9"/>
    <w:rsid w:val="006E1807"/>
    <w:rsid w:val="006E3A64"/>
    <w:rsid w:val="006E3E5B"/>
    <w:rsid w:val="006E7C25"/>
    <w:rsid w:val="006F03D9"/>
    <w:rsid w:val="006F415B"/>
    <w:rsid w:val="006F74D0"/>
    <w:rsid w:val="00700591"/>
    <w:rsid w:val="007051AC"/>
    <w:rsid w:val="007058E7"/>
    <w:rsid w:val="00707EEC"/>
    <w:rsid w:val="00710B48"/>
    <w:rsid w:val="00711EDA"/>
    <w:rsid w:val="00713AE6"/>
    <w:rsid w:val="007148DB"/>
    <w:rsid w:val="00714D89"/>
    <w:rsid w:val="00724171"/>
    <w:rsid w:val="007265BE"/>
    <w:rsid w:val="007305AF"/>
    <w:rsid w:val="00730FC1"/>
    <w:rsid w:val="0073220D"/>
    <w:rsid w:val="00732F30"/>
    <w:rsid w:val="00734274"/>
    <w:rsid w:val="0073601A"/>
    <w:rsid w:val="0073604B"/>
    <w:rsid w:val="007366FD"/>
    <w:rsid w:val="00736DCC"/>
    <w:rsid w:val="0074077A"/>
    <w:rsid w:val="0075006A"/>
    <w:rsid w:val="007536E4"/>
    <w:rsid w:val="0075518E"/>
    <w:rsid w:val="0076059B"/>
    <w:rsid w:val="00762A24"/>
    <w:rsid w:val="00763099"/>
    <w:rsid w:val="00770225"/>
    <w:rsid w:val="00770723"/>
    <w:rsid w:val="00773F55"/>
    <w:rsid w:val="007806A5"/>
    <w:rsid w:val="007849E8"/>
    <w:rsid w:val="00787032"/>
    <w:rsid w:val="00790CC0"/>
    <w:rsid w:val="00795AB9"/>
    <w:rsid w:val="00795E96"/>
    <w:rsid w:val="00796B9E"/>
    <w:rsid w:val="007A0A5A"/>
    <w:rsid w:val="007A2E6B"/>
    <w:rsid w:val="007A4E93"/>
    <w:rsid w:val="007B17EA"/>
    <w:rsid w:val="007B2834"/>
    <w:rsid w:val="007B60F2"/>
    <w:rsid w:val="007C02BF"/>
    <w:rsid w:val="007C2E63"/>
    <w:rsid w:val="007C2FCA"/>
    <w:rsid w:val="007C32C9"/>
    <w:rsid w:val="007D1EEF"/>
    <w:rsid w:val="007D5EC0"/>
    <w:rsid w:val="007D6FC9"/>
    <w:rsid w:val="007E3002"/>
    <w:rsid w:val="007F6D88"/>
    <w:rsid w:val="00811AE6"/>
    <w:rsid w:val="00814433"/>
    <w:rsid w:val="00815E0D"/>
    <w:rsid w:val="00816892"/>
    <w:rsid w:val="00816F10"/>
    <w:rsid w:val="008176A7"/>
    <w:rsid w:val="00826649"/>
    <w:rsid w:val="00827594"/>
    <w:rsid w:val="00834B9B"/>
    <w:rsid w:val="00836126"/>
    <w:rsid w:val="00846932"/>
    <w:rsid w:val="008501B3"/>
    <w:rsid w:val="00850D5E"/>
    <w:rsid w:val="008516A1"/>
    <w:rsid w:val="00853413"/>
    <w:rsid w:val="00854FB3"/>
    <w:rsid w:val="0086091A"/>
    <w:rsid w:val="0086121F"/>
    <w:rsid w:val="00861F61"/>
    <w:rsid w:val="00862C20"/>
    <w:rsid w:val="00862E7F"/>
    <w:rsid w:val="0086739B"/>
    <w:rsid w:val="008728FE"/>
    <w:rsid w:val="00873920"/>
    <w:rsid w:val="00884006"/>
    <w:rsid w:val="00890B29"/>
    <w:rsid w:val="008925AF"/>
    <w:rsid w:val="008A0839"/>
    <w:rsid w:val="008A7241"/>
    <w:rsid w:val="008C1591"/>
    <w:rsid w:val="008C473B"/>
    <w:rsid w:val="008C6807"/>
    <w:rsid w:val="008D33C5"/>
    <w:rsid w:val="008D3F18"/>
    <w:rsid w:val="008D4FD6"/>
    <w:rsid w:val="008E011B"/>
    <w:rsid w:val="008E19D6"/>
    <w:rsid w:val="008E4204"/>
    <w:rsid w:val="008E498C"/>
    <w:rsid w:val="008E5D25"/>
    <w:rsid w:val="008E63F1"/>
    <w:rsid w:val="008E684F"/>
    <w:rsid w:val="008E787D"/>
    <w:rsid w:val="008F0CD6"/>
    <w:rsid w:val="00902BD0"/>
    <w:rsid w:val="009043C7"/>
    <w:rsid w:val="0090473A"/>
    <w:rsid w:val="00905B50"/>
    <w:rsid w:val="00907DBB"/>
    <w:rsid w:val="009179A8"/>
    <w:rsid w:val="00920EE4"/>
    <w:rsid w:val="00933296"/>
    <w:rsid w:val="00933B37"/>
    <w:rsid w:val="00934A36"/>
    <w:rsid w:val="009361F8"/>
    <w:rsid w:val="00937C0B"/>
    <w:rsid w:val="0094066E"/>
    <w:rsid w:val="0094487E"/>
    <w:rsid w:val="009462C4"/>
    <w:rsid w:val="00946885"/>
    <w:rsid w:val="00947363"/>
    <w:rsid w:val="00952E98"/>
    <w:rsid w:val="009543A1"/>
    <w:rsid w:val="00964793"/>
    <w:rsid w:val="0096748C"/>
    <w:rsid w:val="009720C1"/>
    <w:rsid w:val="00973B31"/>
    <w:rsid w:val="00976154"/>
    <w:rsid w:val="009807C3"/>
    <w:rsid w:val="00981FAA"/>
    <w:rsid w:val="0098523E"/>
    <w:rsid w:val="00987BB5"/>
    <w:rsid w:val="00994856"/>
    <w:rsid w:val="009973A3"/>
    <w:rsid w:val="00997E5D"/>
    <w:rsid w:val="009A0C48"/>
    <w:rsid w:val="009A5A42"/>
    <w:rsid w:val="009A7798"/>
    <w:rsid w:val="009B294C"/>
    <w:rsid w:val="009B67DC"/>
    <w:rsid w:val="009B6E8F"/>
    <w:rsid w:val="009C17C1"/>
    <w:rsid w:val="009C4F90"/>
    <w:rsid w:val="009C58C5"/>
    <w:rsid w:val="009C6601"/>
    <w:rsid w:val="009D1961"/>
    <w:rsid w:val="009D5DF9"/>
    <w:rsid w:val="009D75B2"/>
    <w:rsid w:val="009E27F4"/>
    <w:rsid w:val="009E6EFE"/>
    <w:rsid w:val="009F44A3"/>
    <w:rsid w:val="009F44BE"/>
    <w:rsid w:val="009F6274"/>
    <w:rsid w:val="00A046F9"/>
    <w:rsid w:val="00A079C2"/>
    <w:rsid w:val="00A1239E"/>
    <w:rsid w:val="00A2018F"/>
    <w:rsid w:val="00A209D4"/>
    <w:rsid w:val="00A20AE1"/>
    <w:rsid w:val="00A2276A"/>
    <w:rsid w:val="00A26C10"/>
    <w:rsid w:val="00A273A0"/>
    <w:rsid w:val="00A31A0E"/>
    <w:rsid w:val="00A34454"/>
    <w:rsid w:val="00A3629B"/>
    <w:rsid w:val="00A40A8D"/>
    <w:rsid w:val="00A43AD0"/>
    <w:rsid w:val="00A44EF8"/>
    <w:rsid w:val="00A45AE8"/>
    <w:rsid w:val="00A45F76"/>
    <w:rsid w:val="00A53AFD"/>
    <w:rsid w:val="00A632C0"/>
    <w:rsid w:val="00A63601"/>
    <w:rsid w:val="00A63D6C"/>
    <w:rsid w:val="00A72D4F"/>
    <w:rsid w:val="00A732FF"/>
    <w:rsid w:val="00A76E2C"/>
    <w:rsid w:val="00A77AF8"/>
    <w:rsid w:val="00A8583B"/>
    <w:rsid w:val="00AA375B"/>
    <w:rsid w:val="00AA43B8"/>
    <w:rsid w:val="00AA6530"/>
    <w:rsid w:val="00AA6EF1"/>
    <w:rsid w:val="00AB098E"/>
    <w:rsid w:val="00AB10CD"/>
    <w:rsid w:val="00AD583A"/>
    <w:rsid w:val="00AD7F5E"/>
    <w:rsid w:val="00AE104E"/>
    <w:rsid w:val="00AE4230"/>
    <w:rsid w:val="00AE5C5B"/>
    <w:rsid w:val="00B00AAB"/>
    <w:rsid w:val="00B02233"/>
    <w:rsid w:val="00B0512F"/>
    <w:rsid w:val="00B07C95"/>
    <w:rsid w:val="00B12673"/>
    <w:rsid w:val="00B130AC"/>
    <w:rsid w:val="00B2270B"/>
    <w:rsid w:val="00B24892"/>
    <w:rsid w:val="00B256D3"/>
    <w:rsid w:val="00B25E56"/>
    <w:rsid w:val="00B2743C"/>
    <w:rsid w:val="00B277B1"/>
    <w:rsid w:val="00B278B5"/>
    <w:rsid w:val="00B305C7"/>
    <w:rsid w:val="00B318A8"/>
    <w:rsid w:val="00B3276E"/>
    <w:rsid w:val="00B50264"/>
    <w:rsid w:val="00B52E9D"/>
    <w:rsid w:val="00B52EC2"/>
    <w:rsid w:val="00B55E47"/>
    <w:rsid w:val="00B57D0A"/>
    <w:rsid w:val="00B60ABB"/>
    <w:rsid w:val="00B620F4"/>
    <w:rsid w:val="00B62E0C"/>
    <w:rsid w:val="00B63156"/>
    <w:rsid w:val="00B720FC"/>
    <w:rsid w:val="00B726A1"/>
    <w:rsid w:val="00B73E0E"/>
    <w:rsid w:val="00B80511"/>
    <w:rsid w:val="00B826F8"/>
    <w:rsid w:val="00B8475F"/>
    <w:rsid w:val="00B84F43"/>
    <w:rsid w:val="00B91C7C"/>
    <w:rsid w:val="00BA10C9"/>
    <w:rsid w:val="00BA2855"/>
    <w:rsid w:val="00BA57D4"/>
    <w:rsid w:val="00BA69B2"/>
    <w:rsid w:val="00BA7938"/>
    <w:rsid w:val="00BB13CC"/>
    <w:rsid w:val="00BB55FB"/>
    <w:rsid w:val="00BC0130"/>
    <w:rsid w:val="00BC06CE"/>
    <w:rsid w:val="00BC189F"/>
    <w:rsid w:val="00BC1BAC"/>
    <w:rsid w:val="00BC1F11"/>
    <w:rsid w:val="00BC3967"/>
    <w:rsid w:val="00BC3A4C"/>
    <w:rsid w:val="00BD5D93"/>
    <w:rsid w:val="00BD72AF"/>
    <w:rsid w:val="00BD78F8"/>
    <w:rsid w:val="00BE41A3"/>
    <w:rsid w:val="00BE623C"/>
    <w:rsid w:val="00BF5978"/>
    <w:rsid w:val="00BF5CD4"/>
    <w:rsid w:val="00BF6C46"/>
    <w:rsid w:val="00C00358"/>
    <w:rsid w:val="00C009DC"/>
    <w:rsid w:val="00C02535"/>
    <w:rsid w:val="00C03F0D"/>
    <w:rsid w:val="00C076C6"/>
    <w:rsid w:val="00C115F1"/>
    <w:rsid w:val="00C124F1"/>
    <w:rsid w:val="00C12B6D"/>
    <w:rsid w:val="00C15367"/>
    <w:rsid w:val="00C164FD"/>
    <w:rsid w:val="00C16563"/>
    <w:rsid w:val="00C168DD"/>
    <w:rsid w:val="00C3255D"/>
    <w:rsid w:val="00C32B48"/>
    <w:rsid w:val="00C33FF9"/>
    <w:rsid w:val="00C36855"/>
    <w:rsid w:val="00C369FE"/>
    <w:rsid w:val="00C40851"/>
    <w:rsid w:val="00C452DE"/>
    <w:rsid w:val="00C46BE9"/>
    <w:rsid w:val="00C46E09"/>
    <w:rsid w:val="00C50B6C"/>
    <w:rsid w:val="00C61E84"/>
    <w:rsid w:val="00C66229"/>
    <w:rsid w:val="00C6634A"/>
    <w:rsid w:val="00C67997"/>
    <w:rsid w:val="00C708FA"/>
    <w:rsid w:val="00C752AA"/>
    <w:rsid w:val="00C77B66"/>
    <w:rsid w:val="00C802B3"/>
    <w:rsid w:val="00C84319"/>
    <w:rsid w:val="00CA26F2"/>
    <w:rsid w:val="00CB4AF8"/>
    <w:rsid w:val="00CB552A"/>
    <w:rsid w:val="00CC0300"/>
    <w:rsid w:val="00CC306E"/>
    <w:rsid w:val="00CC45E3"/>
    <w:rsid w:val="00CC6BA5"/>
    <w:rsid w:val="00CD594F"/>
    <w:rsid w:val="00CE2A6B"/>
    <w:rsid w:val="00CE5357"/>
    <w:rsid w:val="00CE5387"/>
    <w:rsid w:val="00CE661C"/>
    <w:rsid w:val="00CF0680"/>
    <w:rsid w:val="00CF2955"/>
    <w:rsid w:val="00CF6669"/>
    <w:rsid w:val="00D0321F"/>
    <w:rsid w:val="00D038AE"/>
    <w:rsid w:val="00D054A6"/>
    <w:rsid w:val="00D06152"/>
    <w:rsid w:val="00D11007"/>
    <w:rsid w:val="00D113B4"/>
    <w:rsid w:val="00D132E9"/>
    <w:rsid w:val="00D14385"/>
    <w:rsid w:val="00D14FD4"/>
    <w:rsid w:val="00D15CA7"/>
    <w:rsid w:val="00D20CE6"/>
    <w:rsid w:val="00D20EB2"/>
    <w:rsid w:val="00D21952"/>
    <w:rsid w:val="00D3062E"/>
    <w:rsid w:val="00D36DA4"/>
    <w:rsid w:val="00D41D47"/>
    <w:rsid w:val="00D45AB8"/>
    <w:rsid w:val="00D45DCC"/>
    <w:rsid w:val="00D47498"/>
    <w:rsid w:val="00D50E86"/>
    <w:rsid w:val="00D5664A"/>
    <w:rsid w:val="00D7463C"/>
    <w:rsid w:val="00D74660"/>
    <w:rsid w:val="00D747A8"/>
    <w:rsid w:val="00D76BE8"/>
    <w:rsid w:val="00D8470A"/>
    <w:rsid w:val="00D8669F"/>
    <w:rsid w:val="00D87897"/>
    <w:rsid w:val="00D91446"/>
    <w:rsid w:val="00D92311"/>
    <w:rsid w:val="00DA20BF"/>
    <w:rsid w:val="00DA47F9"/>
    <w:rsid w:val="00DA4B2B"/>
    <w:rsid w:val="00DA6992"/>
    <w:rsid w:val="00DB130A"/>
    <w:rsid w:val="00DB42CB"/>
    <w:rsid w:val="00DB5734"/>
    <w:rsid w:val="00DC5773"/>
    <w:rsid w:val="00DC6CE2"/>
    <w:rsid w:val="00DD5B16"/>
    <w:rsid w:val="00DD7C96"/>
    <w:rsid w:val="00DE2B77"/>
    <w:rsid w:val="00DE7229"/>
    <w:rsid w:val="00DE7610"/>
    <w:rsid w:val="00DE793F"/>
    <w:rsid w:val="00DF1996"/>
    <w:rsid w:val="00DF26A4"/>
    <w:rsid w:val="00E22079"/>
    <w:rsid w:val="00E27427"/>
    <w:rsid w:val="00E322BA"/>
    <w:rsid w:val="00E327F0"/>
    <w:rsid w:val="00E4173C"/>
    <w:rsid w:val="00E4327D"/>
    <w:rsid w:val="00E474A1"/>
    <w:rsid w:val="00E500F4"/>
    <w:rsid w:val="00E57FAE"/>
    <w:rsid w:val="00E604D7"/>
    <w:rsid w:val="00E606D4"/>
    <w:rsid w:val="00E62C07"/>
    <w:rsid w:val="00E672CF"/>
    <w:rsid w:val="00E70FDC"/>
    <w:rsid w:val="00E73BBD"/>
    <w:rsid w:val="00E82D78"/>
    <w:rsid w:val="00E86635"/>
    <w:rsid w:val="00E91249"/>
    <w:rsid w:val="00E9402C"/>
    <w:rsid w:val="00E94061"/>
    <w:rsid w:val="00E954AC"/>
    <w:rsid w:val="00EA01F4"/>
    <w:rsid w:val="00EA1856"/>
    <w:rsid w:val="00EA2D29"/>
    <w:rsid w:val="00EA6D39"/>
    <w:rsid w:val="00EA7B04"/>
    <w:rsid w:val="00EB4BBC"/>
    <w:rsid w:val="00EB6527"/>
    <w:rsid w:val="00EB77FC"/>
    <w:rsid w:val="00EB7A55"/>
    <w:rsid w:val="00EC4BD2"/>
    <w:rsid w:val="00ED2E37"/>
    <w:rsid w:val="00ED326D"/>
    <w:rsid w:val="00ED5CFA"/>
    <w:rsid w:val="00EE1C4B"/>
    <w:rsid w:val="00EE1D1B"/>
    <w:rsid w:val="00EE3929"/>
    <w:rsid w:val="00EE66FA"/>
    <w:rsid w:val="00EF1135"/>
    <w:rsid w:val="00EF1245"/>
    <w:rsid w:val="00EF38B2"/>
    <w:rsid w:val="00EF3F0A"/>
    <w:rsid w:val="00EF6EFB"/>
    <w:rsid w:val="00F05733"/>
    <w:rsid w:val="00F05D97"/>
    <w:rsid w:val="00F06399"/>
    <w:rsid w:val="00F1207E"/>
    <w:rsid w:val="00F132EE"/>
    <w:rsid w:val="00F15E6B"/>
    <w:rsid w:val="00F22D9F"/>
    <w:rsid w:val="00F40BBD"/>
    <w:rsid w:val="00F415AD"/>
    <w:rsid w:val="00F41909"/>
    <w:rsid w:val="00F42798"/>
    <w:rsid w:val="00F428CA"/>
    <w:rsid w:val="00F46B7C"/>
    <w:rsid w:val="00F55A11"/>
    <w:rsid w:val="00F56AF7"/>
    <w:rsid w:val="00F570CB"/>
    <w:rsid w:val="00F63CA1"/>
    <w:rsid w:val="00F72643"/>
    <w:rsid w:val="00F733EA"/>
    <w:rsid w:val="00F7622A"/>
    <w:rsid w:val="00F7659E"/>
    <w:rsid w:val="00F77120"/>
    <w:rsid w:val="00F77D57"/>
    <w:rsid w:val="00F832B0"/>
    <w:rsid w:val="00F83E17"/>
    <w:rsid w:val="00F84018"/>
    <w:rsid w:val="00F85D99"/>
    <w:rsid w:val="00F871E2"/>
    <w:rsid w:val="00F8763C"/>
    <w:rsid w:val="00F87B8B"/>
    <w:rsid w:val="00F958C7"/>
    <w:rsid w:val="00F9736A"/>
    <w:rsid w:val="00FA361D"/>
    <w:rsid w:val="00FB057A"/>
    <w:rsid w:val="00FB13DD"/>
    <w:rsid w:val="00FB2408"/>
    <w:rsid w:val="00FB4117"/>
    <w:rsid w:val="00FB542C"/>
    <w:rsid w:val="00FB7614"/>
    <w:rsid w:val="00FC21DA"/>
    <w:rsid w:val="00FC2217"/>
    <w:rsid w:val="00FC4F25"/>
    <w:rsid w:val="00FC6EBC"/>
    <w:rsid w:val="00FD0768"/>
    <w:rsid w:val="00FD5269"/>
    <w:rsid w:val="00FE0813"/>
    <w:rsid w:val="00FE6061"/>
    <w:rsid w:val="00FF54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686A37"/>
    <w:pPr>
      <w:keepNext/>
      <w:keepLines/>
      <w:numPr>
        <w:numId w:val="1"/>
      </w:numPr>
      <w:spacing w:before="480"/>
      <w:outlineLvl w:val="0"/>
    </w:pPr>
    <w:rPr>
      <w:rFonts w:asciiTheme="majorHAnsi" w:eastAsiaTheme="majorEastAsia" w:hAnsiTheme="majorHAnsi"/>
      <w:b/>
      <w:bCs/>
      <w:color w:val="365F91" w:themeColor="accent1" w:themeShade="BF"/>
      <w:sz w:val="28"/>
      <w:szCs w:val="25"/>
    </w:rPr>
  </w:style>
  <w:style w:type="paragraph" w:styleId="Nadpis2">
    <w:name w:val="heading 2"/>
    <w:basedOn w:val="Normln"/>
    <w:next w:val="Normln"/>
    <w:link w:val="Nadpis2Char"/>
    <w:uiPriority w:val="9"/>
    <w:unhideWhenUsed/>
    <w:qFormat/>
    <w:rsid w:val="00686A37"/>
    <w:pPr>
      <w:keepNext/>
      <w:keepLines/>
      <w:numPr>
        <w:ilvl w:val="1"/>
        <w:numId w:val="1"/>
      </w:numPr>
      <w:spacing w:before="200"/>
      <w:outlineLvl w:val="1"/>
    </w:pPr>
    <w:rPr>
      <w:rFonts w:asciiTheme="majorHAnsi" w:eastAsiaTheme="majorEastAsia" w:hAnsiTheme="majorHAnsi"/>
      <w:b/>
      <w:bCs/>
      <w:color w:val="4F81BD" w:themeColor="accent1"/>
      <w:sz w:val="26"/>
      <w:szCs w:val="23"/>
    </w:rPr>
  </w:style>
  <w:style w:type="paragraph" w:styleId="Nadpis3">
    <w:name w:val="heading 3"/>
    <w:basedOn w:val="Normln"/>
    <w:next w:val="Normln"/>
    <w:link w:val="Nadpis3Char"/>
    <w:uiPriority w:val="9"/>
    <w:unhideWhenUsed/>
    <w:qFormat/>
    <w:rsid w:val="00686A37"/>
    <w:pPr>
      <w:keepNext/>
      <w:keepLines/>
      <w:numPr>
        <w:ilvl w:val="2"/>
        <w:numId w:val="1"/>
      </w:numPr>
      <w:spacing w:before="200"/>
      <w:outlineLvl w:val="2"/>
    </w:pPr>
    <w:rPr>
      <w:rFonts w:asciiTheme="majorHAnsi" w:eastAsiaTheme="majorEastAsia" w:hAnsiTheme="majorHAnsi"/>
      <w:b/>
      <w:bCs/>
      <w:color w:val="4F81BD" w:themeColor="accent1"/>
      <w:szCs w:val="21"/>
    </w:rPr>
  </w:style>
  <w:style w:type="paragraph" w:styleId="Nadpis4">
    <w:name w:val="heading 4"/>
    <w:basedOn w:val="Normln"/>
    <w:next w:val="Normln"/>
    <w:link w:val="Nadpis4Char"/>
    <w:uiPriority w:val="9"/>
    <w:unhideWhenUsed/>
    <w:qFormat/>
    <w:rsid w:val="00686A37"/>
    <w:pPr>
      <w:keepNext/>
      <w:keepLines/>
      <w:numPr>
        <w:ilvl w:val="3"/>
        <w:numId w:val="1"/>
      </w:numPr>
      <w:spacing w:before="200"/>
      <w:outlineLvl w:val="3"/>
    </w:pPr>
    <w:rPr>
      <w:rFonts w:asciiTheme="majorHAnsi" w:eastAsiaTheme="majorEastAsia" w:hAnsiTheme="majorHAnsi"/>
      <w:b/>
      <w:bCs/>
      <w:i/>
      <w:iCs/>
      <w:color w:val="4F81BD" w:themeColor="accent1"/>
      <w:szCs w:val="21"/>
    </w:rPr>
  </w:style>
  <w:style w:type="paragraph" w:styleId="Nadpis5">
    <w:name w:val="heading 5"/>
    <w:basedOn w:val="Normln"/>
    <w:next w:val="Normln"/>
    <w:link w:val="Nadpis5Char"/>
    <w:uiPriority w:val="9"/>
    <w:unhideWhenUsed/>
    <w:qFormat/>
    <w:rsid w:val="002F4DCF"/>
    <w:pPr>
      <w:keepNext/>
      <w:keepLines/>
      <w:numPr>
        <w:ilvl w:val="4"/>
        <w:numId w:val="1"/>
      </w:numPr>
      <w:spacing w:before="200"/>
      <w:outlineLvl w:val="4"/>
    </w:pPr>
    <w:rPr>
      <w:rFonts w:asciiTheme="majorHAnsi" w:eastAsiaTheme="majorEastAsia" w:hAnsiTheme="majorHAnsi"/>
      <w:color w:val="243F60" w:themeColor="accent1" w:themeShade="7F"/>
      <w:szCs w:val="21"/>
    </w:rPr>
  </w:style>
  <w:style w:type="paragraph" w:styleId="Nadpis6">
    <w:name w:val="heading 6"/>
    <w:basedOn w:val="Normln"/>
    <w:next w:val="Normln"/>
    <w:link w:val="Nadpis6Char"/>
    <w:uiPriority w:val="9"/>
    <w:semiHidden/>
    <w:unhideWhenUsed/>
    <w:qFormat/>
    <w:rsid w:val="00252827"/>
    <w:pPr>
      <w:keepNext/>
      <w:keepLines/>
      <w:numPr>
        <w:ilvl w:val="5"/>
        <w:numId w:val="1"/>
      </w:numPr>
      <w:spacing w:before="200"/>
      <w:outlineLvl w:val="5"/>
    </w:pPr>
    <w:rPr>
      <w:rFonts w:asciiTheme="majorHAnsi" w:eastAsiaTheme="majorEastAsia" w:hAnsiTheme="majorHAnsi"/>
      <w:i/>
      <w:iCs/>
      <w:color w:val="243F60" w:themeColor="accent1" w:themeShade="7F"/>
      <w:szCs w:val="21"/>
    </w:rPr>
  </w:style>
  <w:style w:type="paragraph" w:styleId="Nadpis7">
    <w:name w:val="heading 7"/>
    <w:basedOn w:val="Normln"/>
    <w:next w:val="Normln"/>
    <w:link w:val="Nadpis7Char"/>
    <w:uiPriority w:val="9"/>
    <w:semiHidden/>
    <w:unhideWhenUsed/>
    <w:qFormat/>
    <w:rsid w:val="00252827"/>
    <w:pPr>
      <w:keepNext/>
      <w:keepLines/>
      <w:numPr>
        <w:ilvl w:val="6"/>
        <w:numId w:val="1"/>
      </w:numPr>
      <w:spacing w:before="200"/>
      <w:outlineLvl w:val="6"/>
    </w:pPr>
    <w:rPr>
      <w:rFonts w:asciiTheme="majorHAnsi" w:eastAsiaTheme="majorEastAsia" w:hAnsiTheme="majorHAnsi"/>
      <w:i/>
      <w:iCs/>
      <w:color w:val="404040" w:themeColor="text1" w:themeTint="BF"/>
      <w:szCs w:val="21"/>
    </w:rPr>
  </w:style>
  <w:style w:type="paragraph" w:styleId="Nadpis8">
    <w:name w:val="heading 8"/>
    <w:basedOn w:val="Normln"/>
    <w:next w:val="Normln"/>
    <w:link w:val="Nadpis8Char"/>
    <w:uiPriority w:val="9"/>
    <w:semiHidden/>
    <w:unhideWhenUsed/>
    <w:qFormat/>
    <w:rsid w:val="00252827"/>
    <w:pPr>
      <w:keepNext/>
      <w:keepLines/>
      <w:numPr>
        <w:ilvl w:val="7"/>
        <w:numId w:val="1"/>
      </w:numPr>
      <w:spacing w:before="200"/>
      <w:outlineLvl w:val="7"/>
    </w:pPr>
    <w:rPr>
      <w:rFonts w:asciiTheme="majorHAnsi" w:eastAsiaTheme="majorEastAsia" w:hAnsiTheme="majorHAnsi"/>
      <w:color w:val="404040" w:themeColor="text1" w:themeTint="BF"/>
      <w:sz w:val="20"/>
      <w:szCs w:val="18"/>
    </w:rPr>
  </w:style>
  <w:style w:type="paragraph" w:styleId="Nadpis9">
    <w:name w:val="heading 9"/>
    <w:basedOn w:val="Normln"/>
    <w:next w:val="Normln"/>
    <w:link w:val="Nadpis9Char"/>
    <w:uiPriority w:val="9"/>
    <w:semiHidden/>
    <w:unhideWhenUsed/>
    <w:qFormat/>
    <w:rsid w:val="00252827"/>
    <w:pPr>
      <w:keepNext/>
      <w:keepLines/>
      <w:numPr>
        <w:ilvl w:val="8"/>
        <w:numId w:val="1"/>
      </w:numPr>
      <w:spacing w:before="200"/>
      <w:outlineLvl w:val="8"/>
    </w:pPr>
    <w:rPr>
      <w:rFonts w:asciiTheme="majorHAnsi" w:eastAsiaTheme="majorEastAsia" w:hAnsiTheme="majorHAnsi"/>
      <w:i/>
      <w:iCs/>
      <w:color w:val="404040" w:themeColor="text1" w:themeTint="BF"/>
      <w:sz w:val="20"/>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Default">
    <w:name w:val="Default"/>
    <w:basedOn w:val="Standard"/>
    <w:pPr>
      <w:autoSpaceDE w:val="0"/>
    </w:pPr>
    <w:rPr>
      <w:rFonts w:ascii="Arial, Arial" w:eastAsia="Arial, Arial" w:hAnsi="Arial, Arial" w:cs="Arial, Arial"/>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BulletSymbols">
    <w:name w:val="Bullet Symbols"/>
    <w:rPr>
      <w:rFonts w:ascii="OpenSymbol" w:eastAsia="OpenSymbol" w:hAnsi="OpenSymbol" w:cs="OpenSymbol"/>
    </w:rPr>
  </w:style>
  <w:style w:type="paragraph" w:styleId="Odstavecseseznamem">
    <w:name w:val="List Paragraph"/>
    <w:basedOn w:val="Normln"/>
    <w:uiPriority w:val="99"/>
    <w:qFormat/>
    <w:rsid w:val="00686A37"/>
    <w:pPr>
      <w:ind w:left="720"/>
      <w:contextualSpacing/>
    </w:pPr>
    <w:rPr>
      <w:szCs w:val="21"/>
    </w:rPr>
  </w:style>
  <w:style w:type="character" w:customStyle="1" w:styleId="Nadpis1Char">
    <w:name w:val="Nadpis 1 Char"/>
    <w:basedOn w:val="Standardnpsmoodstavce"/>
    <w:link w:val="Nadpis1"/>
    <w:uiPriority w:val="9"/>
    <w:rsid w:val="00686A37"/>
    <w:rPr>
      <w:rFonts w:asciiTheme="majorHAnsi" w:eastAsiaTheme="majorEastAsia" w:hAnsiTheme="majorHAnsi"/>
      <w:b/>
      <w:bCs/>
      <w:color w:val="365F91" w:themeColor="accent1" w:themeShade="BF"/>
      <w:sz w:val="28"/>
      <w:szCs w:val="25"/>
    </w:rPr>
  </w:style>
  <w:style w:type="character" w:customStyle="1" w:styleId="Nadpis2Char">
    <w:name w:val="Nadpis 2 Char"/>
    <w:basedOn w:val="Standardnpsmoodstavce"/>
    <w:link w:val="Nadpis2"/>
    <w:uiPriority w:val="9"/>
    <w:rsid w:val="00686A37"/>
    <w:rPr>
      <w:rFonts w:asciiTheme="majorHAnsi" w:eastAsiaTheme="majorEastAsia" w:hAnsiTheme="majorHAnsi"/>
      <w:b/>
      <w:bCs/>
      <w:color w:val="4F81BD" w:themeColor="accent1"/>
      <w:sz w:val="26"/>
      <w:szCs w:val="23"/>
    </w:rPr>
  </w:style>
  <w:style w:type="character" w:customStyle="1" w:styleId="Nadpis3Char">
    <w:name w:val="Nadpis 3 Char"/>
    <w:basedOn w:val="Standardnpsmoodstavce"/>
    <w:link w:val="Nadpis3"/>
    <w:uiPriority w:val="9"/>
    <w:rsid w:val="00686A37"/>
    <w:rPr>
      <w:rFonts w:asciiTheme="majorHAnsi" w:eastAsiaTheme="majorEastAsia" w:hAnsiTheme="majorHAnsi"/>
      <w:b/>
      <w:bCs/>
      <w:color w:val="4F81BD" w:themeColor="accent1"/>
      <w:szCs w:val="21"/>
    </w:rPr>
  </w:style>
  <w:style w:type="character" w:customStyle="1" w:styleId="Nadpis4Char">
    <w:name w:val="Nadpis 4 Char"/>
    <w:basedOn w:val="Standardnpsmoodstavce"/>
    <w:link w:val="Nadpis4"/>
    <w:uiPriority w:val="9"/>
    <w:rsid w:val="00686A37"/>
    <w:rPr>
      <w:rFonts w:asciiTheme="majorHAnsi" w:eastAsiaTheme="majorEastAsia" w:hAnsiTheme="majorHAnsi"/>
      <w:b/>
      <w:bCs/>
      <w:i/>
      <w:iCs/>
      <w:color w:val="4F81BD" w:themeColor="accent1"/>
      <w:szCs w:val="21"/>
    </w:rPr>
  </w:style>
  <w:style w:type="paragraph" w:styleId="Zhlav">
    <w:name w:val="header"/>
    <w:basedOn w:val="Normln"/>
    <w:link w:val="ZhlavChar"/>
    <w:uiPriority w:val="99"/>
    <w:unhideWhenUsed/>
    <w:rsid w:val="00A34454"/>
    <w:pPr>
      <w:tabs>
        <w:tab w:val="center" w:pos="4536"/>
        <w:tab w:val="right" w:pos="9072"/>
      </w:tabs>
    </w:pPr>
    <w:rPr>
      <w:szCs w:val="21"/>
    </w:rPr>
  </w:style>
  <w:style w:type="character" w:customStyle="1" w:styleId="ZhlavChar">
    <w:name w:val="Záhlaví Char"/>
    <w:basedOn w:val="Standardnpsmoodstavce"/>
    <w:link w:val="Zhlav"/>
    <w:uiPriority w:val="99"/>
    <w:rsid w:val="00A34454"/>
    <w:rPr>
      <w:szCs w:val="21"/>
    </w:rPr>
  </w:style>
  <w:style w:type="paragraph" w:styleId="Zpat">
    <w:name w:val="footer"/>
    <w:basedOn w:val="Normln"/>
    <w:link w:val="ZpatChar"/>
    <w:uiPriority w:val="99"/>
    <w:unhideWhenUsed/>
    <w:rsid w:val="00A34454"/>
    <w:pPr>
      <w:tabs>
        <w:tab w:val="center" w:pos="4536"/>
        <w:tab w:val="right" w:pos="9072"/>
      </w:tabs>
    </w:pPr>
    <w:rPr>
      <w:szCs w:val="21"/>
    </w:rPr>
  </w:style>
  <w:style w:type="character" w:customStyle="1" w:styleId="ZpatChar">
    <w:name w:val="Zápatí Char"/>
    <w:basedOn w:val="Standardnpsmoodstavce"/>
    <w:link w:val="Zpat"/>
    <w:uiPriority w:val="99"/>
    <w:rsid w:val="00A34454"/>
    <w:rPr>
      <w:szCs w:val="21"/>
    </w:rPr>
  </w:style>
  <w:style w:type="character" w:customStyle="1" w:styleId="Nadpis5Char">
    <w:name w:val="Nadpis 5 Char"/>
    <w:basedOn w:val="Standardnpsmoodstavce"/>
    <w:link w:val="Nadpis5"/>
    <w:uiPriority w:val="9"/>
    <w:rsid w:val="002F4DCF"/>
    <w:rPr>
      <w:rFonts w:asciiTheme="majorHAnsi" w:eastAsiaTheme="majorEastAsia" w:hAnsiTheme="majorHAnsi"/>
      <w:color w:val="243F60" w:themeColor="accent1" w:themeShade="7F"/>
      <w:szCs w:val="21"/>
    </w:rPr>
  </w:style>
  <w:style w:type="character" w:styleId="Odkaznakoment">
    <w:name w:val="annotation reference"/>
    <w:basedOn w:val="Standardnpsmoodstavce"/>
    <w:uiPriority w:val="99"/>
    <w:unhideWhenUsed/>
    <w:rsid w:val="00433F94"/>
    <w:rPr>
      <w:sz w:val="16"/>
      <w:szCs w:val="16"/>
    </w:rPr>
  </w:style>
  <w:style w:type="paragraph" w:styleId="Textkomente">
    <w:name w:val="annotation text"/>
    <w:basedOn w:val="Normln"/>
    <w:link w:val="TextkomenteChar"/>
    <w:uiPriority w:val="99"/>
    <w:unhideWhenUsed/>
    <w:rsid w:val="00433F94"/>
    <w:rPr>
      <w:sz w:val="20"/>
      <w:szCs w:val="18"/>
    </w:rPr>
  </w:style>
  <w:style w:type="character" w:customStyle="1" w:styleId="TextkomenteChar">
    <w:name w:val="Text komentáře Char"/>
    <w:basedOn w:val="Standardnpsmoodstavce"/>
    <w:link w:val="Textkomente"/>
    <w:uiPriority w:val="99"/>
    <w:rsid w:val="00433F94"/>
    <w:rPr>
      <w:sz w:val="20"/>
      <w:szCs w:val="18"/>
    </w:rPr>
  </w:style>
  <w:style w:type="paragraph" w:styleId="Pedmtkomente">
    <w:name w:val="annotation subject"/>
    <w:basedOn w:val="Textkomente"/>
    <w:next w:val="Textkomente"/>
    <w:link w:val="PedmtkomenteChar"/>
    <w:uiPriority w:val="99"/>
    <w:semiHidden/>
    <w:unhideWhenUsed/>
    <w:rsid w:val="00433F94"/>
    <w:rPr>
      <w:b/>
      <w:bCs/>
    </w:rPr>
  </w:style>
  <w:style w:type="character" w:customStyle="1" w:styleId="PedmtkomenteChar">
    <w:name w:val="Předmět komentáře Char"/>
    <w:basedOn w:val="TextkomenteChar"/>
    <w:link w:val="Pedmtkomente"/>
    <w:uiPriority w:val="99"/>
    <w:semiHidden/>
    <w:rsid w:val="00433F94"/>
    <w:rPr>
      <w:b/>
      <w:bCs/>
      <w:sz w:val="20"/>
      <w:szCs w:val="18"/>
    </w:rPr>
  </w:style>
  <w:style w:type="paragraph" w:styleId="Textbubliny">
    <w:name w:val="Balloon Text"/>
    <w:basedOn w:val="Normln"/>
    <w:link w:val="TextbublinyChar"/>
    <w:uiPriority w:val="99"/>
    <w:semiHidden/>
    <w:unhideWhenUsed/>
    <w:rsid w:val="00433F94"/>
    <w:rPr>
      <w:rFonts w:ascii="Tahoma" w:hAnsi="Tahoma"/>
      <w:sz w:val="16"/>
      <w:szCs w:val="14"/>
    </w:rPr>
  </w:style>
  <w:style w:type="character" w:customStyle="1" w:styleId="TextbublinyChar">
    <w:name w:val="Text bubliny Char"/>
    <w:basedOn w:val="Standardnpsmoodstavce"/>
    <w:link w:val="Textbubliny"/>
    <w:uiPriority w:val="99"/>
    <w:semiHidden/>
    <w:rsid w:val="00433F94"/>
    <w:rPr>
      <w:rFonts w:ascii="Tahoma" w:hAnsi="Tahoma"/>
      <w:sz w:val="16"/>
      <w:szCs w:val="14"/>
    </w:rPr>
  </w:style>
  <w:style w:type="paragraph" w:styleId="Revize">
    <w:name w:val="Revision"/>
    <w:hidden/>
    <w:uiPriority w:val="99"/>
    <w:semiHidden/>
    <w:rsid w:val="00C36855"/>
    <w:pPr>
      <w:widowControl/>
      <w:suppressAutoHyphens w:val="0"/>
      <w:autoSpaceDN/>
      <w:textAlignment w:val="auto"/>
    </w:pPr>
    <w:rPr>
      <w:szCs w:val="21"/>
    </w:rPr>
  </w:style>
  <w:style w:type="character" w:customStyle="1" w:styleId="Nadpis6Char">
    <w:name w:val="Nadpis 6 Char"/>
    <w:basedOn w:val="Standardnpsmoodstavce"/>
    <w:link w:val="Nadpis6"/>
    <w:uiPriority w:val="9"/>
    <w:semiHidden/>
    <w:rsid w:val="00252827"/>
    <w:rPr>
      <w:rFonts w:asciiTheme="majorHAnsi" w:eastAsiaTheme="majorEastAsia" w:hAnsiTheme="majorHAnsi"/>
      <w:i/>
      <w:iCs/>
      <w:color w:val="243F60" w:themeColor="accent1" w:themeShade="7F"/>
      <w:szCs w:val="21"/>
    </w:rPr>
  </w:style>
  <w:style w:type="character" w:customStyle="1" w:styleId="Nadpis7Char">
    <w:name w:val="Nadpis 7 Char"/>
    <w:basedOn w:val="Standardnpsmoodstavce"/>
    <w:link w:val="Nadpis7"/>
    <w:uiPriority w:val="9"/>
    <w:semiHidden/>
    <w:rsid w:val="00252827"/>
    <w:rPr>
      <w:rFonts w:asciiTheme="majorHAnsi" w:eastAsiaTheme="majorEastAsia" w:hAnsiTheme="majorHAnsi"/>
      <w:i/>
      <w:iCs/>
      <w:color w:val="404040" w:themeColor="text1" w:themeTint="BF"/>
      <w:szCs w:val="21"/>
    </w:rPr>
  </w:style>
  <w:style w:type="character" w:customStyle="1" w:styleId="Nadpis8Char">
    <w:name w:val="Nadpis 8 Char"/>
    <w:basedOn w:val="Standardnpsmoodstavce"/>
    <w:link w:val="Nadpis8"/>
    <w:uiPriority w:val="9"/>
    <w:semiHidden/>
    <w:rsid w:val="00252827"/>
    <w:rPr>
      <w:rFonts w:asciiTheme="majorHAnsi" w:eastAsiaTheme="majorEastAsia" w:hAnsiTheme="majorHAnsi"/>
      <w:color w:val="404040" w:themeColor="text1" w:themeTint="BF"/>
      <w:sz w:val="20"/>
      <w:szCs w:val="18"/>
    </w:rPr>
  </w:style>
  <w:style w:type="character" w:customStyle="1" w:styleId="Nadpis9Char">
    <w:name w:val="Nadpis 9 Char"/>
    <w:basedOn w:val="Standardnpsmoodstavce"/>
    <w:link w:val="Nadpis9"/>
    <w:uiPriority w:val="9"/>
    <w:semiHidden/>
    <w:rsid w:val="00252827"/>
    <w:rPr>
      <w:rFonts w:asciiTheme="majorHAnsi" w:eastAsiaTheme="majorEastAsia" w:hAnsiTheme="majorHAnsi"/>
      <w:i/>
      <w:iCs/>
      <w:color w:val="404040" w:themeColor="text1" w:themeTint="BF"/>
      <w:sz w:val="20"/>
      <w:szCs w:val="18"/>
    </w:rPr>
  </w:style>
  <w:style w:type="paragraph" w:styleId="Textpoznpodarou">
    <w:name w:val="footnote text"/>
    <w:aliases w:val="pozn. pod čarou,Schriftart: 9 pt,Schriftart: 10 pt,Schriftart: 8 pt,Podrozdział,Footnote,Podrozdzia3,Text poznámky pod čiarou 007,Fußnotentextf,Geneva 9,Font: Geneva 9,Boston 10,f,Text pozn. pod čarou Char2"/>
    <w:basedOn w:val="Normln"/>
    <w:link w:val="TextpoznpodarouChar"/>
    <w:uiPriority w:val="99"/>
    <w:rsid w:val="00E954AC"/>
    <w:pPr>
      <w:keepLines/>
      <w:widowControl/>
      <w:tabs>
        <w:tab w:val="left" w:pos="227"/>
      </w:tabs>
      <w:suppressAutoHyphens w:val="0"/>
      <w:autoSpaceDN/>
      <w:ind w:left="227" w:hanging="227"/>
      <w:jc w:val="both"/>
      <w:textAlignment w:val="auto"/>
    </w:pPr>
    <w:rPr>
      <w:rFonts w:eastAsia="Times New Roman" w:cs="Times New Roman"/>
      <w:kern w:val="0"/>
      <w:sz w:val="20"/>
      <w:szCs w:val="20"/>
      <w:lang w:eastAsia="cs-CZ" w:bidi="ar-SA"/>
    </w:rPr>
  </w:style>
  <w:style w:type="character" w:customStyle="1" w:styleId="TextpoznpodarouChar">
    <w:name w:val="Text pozn. pod čarou Char"/>
    <w:aliases w:val="pozn. pod čarou Char,Schriftart: 9 pt Char,Schriftart: 10 pt Char,Schriftart: 8 pt Char,Podrozdział Char,Footnote Char,Podrozdzia3 Char,Text poznámky pod čiarou 007 Char,Fußnotentextf Char,Geneva 9 Char,Font: Geneva 9 Char"/>
    <w:basedOn w:val="Standardnpsmoodstavce"/>
    <w:link w:val="Textpoznpodarou"/>
    <w:uiPriority w:val="99"/>
    <w:rsid w:val="00E954AC"/>
    <w:rPr>
      <w:rFonts w:eastAsia="Times New Roman" w:cs="Times New Roman"/>
      <w:kern w:val="0"/>
      <w:sz w:val="20"/>
      <w:szCs w:val="20"/>
      <w:lang w:eastAsia="cs-CZ" w:bidi="ar-SA"/>
    </w:rPr>
  </w:style>
  <w:style w:type="character" w:styleId="Znakapoznpodarou">
    <w:name w:val="footnote reference"/>
    <w:aliases w:val="PGI Fußnote Ziffer,EN Footnote Reference,PGI Fußnote Ziffer + Times New Roman,12 b.,Zúžené o ..."/>
    <w:uiPriority w:val="99"/>
    <w:rsid w:val="00E954AC"/>
    <w:rPr>
      <w:vertAlign w:val="superscript"/>
    </w:rPr>
  </w:style>
  <w:style w:type="paragraph" w:styleId="Bezmezer">
    <w:name w:val="No Spacing"/>
    <w:uiPriority w:val="99"/>
    <w:qFormat/>
    <w:rsid w:val="00043817"/>
    <w:pPr>
      <w:widowControl/>
      <w:suppressAutoHyphens w:val="0"/>
      <w:autoSpaceDN/>
      <w:textAlignment w:val="auto"/>
    </w:pPr>
    <w:rPr>
      <w:rFonts w:ascii="Calibri" w:eastAsia="Calibri" w:hAnsi="Calibri" w:cs="Times New Roman"/>
      <w:kern w:val="0"/>
      <w:sz w:val="22"/>
      <w:szCs w:val="22"/>
      <w:lang w:eastAsia="en-US" w:bidi="ar-SA"/>
    </w:rPr>
  </w:style>
  <w:style w:type="paragraph" w:customStyle="1" w:styleId="NorReport">
    <w:name w:val="Nor_Report"/>
    <w:basedOn w:val="Normln"/>
    <w:link w:val="NorReportChar"/>
    <w:qFormat/>
    <w:rsid w:val="00B63156"/>
    <w:pPr>
      <w:widowControl/>
      <w:suppressAutoHyphens w:val="0"/>
      <w:autoSpaceDN/>
      <w:spacing w:before="60" w:after="60"/>
      <w:jc w:val="both"/>
      <w:textAlignment w:val="auto"/>
    </w:pPr>
    <w:rPr>
      <w:rFonts w:ascii="Arial" w:eastAsia="Times New Roman" w:hAnsi="Arial" w:cs="Arial"/>
      <w:kern w:val="0"/>
      <w:sz w:val="22"/>
      <w:szCs w:val="22"/>
      <w:lang w:eastAsia="cs-CZ" w:bidi="ar-SA"/>
    </w:rPr>
  </w:style>
  <w:style w:type="character" w:customStyle="1" w:styleId="NorReportChar">
    <w:name w:val="Nor_Report Char"/>
    <w:basedOn w:val="Standardnpsmoodstavce"/>
    <w:link w:val="NorReport"/>
    <w:rsid w:val="00B63156"/>
    <w:rPr>
      <w:rFonts w:ascii="Arial" w:eastAsia="Times New Roman" w:hAnsi="Arial" w:cs="Arial"/>
      <w:kern w:val="0"/>
      <w:sz w:val="22"/>
      <w:szCs w:val="22"/>
      <w:lang w:eastAsia="cs-CZ" w:bidi="ar-SA"/>
    </w:rPr>
  </w:style>
  <w:style w:type="character" w:customStyle="1" w:styleId="TextkomenteChar1">
    <w:name w:val="Text komentáře Char1"/>
    <w:basedOn w:val="Standardnpsmoodstavce"/>
    <w:uiPriority w:val="99"/>
    <w:locked/>
    <w:rsid w:val="006E3A64"/>
    <w:rPr>
      <w:rFonts w:ascii="Arial" w:hAnsi="Arial" w:cs="Times New Roman"/>
      <w:lang w:eastAsia="ar-SA" w:bidi="ar-SA"/>
    </w:rPr>
  </w:style>
  <w:style w:type="paragraph" w:customStyle="1" w:styleId="TabReport">
    <w:name w:val="Tab_Report"/>
    <w:link w:val="TabReportChar"/>
    <w:qFormat/>
    <w:rsid w:val="00C16563"/>
    <w:pPr>
      <w:widowControl/>
      <w:suppressAutoHyphens w:val="0"/>
      <w:autoSpaceDN/>
      <w:spacing w:after="200" w:line="276" w:lineRule="auto"/>
      <w:textAlignment w:val="auto"/>
    </w:pPr>
    <w:rPr>
      <w:rFonts w:ascii="Arial" w:eastAsia="Calibri" w:hAnsi="Arial" w:cs="Arial"/>
      <w:kern w:val="0"/>
      <w:sz w:val="16"/>
      <w:szCs w:val="22"/>
      <w:lang w:eastAsia="cs-CZ" w:bidi="ar-SA"/>
    </w:rPr>
  </w:style>
  <w:style w:type="character" w:customStyle="1" w:styleId="TabReportChar">
    <w:name w:val="Tab_Report Char"/>
    <w:link w:val="TabReport"/>
    <w:rsid w:val="00C16563"/>
    <w:rPr>
      <w:rFonts w:ascii="Arial" w:eastAsia="Calibri" w:hAnsi="Arial" w:cs="Arial"/>
      <w:kern w:val="0"/>
      <w:sz w:val="16"/>
      <w:szCs w:val="22"/>
      <w:lang w:eastAsia="cs-CZ"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686A37"/>
    <w:pPr>
      <w:keepNext/>
      <w:keepLines/>
      <w:numPr>
        <w:numId w:val="1"/>
      </w:numPr>
      <w:spacing w:before="480"/>
      <w:outlineLvl w:val="0"/>
    </w:pPr>
    <w:rPr>
      <w:rFonts w:asciiTheme="majorHAnsi" w:eastAsiaTheme="majorEastAsia" w:hAnsiTheme="majorHAnsi"/>
      <w:b/>
      <w:bCs/>
      <w:color w:val="365F91" w:themeColor="accent1" w:themeShade="BF"/>
      <w:sz w:val="28"/>
      <w:szCs w:val="25"/>
    </w:rPr>
  </w:style>
  <w:style w:type="paragraph" w:styleId="Nadpis2">
    <w:name w:val="heading 2"/>
    <w:basedOn w:val="Normln"/>
    <w:next w:val="Normln"/>
    <w:link w:val="Nadpis2Char"/>
    <w:uiPriority w:val="9"/>
    <w:unhideWhenUsed/>
    <w:qFormat/>
    <w:rsid w:val="00686A37"/>
    <w:pPr>
      <w:keepNext/>
      <w:keepLines/>
      <w:numPr>
        <w:ilvl w:val="1"/>
        <w:numId w:val="1"/>
      </w:numPr>
      <w:spacing w:before="200"/>
      <w:outlineLvl w:val="1"/>
    </w:pPr>
    <w:rPr>
      <w:rFonts w:asciiTheme="majorHAnsi" w:eastAsiaTheme="majorEastAsia" w:hAnsiTheme="majorHAnsi"/>
      <w:b/>
      <w:bCs/>
      <w:color w:val="4F81BD" w:themeColor="accent1"/>
      <w:sz w:val="26"/>
      <w:szCs w:val="23"/>
    </w:rPr>
  </w:style>
  <w:style w:type="paragraph" w:styleId="Nadpis3">
    <w:name w:val="heading 3"/>
    <w:basedOn w:val="Normln"/>
    <w:next w:val="Normln"/>
    <w:link w:val="Nadpis3Char"/>
    <w:uiPriority w:val="9"/>
    <w:unhideWhenUsed/>
    <w:qFormat/>
    <w:rsid w:val="00686A37"/>
    <w:pPr>
      <w:keepNext/>
      <w:keepLines/>
      <w:numPr>
        <w:ilvl w:val="2"/>
        <w:numId w:val="1"/>
      </w:numPr>
      <w:spacing w:before="200"/>
      <w:outlineLvl w:val="2"/>
    </w:pPr>
    <w:rPr>
      <w:rFonts w:asciiTheme="majorHAnsi" w:eastAsiaTheme="majorEastAsia" w:hAnsiTheme="majorHAnsi"/>
      <w:b/>
      <w:bCs/>
      <w:color w:val="4F81BD" w:themeColor="accent1"/>
      <w:szCs w:val="21"/>
    </w:rPr>
  </w:style>
  <w:style w:type="paragraph" w:styleId="Nadpis4">
    <w:name w:val="heading 4"/>
    <w:basedOn w:val="Normln"/>
    <w:next w:val="Normln"/>
    <w:link w:val="Nadpis4Char"/>
    <w:uiPriority w:val="9"/>
    <w:unhideWhenUsed/>
    <w:qFormat/>
    <w:rsid w:val="00686A37"/>
    <w:pPr>
      <w:keepNext/>
      <w:keepLines/>
      <w:numPr>
        <w:ilvl w:val="3"/>
        <w:numId w:val="1"/>
      </w:numPr>
      <w:spacing w:before="200"/>
      <w:outlineLvl w:val="3"/>
    </w:pPr>
    <w:rPr>
      <w:rFonts w:asciiTheme="majorHAnsi" w:eastAsiaTheme="majorEastAsia" w:hAnsiTheme="majorHAnsi"/>
      <w:b/>
      <w:bCs/>
      <w:i/>
      <w:iCs/>
      <w:color w:val="4F81BD" w:themeColor="accent1"/>
      <w:szCs w:val="21"/>
    </w:rPr>
  </w:style>
  <w:style w:type="paragraph" w:styleId="Nadpis5">
    <w:name w:val="heading 5"/>
    <w:basedOn w:val="Normln"/>
    <w:next w:val="Normln"/>
    <w:link w:val="Nadpis5Char"/>
    <w:uiPriority w:val="9"/>
    <w:unhideWhenUsed/>
    <w:qFormat/>
    <w:rsid w:val="002F4DCF"/>
    <w:pPr>
      <w:keepNext/>
      <w:keepLines/>
      <w:numPr>
        <w:ilvl w:val="4"/>
        <w:numId w:val="1"/>
      </w:numPr>
      <w:spacing w:before="200"/>
      <w:outlineLvl w:val="4"/>
    </w:pPr>
    <w:rPr>
      <w:rFonts w:asciiTheme="majorHAnsi" w:eastAsiaTheme="majorEastAsia" w:hAnsiTheme="majorHAnsi"/>
      <w:color w:val="243F60" w:themeColor="accent1" w:themeShade="7F"/>
      <w:szCs w:val="21"/>
    </w:rPr>
  </w:style>
  <w:style w:type="paragraph" w:styleId="Nadpis6">
    <w:name w:val="heading 6"/>
    <w:basedOn w:val="Normln"/>
    <w:next w:val="Normln"/>
    <w:link w:val="Nadpis6Char"/>
    <w:uiPriority w:val="9"/>
    <w:semiHidden/>
    <w:unhideWhenUsed/>
    <w:qFormat/>
    <w:rsid w:val="00252827"/>
    <w:pPr>
      <w:keepNext/>
      <w:keepLines/>
      <w:numPr>
        <w:ilvl w:val="5"/>
        <w:numId w:val="1"/>
      </w:numPr>
      <w:spacing w:before="200"/>
      <w:outlineLvl w:val="5"/>
    </w:pPr>
    <w:rPr>
      <w:rFonts w:asciiTheme="majorHAnsi" w:eastAsiaTheme="majorEastAsia" w:hAnsiTheme="majorHAnsi"/>
      <w:i/>
      <w:iCs/>
      <w:color w:val="243F60" w:themeColor="accent1" w:themeShade="7F"/>
      <w:szCs w:val="21"/>
    </w:rPr>
  </w:style>
  <w:style w:type="paragraph" w:styleId="Nadpis7">
    <w:name w:val="heading 7"/>
    <w:basedOn w:val="Normln"/>
    <w:next w:val="Normln"/>
    <w:link w:val="Nadpis7Char"/>
    <w:uiPriority w:val="9"/>
    <w:semiHidden/>
    <w:unhideWhenUsed/>
    <w:qFormat/>
    <w:rsid w:val="00252827"/>
    <w:pPr>
      <w:keepNext/>
      <w:keepLines/>
      <w:numPr>
        <w:ilvl w:val="6"/>
        <w:numId w:val="1"/>
      </w:numPr>
      <w:spacing w:before="200"/>
      <w:outlineLvl w:val="6"/>
    </w:pPr>
    <w:rPr>
      <w:rFonts w:asciiTheme="majorHAnsi" w:eastAsiaTheme="majorEastAsia" w:hAnsiTheme="majorHAnsi"/>
      <w:i/>
      <w:iCs/>
      <w:color w:val="404040" w:themeColor="text1" w:themeTint="BF"/>
      <w:szCs w:val="21"/>
    </w:rPr>
  </w:style>
  <w:style w:type="paragraph" w:styleId="Nadpis8">
    <w:name w:val="heading 8"/>
    <w:basedOn w:val="Normln"/>
    <w:next w:val="Normln"/>
    <w:link w:val="Nadpis8Char"/>
    <w:uiPriority w:val="9"/>
    <w:semiHidden/>
    <w:unhideWhenUsed/>
    <w:qFormat/>
    <w:rsid w:val="00252827"/>
    <w:pPr>
      <w:keepNext/>
      <w:keepLines/>
      <w:numPr>
        <w:ilvl w:val="7"/>
        <w:numId w:val="1"/>
      </w:numPr>
      <w:spacing w:before="200"/>
      <w:outlineLvl w:val="7"/>
    </w:pPr>
    <w:rPr>
      <w:rFonts w:asciiTheme="majorHAnsi" w:eastAsiaTheme="majorEastAsia" w:hAnsiTheme="majorHAnsi"/>
      <w:color w:val="404040" w:themeColor="text1" w:themeTint="BF"/>
      <w:sz w:val="20"/>
      <w:szCs w:val="18"/>
    </w:rPr>
  </w:style>
  <w:style w:type="paragraph" w:styleId="Nadpis9">
    <w:name w:val="heading 9"/>
    <w:basedOn w:val="Normln"/>
    <w:next w:val="Normln"/>
    <w:link w:val="Nadpis9Char"/>
    <w:uiPriority w:val="9"/>
    <w:semiHidden/>
    <w:unhideWhenUsed/>
    <w:qFormat/>
    <w:rsid w:val="00252827"/>
    <w:pPr>
      <w:keepNext/>
      <w:keepLines/>
      <w:numPr>
        <w:ilvl w:val="8"/>
        <w:numId w:val="1"/>
      </w:numPr>
      <w:spacing w:before="200"/>
      <w:outlineLvl w:val="8"/>
    </w:pPr>
    <w:rPr>
      <w:rFonts w:asciiTheme="majorHAnsi" w:eastAsiaTheme="majorEastAsia" w:hAnsiTheme="majorHAnsi"/>
      <w:i/>
      <w:iCs/>
      <w:color w:val="404040" w:themeColor="text1" w:themeTint="BF"/>
      <w:sz w:val="20"/>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Default">
    <w:name w:val="Default"/>
    <w:basedOn w:val="Standard"/>
    <w:pPr>
      <w:autoSpaceDE w:val="0"/>
    </w:pPr>
    <w:rPr>
      <w:rFonts w:ascii="Arial, Arial" w:eastAsia="Arial, Arial" w:hAnsi="Arial, Arial" w:cs="Arial, Arial"/>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BulletSymbols">
    <w:name w:val="Bullet Symbols"/>
    <w:rPr>
      <w:rFonts w:ascii="OpenSymbol" w:eastAsia="OpenSymbol" w:hAnsi="OpenSymbol" w:cs="OpenSymbol"/>
    </w:rPr>
  </w:style>
  <w:style w:type="paragraph" w:styleId="Odstavecseseznamem">
    <w:name w:val="List Paragraph"/>
    <w:basedOn w:val="Normln"/>
    <w:uiPriority w:val="99"/>
    <w:qFormat/>
    <w:rsid w:val="00686A37"/>
    <w:pPr>
      <w:ind w:left="720"/>
      <w:contextualSpacing/>
    </w:pPr>
    <w:rPr>
      <w:szCs w:val="21"/>
    </w:rPr>
  </w:style>
  <w:style w:type="character" w:customStyle="1" w:styleId="Nadpis1Char">
    <w:name w:val="Nadpis 1 Char"/>
    <w:basedOn w:val="Standardnpsmoodstavce"/>
    <w:link w:val="Nadpis1"/>
    <w:uiPriority w:val="9"/>
    <w:rsid w:val="00686A37"/>
    <w:rPr>
      <w:rFonts w:asciiTheme="majorHAnsi" w:eastAsiaTheme="majorEastAsia" w:hAnsiTheme="majorHAnsi"/>
      <w:b/>
      <w:bCs/>
      <w:color w:val="365F91" w:themeColor="accent1" w:themeShade="BF"/>
      <w:sz w:val="28"/>
      <w:szCs w:val="25"/>
    </w:rPr>
  </w:style>
  <w:style w:type="character" w:customStyle="1" w:styleId="Nadpis2Char">
    <w:name w:val="Nadpis 2 Char"/>
    <w:basedOn w:val="Standardnpsmoodstavce"/>
    <w:link w:val="Nadpis2"/>
    <w:uiPriority w:val="9"/>
    <w:rsid w:val="00686A37"/>
    <w:rPr>
      <w:rFonts w:asciiTheme="majorHAnsi" w:eastAsiaTheme="majorEastAsia" w:hAnsiTheme="majorHAnsi"/>
      <w:b/>
      <w:bCs/>
      <w:color w:val="4F81BD" w:themeColor="accent1"/>
      <w:sz w:val="26"/>
      <w:szCs w:val="23"/>
    </w:rPr>
  </w:style>
  <w:style w:type="character" w:customStyle="1" w:styleId="Nadpis3Char">
    <w:name w:val="Nadpis 3 Char"/>
    <w:basedOn w:val="Standardnpsmoodstavce"/>
    <w:link w:val="Nadpis3"/>
    <w:uiPriority w:val="9"/>
    <w:rsid w:val="00686A37"/>
    <w:rPr>
      <w:rFonts w:asciiTheme="majorHAnsi" w:eastAsiaTheme="majorEastAsia" w:hAnsiTheme="majorHAnsi"/>
      <w:b/>
      <w:bCs/>
      <w:color w:val="4F81BD" w:themeColor="accent1"/>
      <w:szCs w:val="21"/>
    </w:rPr>
  </w:style>
  <w:style w:type="character" w:customStyle="1" w:styleId="Nadpis4Char">
    <w:name w:val="Nadpis 4 Char"/>
    <w:basedOn w:val="Standardnpsmoodstavce"/>
    <w:link w:val="Nadpis4"/>
    <w:uiPriority w:val="9"/>
    <w:rsid w:val="00686A37"/>
    <w:rPr>
      <w:rFonts w:asciiTheme="majorHAnsi" w:eastAsiaTheme="majorEastAsia" w:hAnsiTheme="majorHAnsi"/>
      <w:b/>
      <w:bCs/>
      <w:i/>
      <w:iCs/>
      <w:color w:val="4F81BD" w:themeColor="accent1"/>
      <w:szCs w:val="21"/>
    </w:rPr>
  </w:style>
  <w:style w:type="paragraph" w:styleId="Zhlav">
    <w:name w:val="header"/>
    <w:basedOn w:val="Normln"/>
    <w:link w:val="ZhlavChar"/>
    <w:uiPriority w:val="99"/>
    <w:unhideWhenUsed/>
    <w:rsid w:val="00A34454"/>
    <w:pPr>
      <w:tabs>
        <w:tab w:val="center" w:pos="4536"/>
        <w:tab w:val="right" w:pos="9072"/>
      </w:tabs>
    </w:pPr>
    <w:rPr>
      <w:szCs w:val="21"/>
    </w:rPr>
  </w:style>
  <w:style w:type="character" w:customStyle="1" w:styleId="ZhlavChar">
    <w:name w:val="Záhlaví Char"/>
    <w:basedOn w:val="Standardnpsmoodstavce"/>
    <w:link w:val="Zhlav"/>
    <w:uiPriority w:val="99"/>
    <w:rsid w:val="00A34454"/>
    <w:rPr>
      <w:szCs w:val="21"/>
    </w:rPr>
  </w:style>
  <w:style w:type="paragraph" w:styleId="Zpat">
    <w:name w:val="footer"/>
    <w:basedOn w:val="Normln"/>
    <w:link w:val="ZpatChar"/>
    <w:uiPriority w:val="99"/>
    <w:unhideWhenUsed/>
    <w:rsid w:val="00A34454"/>
    <w:pPr>
      <w:tabs>
        <w:tab w:val="center" w:pos="4536"/>
        <w:tab w:val="right" w:pos="9072"/>
      </w:tabs>
    </w:pPr>
    <w:rPr>
      <w:szCs w:val="21"/>
    </w:rPr>
  </w:style>
  <w:style w:type="character" w:customStyle="1" w:styleId="ZpatChar">
    <w:name w:val="Zápatí Char"/>
    <w:basedOn w:val="Standardnpsmoodstavce"/>
    <w:link w:val="Zpat"/>
    <w:uiPriority w:val="99"/>
    <w:rsid w:val="00A34454"/>
    <w:rPr>
      <w:szCs w:val="21"/>
    </w:rPr>
  </w:style>
  <w:style w:type="character" w:customStyle="1" w:styleId="Nadpis5Char">
    <w:name w:val="Nadpis 5 Char"/>
    <w:basedOn w:val="Standardnpsmoodstavce"/>
    <w:link w:val="Nadpis5"/>
    <w:uiPriority w:val="9"/>
    <w:rsid w:val="002F4DCF"/>
    <w:rPr>
      <w:rFonts w:asciiTheme="majorHAnsi" w:eastAsiaTheme="majorEastAsia" w:hAnsiTheme="majorHAnsi"/>
      <w:color w:val="243F60" w:themeColor="accent1" w:themeShade="7F"/>
      <w:szCs w:val="21"/>
    </w:rPr>
  </w:style>
  <w:style w:type="character" w:styleId="Odkaznakoment">
    <w:name w:val="annotation reference"/>
    <w:basedOn w:val="Standardnpsmoodstavce"/>
    <w:uiPriority w:val="99"/>
    <w:unhideWhenUsed/>
    <w:rsid w:val="00433F94"/>
    <w:rPr>
      <w:sz w:val="16"/>
      <w:szCs w:val="16"/>
    </w:rPr>
  </w:style>
  <w:style w:type="paragraph" w:styleId="Textkomente">
    <w:name w:val="annotation text"/>
    <w:basedOn w:val="Normln"/>
    <w:link w:val="TextkomenteChar"/>
    <w:uiPriority w:val="99"/>
    <w:unhideWhenUsed/>
    <w:rsid w:val="00433F94"/>
    <w:rPr>
      <w:sz w:val="20"/>
      <w:szCs w:val="18"/>
    </w:rPr>
  </w:style>
  <w:style w:type="character" w:customStyle="1" w:styleId="TextkomenteChar">
    <w:name w:val="Text komentáře Char"/>
    <w:basedOn w:val="Standardnpsmoodstavce"/>
    <w:link w:val="Textkomente"/>
    <w:uiPriority w:val="99"/>
    <w:rsid w:val="00433F94"/>
    <w:rPr>
      <w:sz w:val="20"/>
      <w:szCs w:val="18"/>
    </w:rPr>
  </w:style>
  <w:style w:type="paragraph" w:styleId="Pedmtkomente">
    <w:name w:val="annotation subject"/>
    <w:basedOn w:val="Textkomente"/>
    <w:next w:val="Textkomente"/>
    <w:link w:val="PedmtkomenteChar"/>
    <w:uiPriority w:val="99"/>
    <w:semiHidden/>
    <w:unhideWhenUsed/>
    <w:rsid w:val="00433F94"/>
    <w:rPr>
      <w:b/>
      <w:bCs/>
    </w:rPr>
  </w:style>
  <w:style w:type="character" w:customStyle="1" w:styleId="PedmtkomenteChar">
    <w:name w:val="Předmět komentáře Char"/>
    <w:basedOn w:val="TextkomenteChar"/>
    <w:link w:val="Pedmtkomente"/>
    <w:uiPriority w:val="99"/>
    <w:semiHidden/>
    <w:rsid w:val="00433F94"/>
    <w:rPr>
      <w:b/>
      <w:bCs/>
      <w:sz w:val="20"/>
      <w:szCs w:val="18"/>
    </w:rPr>
  </w:style>
  <w:style w:type="paragraph" w:styleId="Textbubliny">
    <w:name w:val="Balloon Text"/>
    <w:basedOn w:val="Normln"/>
    <w:link w:val="TextbublinyChar"/>
    <w:uiPriority w:val="99"/>
    <w:semiHidden/>
    <w:unhideWhenUsed/>
    <w:rsid w:val="00433F94"/>
    <w:rPr>
      <w:rFonts w:ascii="Tahoma" w:hAnsi="Tahoma"/>
      <w:sz w:val="16"/>
      <w:szCs w:val="14"/>
    </w:rPr>
  </w:style>
  <w:style w:type="character" w:customStyle="1" w:styleId="TextbublinyChar">
    <w:name w:val="Text bubliny Char"/>
    <w:basedOn w:val="Standardnpsmoodstavce"/>
    <w:link w:val="Textbubliny"/>
    <w:uiPriority w:val="99"/>
    <w:semiHidden/>
    <w:rsid w:val="00433F94"/>
    <w:rPr>
      <w:rFonts w:ascii="Tahoma" w:hAnsi="Tahoma"/>
      <w:sz w:val="16"/>
      <w:szCs w:val="14"/>
    </w:rPr>
  </w:style>
  <w:style w:type="paragraph" w:styleId="Revize">
    <w:name w:val="Revision"/>
    <w:hidden/>
    <w:uiPriority w:val="99"/>
    <w:semiHidden/>
    <w:rsid w:val="00C36855"/>
    <w:pPr>
      <w:widowControl/>
      <w:suppressAutoHyphens w:val="0"/>
      <w:autoSpaceDN/>
      <w:textAlignment w:val="auto"/>
    </w:pPr>
    <w:rPr>
      <w:szCs w:val="21"/>
    </w:rPr>
  </w:style>
  <w:style w:type="character" w:customStyle="1" w:styleId="Nadpis6Char">
    <w:name w:val="Nadpis 6 Char"/>
    <w:basedOn w:val="Standardnpsmoodstavce"/>
    <w:link w:val="Nadpis6"/>
    <w:uiPriority w:val="9"/>
    <w:semiHidden/>
    <w:rsid w:val="00252827"/>
    <w:rPr>
      <w:rFonts w:asciiTheme="majorHAnsi" w:eastAsiaTheme="majorEastAsia" w:hAnsiTheme="majorHAnsi"/>
      <w:i/>
      <w:iCs/>
      <w:color w:val="243F60" w:themeColor="accent1" w:themeShade="7F"/>
      <w:szCs w:val="21"/>
    </w:rPr>
  </w:style>
  <w:style w:type="character" w:customStyle="1" w:styleId="Nadpis7Char">
    <w:name w:val="Nadpis 7 Char"/>
    <w:basedOn w:val="Standardnpsmoodstavce"/>
    <w:link w:val="Nadpis7"/>
    <w:uiPriority w:val="9"/>
    <w:semiHidden/>
    <w:rsid w:val="00252827"/>
    <w:rPr>
      <w:rFonts w:asciiTheme="majorHAnsi" w:eastAsiaTheme="majorEastAsia" w:hAnsiTheme="majorHAnsi"/>
      <w:i/>
      <w:iCs/>
      <w:color w:val="404040" w:themeColor="text1" w:themeTint="BF"/>
      <w:szCs w:val="21"/>
    </w:rPr>
  </w:style>
  <w:style w:type="character" w:customStyle="1" w:styleId="Nadpis8Char">
    <w:name w:val="Nadpis 8 Char"/>
    <w:basedOn w:val="Standardnpsmoodstavce"/>
    <w:link w:val="Nadpis8"/>
    <w:uiPriority w:val="9"/>
    <w:semiHidden/>
    <w:rsid w:val="00252827"/>
    <w:rPr>
      <w:rFonts w:asciiTheme="majorHAnsi" w:eastAsiaTheme="majorEastAsia" w:hAnsiTheme="majorHAnsi"/>
      <w:color w:val="404040" w:themeColor="text1" w:themeTint="BF"/>
      <w:sz w:val="20"/>
      <w:szCs w:val="18"/>
    </w:rPr>
  </w:style>
  <w:style w:type="character" w:customStyle="1" w:styleId="Nadpis9Char">
    <w:name w:val="Nadpis 9 Char"/>
    <w:basedOn w:val="Standardnpsmoodstavce"/>
    <w:link w:val="Nadpis9"/>
    <w:uiPriority w:val="9"/>
    <w:semiHidden/>
    <w:rsid w:val="00252827"/>
    <w:rPr>
      <w:rFonts w:asciiTheme="majorHAnsi" w:eastAsiaTheme="majorEastAsia" w:hAnsiTheme="majorHAnsi"/>
      <w:i/>
      <w:iCs/>
      <w:color w:val="404040" w:themeColor="text1" w:themeTint="BF"/>
      <w:sz w:val="20"/>
      <w:szCs w:val="18"/>
    </w:rPr>
  </w:style>
  <w:style w:type="paragraph" w:styleId="Textpoznpodarou">
    <w:name w:val="footnote text"/>
    <w:aliases w:val="pozn. pod čarou,Schriftart: 9 pt,Schriftart: 10 pt,Schriftart: 8 pt,Podrozdział,Footnote,Podrozdzia3,Text poznámky pod čiarou 007,Fußnotentextf,Geneva 9,Font: Geneva 9,Boston 10,f,Text pozn. pod čarou Char2"/>
    <w:basedOn w:val="Normln"/>
    <w:link w:val="TextpoznpodarouChar"/>
    <w:uiPriority w:val="99"/>
    <w:rsid w:val="00E954AC"/>
    <w:pPr>
      <w:keepLines/>
      <w:widowControl/>
      <w:tabs>
        <w:tab w:val="left" w:pos="227"/>
      </w:tabs>
      <w:suppressAutoHyphens w:val="0"/>
      <w:autoSpaceDN/>
      <w:ind w:left="227" w:hanging="227"/>
      <w:jc w:val="both"/>
      <w:textAlignment w:val="auto"/>
    </w:pPr>
    <w:rPr>
      <w:rFonts w:eastAsia="Times New Roman" w:cs="Times New Roman"/>
      <w:kern w:val="0"/>
      <w:sz w:val="20"/>
      <w:szCs w:val="20"/>
      <w:lang w:eastAsia="cs-CZ" w:bidi="ar-SA"/>
    </w:rPr>
  </w:style>
  <w:style w:type="character" w:customStyle="1" w:styleId="TextpoznpodarouChar">
    <w:name w:val="Text pozn. pod čarou Char"/>
    <w:aliases w:val="pozn. pod čarou Char,Schriftart: 9 pt Char,Schriftart: 10 pt Char,Schriftart: 8 pt Char,Podrozdział Char,Footnote Char,Podrozdzia3 Char,Text poznámky pod čiarou 007 Char,Fußnotentextf Char,Geneva 9 Char,Font: Geneva 9 Char"/>
    <w:basedOn w:val="Standardnpsmoodstavce"/>
    <w:link w:val="Textpoznpodarou"/>
    <w:uiPriority w:val="99"/>
    <w:rsid w:val="00E954AC"/>
    <w:rPr>
      <w:rFonts w:eastAsia="Times New Roman" w:cs="Times New Roman"/>
      <w:kern w:val="0"/>
      <w:sz w:val="20"/>
      <w:szCs w:val="20"/>
      <w:lang w:eastAsia="cs-CZ" w:bidi="ar-SA"/>
    </w:rPr>
  </w:style>
  <w:style w:type="character" w:styleId="Znakapoznpodarou">
    <w:name w:val="footnote reference"/>
    <w:aliases w:val="PGI Fußnote Ziffer,EN Footnote Reference,PGI Fußnote Ziffer + Times New Roman,12 b.,Zúžené o ..."/>
    <w:uiPriority w:val="99"/>
    <w:rsid w:val="00E954AC"/>
    <w:rPr>
      <w:vertAlign w:val="superscript"/>
    </w:rPr>
  </w:style>
  <w:style w:type="paragraph" w:styleId="Bezmezer">
    <w:name w:val="No Spacing"/>
    <w:uiPriority w:val="99"/>
    <w:qFormat/>
    <w:rsid w:val="00043817"/>
    <w:pPr>
      <w:widowControl/>
      <w:suppressAutoHyphens w:val="0"/>
      <w:autoSpaceDN/>
      <w:textAlignment w:val="auto"/>
    </w:pPr>
    <w:rPr>
      <w:rFonts w:ascii="Calibri" w:eastAsia="Calibri" w:hAnsi="Calibri" w:cs="Times New Roman"/>
      <w:kern w:val="0"/>
      <w:sz w:val="22"/>
      <w:szCs w:val="22"/>
      <w:lang w:eastAsia="en-US" w:bidi="ar-SA"/>
    </w:rPr>
  </w:style>
  <w:style w:type="paragraph" w:customStyle="1" w:styleId="NorReport">
    <w:name w:val="Nor_Report"/>
    <w:basedOn w:val="Normln"/>
    <w:link w:val="NorReportChar"/>
    <w:qFormat/>
    <w:rsid w:val="00B63156"/>
    <w:pPr>
      <w:widowControl/>
      <w:suppressAutoHyphens w:val="0"/>
      <w:autoSpaceDN/>
      <w:spacing w:before="60" w:after="60"/>
      <w:jc w:val="both"/>
      <w:textAlignment w:val="auto"/>
    </w:pPr>
    <w:rPr>
      <w:rFonts w:ascii="Arial" w:eastAsia="Times New Roman" w:hAnsi="Arial" w:cs="Arial"/>
      <w:kern w:val="0"/>
      <w:sz w:val="22"/>
      <w:szCs w:val="22"/>
      <w:lang w:eastAsia="cs-CZ" w:bidi="ar-SA"/>
    </w:rPr>
  </w:style>
  <w:style w:type="character" w:customStyle="1" w:styleId="NorReportChar">
    <w:name w:val="Nor_Report Char"/>
    <w:basedOn w:val="Standardnpsmoodstavce"/>
    <w:link w:val="NorReport"/>
    <w:rsid w:val="00B63156"/>
    <w:rPr>
      <w:rFonts w:ascii="Arial" w:eastAsia="Times New Roman" w:hAnsi="Arial" w:cs="Arial"/>
      <w:kern w:val="0"/>
      <w:sz w:val="22"/>
      <w:szCs w:val="22"/>
      <w:lang w:eastAsia="cs-CZ" w:bidi="ar-SA"/>
    </w:rPr>
  </w:style>
  <w:style w:type="character" w:customStyle="1" w:styleId="TextkomenteChar1">
    <w:name w:val="Text komentáře Char1"/>
    <w:basedOn w:val="Standardnpsmoodstavce"/>
    <w:uiPriority w:val="99"/>
    <w:locked/>
    <w:rsid w:val="006E3A64"/>
    <w:rPr>
      <w:rFonts w:ascii="Arial" w:hAnsi="Arial" w:cs="Times New Roman"/>
      <w:lang w:eastAsia="ar-SA" w:bidi="ar-SA"/>
    </w:rPr>
  </w:style>
  <w:style w:type="paragraph" w:customStyle="1" w:styleId="TabReport">
    <w:name w:val="Tab_Report"/>
    <w:link w:val="TabReportChar"/>
    <w:qFormat/>
    <w:rsid w:val="00C16563"/>
    <w:pPr>
      <w:widowControl/>
      <w:suppressAutoHyphens w:val="0"/>
      <w:autoSpaceDN/>
      <w:spacing w:after="200" w:line="276" w:lineRule="auto"/>
      <w:textAlignment w:val="auto"/>
    </w:pPr>
    <w:rPr>
      <w:rFonts w:ascii="Arial" w:eastAsia="Calibri" w:hAnsi="Arial" w:cs="Arial"/>
      <w:kern w:val="0"/>
      <w:sz w:val="16"/>
      <w:szCs w:val="22"/>
      <w:lang w:eastAsia="cs-CZ" w:bidi="ar-SA"/>
    </w:rPr>
  </w:style>
  <w:style w:type="character" w:customStyle="1" w:styleId="TabReportChar">
    <w:name w:val="Tab_Report Char"/>
    <w:link w:val="TabReport"/>
    <w:rsid w:val="00C16563"/>
    <w:rPr>
      <w:rFonts w:ascii="Arial" w:eastAsia="Calibri" w:hAnsi="Arial" w:cs="Arial"/>
      <w:kern w:val="0"/>
      <w:sz w:val="16"/>
      <w:szCs w:val="22"/>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5527">
      <w:bodyDiv w:val="1"/>
      <w:marLeft w:val="0"/>
      <w:marRight w:val="0"/>
      <w:marTop w:val="0"/>
      <w:marBottom w:val="0"/>
      <w:divBdr>
        <w:top w:val="none" w:sz="0" w:space="0" w:color="auto"/>
        <w:left w:val="none" w:sz="0" w:space="0" w:color="auto"/>
        <w:bottom w:val="none" w:sz="0" w:space="0" w:color="auto"/>
        <w:right w:val="none" w:sz="0" w:space="0" w:color="auto"/>
      </w:divBdr>
    </w:div>
    <w:div w:id="102311744">
      <w:bodyDiv w:val="1"/>
      <w:marLeft w:val="0"/>
      <w:marRight w:val="0"/>
      <w:marTop w:val="0"/>
      <w:marBottom w:val="0"/>
      <w:divBdr>
        <w:top w:val="none" w:sz="0" w:space="0" w:color="auto"/>
        <w:left w:val="none" w:sz="0" w:space="0" w:color="auto"/>
        <w:bottom w:val="none" w:sz="0" w:space="0" w:color="auto"/>
        <w:right w:val="none" w:sz="0" w:space="0" w:color="auto"/>
      </w:divBdr>
    </w:div>
    <w:div w:id="192891093">
      <w:bodyDiv w:val="1"/>
      <w:marLeft w:val="0"/>
      <w:marRight w:val="0"/>
      <w:marTop w:val="0"/>
      <w:marBottom w:val="0"/>
      <w:divBdr>
        <w:top w:val="none" w:sz="0" w:space="0" w:color="auto"/>
        <w:left w:val="none" w:sz="0" w:space="0" w:color="auto"/>
        <w:bottom w:val="none" w:sz="0" w:space="0" w:color="auto"/>
        <w:right w:val="none" w:sz="0" w:space="0" w:color="auto"/>
      </w:divBdr>
    </w:div>
    <w:div w:id="211888539">
      <w:bodyDiv w:val="1"/>
      <w:marLeft w:val="0"/>
      <w:marRight w:val="0"/>
      <w:marTop w:val="0"/>
      <w:marBottom w:val="0"/>
      <w:divBdr>
        <w:top w:val="none" w:sz="0" w:space="0" w:color="auto"/>
        <w:left w:val="none" w:sz="0" w:space="0" w:color="auto"/>
        <w:bottom w:val="none" w:sz="0" w:space="0" w:color="auto"/>
        <w:right w:val="none" w:sz="0" w:space="0" w:color="auto"/>
      </w:divBdr>
    </w:div>
    <w:div w:id="238374028">
      <w:bodyDiv w:val="1"/>
      <w:marLeft w:val="0"/>
      <w:marRight w:val="0"/>
      <w:marTop w:val="0"/>
      <w:marBottom w:val="0"/>
      <w:divBdr>
        <w:top w:val="none" w:sz="0" w:space="0" w:color="auto"/>
        <w:left w:val="none" w:sz="0" w:space="0" w:color="auto"/>
        <w:bottom w:val="none" w:sz="0" w:space="0" w:color="auto"/>
        <w:right w:val="none" w:sz="0" w:space="0" w:color="auto"/>
      </w:divBdr>
    </w:div>
    <w:div w:id="303050674">
      <w:bodyDiv w:val="1"/>
      <w:marLeft w:val="0"/>
      <w:marRight w:val="0"/>
      <w:marTop w:val="0"/>
      <w:marBottom w:val="0"/>
      <w:divBdr>
        <w:top w:val="none" w:sz="0" w:space="0" w:color="auto"/>
        <w:left w:val="none" w:sz="0" w:space="0" w:color="auto"/>
        <w:bottom w:val="none" w:sz="0" w:space="0" w:color="auto"/>
        <w:right w:val="none" w:sz="0" w:space="0" w:color="auto"/>
      </w:divBdr>
    </w:div>
    <w:div w:id="313222089">
      <w:bodyDiv w:val="1"/>
      <w:marLeft w:val="0"/>
      <w:marRight w:val="0"/>
      <w:marTop w:val="0"/>
      <w:marBottom w:val="0"/>
      <w:divBdr>
        <w:top w:val="none" w:sz="0" w:space="0" w:color="auto"/>
        <w:left w:val="none" w:sz="0" w:space="0" w:color="auto"/>
        <w:bottom w:val="none" w:sz="0" w:space="0" w:color="auto"/>
        <w:right w:val="none" w:sz="0" w:space="0" w:color="auto"/>
      </w:divBdr>
    </w:div>
    <w:div w:id="360325664">
      <w:bodyDiv w:val="1"/>
      <w:marLeft w:val="0"/>
      <w:marRight w:val="0"/>
      <w:marTop w:val="0"/>
      <w:marBottom w:val="0"/>
      <w:divBdr>
        <w:top w:val="none" w:sz="0" w:space="0" w:color="auto"/>
        <w:left w:val="none" w:sz="0" w:space="0" w:color="auto"/>
        <w:bottom w:val="none" w:sz="0" w:space="0" w:color="auto"/>
        <w:right w:val="none" w:sz="0" w:space="0" w:color="auto"/>
      </w:divBdr>
    </w:div>
    <w:div w:id="369653624">
      <w:bodyDiv w:val="1"/>
      <w:marLeft w:val="0"/>
      <w:marRight w:val="0"/>
      <w:marTop w:val="0"/>
      <w:marBottom w:val="0"/>
      <w:divBdr>
        <w:top w:val="none" w:sz="0" w:space="0" w:color="auto"/>
        <w:left w:val="none" w:sz="0" w:space="0" w:color="auto"/>
        <w:bottom w:val="none" w:sz="0" w:space="0" w:color="auto"/>
        <w:right w:val="none" w:sz="0" w:space="0" w:color="auto"/>
      </w:divBdr>
    </w:div>
    <w:div w:id="403064439">
      <w:bodyDiv w:val="1"/>
      <w:marLeft w:val="0"/>
      <w:marRight w:val="0"/>
      <w:marTop w:val="0"/>
      <w:marBottom w:val="0"/>
      <w:divBdr>
        <w:top w:val="none" w:sz="0" w:space="0" w:color="auto"/>
        <w:left w:val="none" w:sz="0" w:space="0" w:color="auto"/>
        <w:bottom w:val="none" w:sz="0" w:space="0" w:color="auto"/>
        <w:right w:val="none" w:sz="0" w:space="0" w:color="auto"/>
      </w:divBdr>
    </w:div>
    <w:div w:id="560336353">
      <w:bodyDiv w:val="1"/>
      <w:marLeft w:val="0"/>
      <w:marRight w:val="0"/>
      <w:marTop w:val="0"/>
      <w:marBottom w:val="0"/>
      <w:divBdr>
        <w:top w:val="none" w:sz="0" w:space="0" w:color="auto"/>
        <w:left w:val="none" w:sz="0" w:space="0" w:color="auto"/>
        <w:bottom w:val="none" w:sz="0" w:space="0" w:color="auto"/>
        <w:right w:val="none" w:sz="0" w:space="0" w:color="auto"/>
      </w:divBdr>
    </w:div>
    <w:div w:id="589973272">
      <w:bodyDiv w:val="1"/>
      <w:marLeft w:val="0"/>
      <w:marRight w:val="0"/>
      <w:marTop w:val="0"/>
      <w:marBottom w:val="0"/>
      <w:divBdr>
        <w:top w:val="none" w:sz="0" w:space="0" w:color="auto"/>
        <w:left w:val="none" w:sz="0" w:space="0" w:color="auto"/>
        <w:bottom w:val="none" w:sz="0" w:space="0" w:color="auto"/>
        <w:right w:val="none" w:sz="0" w:space="0" w:color="auto"/>
      </w:divBdr>
    </w:div>
    <w:div w:id="599799573">
      <w:bodyDiv w:val="1"/>
      <w:marLeft w:val="0"/>
      <w:marRight w:val="0"/>
      <w:marTop w:val="0"/>
      <w:marBottom w:val="0"/>
      <w:divBdr>
        <w:top w:val="none" w:sz="0" w:space="0" w:color="auto"/>
        <w:left w:val="none" w:sz="0" w:space="0" w:color="auto"/>
        <w:bottom w:val="none" w:sz="0" w:space="0" w:color="auto"/>
        <w:right w:val="none" w:sz="0" w:space="0" w:color="auto"/>
      </w:divBdr>
    </w:div>
    <w:div w:id="624846724">
      <w:bodyDiv w:val="1"/>
      <w:marLeft w:val="0"/>
      <w:marRight w:val="0"/>
      <w:marTop w:val="0"/>
      <w:marBottom w:val="0"/>
      <w:divBdr>
        <w:top w:val="none" w:sz="0" w:space="0" w:color="auto"/>
        <w:left w:val="none" w:sz="0" w:space="0" w:color="auto"/>
        <w:bottom w:val="none" w:sz="0" w:space="0" w:color="auto"/>
        <w:right w:val="none" w:sz="0" w:space="0" w:color="auto"/>
      </w:divBdr>
    </w:div>
    <w:div w:id="645933579">
      <w:bodyDiv w:val="1"/>
      <w:marLeft w:val="0"/>
      <w:marRight w:val="0"/>
      <w:marTop w:val="0"/>
      <w:marBottom w:val="0"/>
      <w:divBdr>
        <w:top w:val="none" w:sz="0" w:space="0" w:color="auto"/>
        <w:left w:val="none" w:sz="0" w:space="0" w:color="auto"/>
        <w:bottom w:val="none" w:sz="0" w:space="0" w:color="auto"/>
        <w:right w:val="none" w:sz="0" w:space="0" w:color="auto"/>
      </w:divBdr>
    </w:div>
    <w:div w:id="728916589">
      <w:bodyDiv w:val="1"/>
      <w:marLeft w:val="0"/>
      <w:marRight w:val="0"/>
      <w:marTop w:val="0"/>
      <w:marBottom w:val="0"/>
      <w:divBdr>
        <w:top w:val="none" w:sz="0" w:space="0" w:color="auto"/>
        <w:left w:val="none" w:sz="0" w:space="0" w:color="auto"/>
        <w:bottom w:val="none" w:sz="0" w:space="0" w:color="auto"/>
        <w:right w:val="none" w:sz="0" w:space="0" w:color="auto"/>
      </w:divBdr>
      <w:divsChild>
        <w:div w:id="222062252">
          <w:marLeft w:val="0"/>
          <w:marRight w:val="0"/>
          <w:marTop w:val="0"/>
          <w:marBottom w:val="0"/>
          <w:divBdr>
            <w:top w:val="none" w:sz="0" w:space="0" w:color="auto"/>
            <w:left w:val="none" w:sz="0" w:space="0" w:color="auto"/>
            <w:bottom w:val="none" w:sz="0" w:space="0" w:color="auto"/>
            <w:right w:val="none" w:sz="0" w:space="0" w:color="auto"/>
          </w:divBdr>
        </w:div>
        <w:div w:id="2138332714">
          <w:marLeft w:val="0"/>
          <w:marRight w:val="0"/>
          <w:marTop w:val="0"/>
          <w:marBottom w:val="0"/>
          <w:divBdr>
            <w:top w:val="none" w:sz="0" w:space="0" w:color="auto"/>
            <w:left w:val="none" w:sz="0" w:space="0" w:color="auto"/>
            <w:bottom w:val="none" w:sz="0" w:space="0" w:color="auto"/>
            <w:right w:val="none" w:sz="0" w:space="0" w:color="auto"/>
          </w:divBdr>
        </w:div>
        <w:div w:id="218591364">
          <w:marLeft w:val="0"/>
          <w:marRight w:val="0"/>
          <w:marTop w:val="0"/>
          <w:marBottom w:val="0"/>
          <w:divBdr>
            <w:top w:val="none" w:sz="0" w:space="0" w:color="auto"/>
            <w:left w:val="none" w:sz="0" w:space="0" w:color="auto"/>
            <w:bottom w:val="none" w:sz="0" w:space="0" w:color="auto"/>
            <w:right w:val="none" w:sz="0" w:space="0" w:color="auto"/>
          </w:divBdr>
        </w:div>
        <w:div w:id="681392089">
          <w:marLeft w:val="0"/>
          <w:marRight w:val="0"/>
          <w:marTop w:val="0"/>
          <w:marBottom w:val="0"/>
          <w:divBdr>
            <w:top w:val="none" w:sz="0" w:space="0" w:color="auto"/>
            <w:left w:val="none" w:sz="0" w:space="0" w:color="auto"/>
            <w:bottom w:val="none" w:sz="0" w:space="0" w:color="auto"/>
            <w:right w:val="none" w:sz="0" w:space="0" w:color="auto"/>
          </w:divBdr>
        </w:div>
        <w:div w:id="314532614">
          <w:marLeft w:val="0"/>
          <w:marRight w:val="0"/>
          <w:marTop w:val="0"/>
          <w:marBottom w:val="0"/>
          <w:divBdr>
            <w:top w:val="none" w:sz="0" w:space="0" w:color="auto"/>
            <w:left w:val="none" w:sz="0" w:space="0" w:color="auto"/>
            <w:bottom w:val="none" w:sz="0" w:space="0" w:color="auto"/>
            <w:right w:val="none" w:sz="0" w:space="0" w:color="auto"/>
          </w:divBdr>
        </w:div>
        <w:div w:id="262224070">
          <w:marLeft w:val="0"/>
          <w:marRight w:val="0"/>
          <w:marTop w:val="0"/>
          <w:marBottom w:val="0"/>
          <w:divBdr>
            <w:top w:val="none" w:sz="0" w:space="0" w:color="auto"/>
            <w:left w:val="none" w:sz="0" w:space="0" w:color="auto"/>
            <w:bottom w:val="none" w:sz="0" w:space="0" w:color="auto"/>
            <w:right w:val="none" w:sz="0" w:space="0" w:color="auto"/>
          </w:divBdr>
        </w:div>
        <w:div w:id="722755116">
          <w:marLeft w:val="0"/>
          <w:marRight w:val="0"/>
          <w:marTop w:val="0"/>
          <w:marBottom w:val="0"/>
          <w:divBdr>
            <w:top w:val="none" w:sz="0" w:space="0" w:color="auto"/>
            <w:left w:val="none" w:sz="0" w:space="0" w:color="auto"/>
            <w:bottom w:val="none" w:sz="0" w:space="0" w:color="auto"/>
            <w:right w:val="none" w:sz="0" w:space="0" w:color="auto"/>
          </w:divBdr>
        </w:div>
        <w:div w:id="1604533538">
          <w:marLeft w:val="0"/>
          <w:marRight w:val="0"/>
          <w:marTop w:val="0"/>
          <w:marBottom w:val="0"/>
          <w:divBdr>
            <w:top w:val="none" w:sz="0" w:space="0" w:color="auto"/>
            <w:left w:val="none" w:sz="0" w:space="0" w:color="auto"/>
            <w:bottom w:val="none" w:sz="0" w:space="0" w:color="auto"/>
            <w:right w:val="none" w:sz="0" w:space="0" w:color="auto"/>
          </w:divBdr>
        </w:div>
        <w:div w:id="1429352239">
          <w:marLeft w:val="0"/>
          <w:marRight w:val="0"/>
          <w:marTop w:val="0"/>
          <w:marBottom w:val="0"/>
          <w:divBdr>
            <w:top w:val="none" w:sz="0" w:space="0" w:color="auto"/>
            <w:left w:val="none" w:sz="0" w:space="0" w:color="auto"/>
            <w:bottom w:val="none" w:sz="0" w:space="0" w:color="auto"/>
            <w:right w:val="none" w:sz="0" w:space="0" w:color="auto"/>
          </w:divBdr>
        </w:div>
        <w:div w:id="840045010">
          <w:marLeft w:val="0"/>
          <w:marRight w:val="0"/>
          <w:marTop w:val="0"/>
          <w:marBottom w:val="0"/>
          <w:divBdr>
            <w:top w:val="none" w:sz="0" w:space="0" w:color="auto"/>
            <w:left w:val="none" w:sz="0" w:space="0" w:color="auto"/>
            <w:bottom w:val="none" w:sz="0" w:space="0" w:color="auto"/>
            <w:right w:val="none" w:sz="0" w:space="0" w:color="auto"/>
          </w:divBdr>
        </w:div>
      </w:divsChild>
    </w:div>
    <w:div w:id="744382444">
      <w:bodyDiv w:val="1"/>
      <w:marLeft w:val="0"/>
      <w:marRight w:val="0"/>
      <w:marTop w:val="0"/>
      <w:marBottom w:val="0"/>
      <w:divBdr>
        <w:top w:val="none" w:sz="0" w:space="0" w:color="auto"/>
        <w:left w:val="none" w:sz="0" w:space="0" w:color="auto"/>
        <w:bottom w:val="none" w:sz="0" w:space="0" w:color="auto"/>
        <w:right w:val="none" w:sz="0" w:space="0" w:color="auto"/>
      </w:divBdr>
    </w:div>
    <w:div w:id="824467033">
      <w:bodyDiv w:val="1"/>
      <w:marLeft w:val="0"/>
      <w:marRight w:val="0"/>
      <w:marTop w:val="0"/>
      <w:marBottom w:val="0"/>
      <w:divBdr>
        <w:top w:val="none" w:sz="0" w:space="0" w:color="auto"/>
        <w:left w:val="none" w:sz="0" w:space="0" w:color="auto"/>
        <w:bottom w:val="none" w:sz="0" w:space="0" w:color="auto"/>
        <w:right w:val="none" w:sz="0" w:space="0" w:color="auto"/>
      </w:divBdr>
    </w:div>
    <w:div w:id="901795533">
      <w:bodyDiv w:val="1"/>
      <w:marLeft w:val="0"/>
      <w:marRight w:val="0"/>
      <w:marTop w:val="0"/>
      <w:marBottom w:val="0"/>
      <w:divBdr>
        <w:top w:val="none" w:sz="0" w:space="0" w:color="auto"/>
        <w:left w:val="none" w:sz="0" w:space="0" w:color="auto"/>
        <w:bottom w:val="none" w:sz="0" w:space="0" w:color="auto"/>
        <w:right w:val="none" w:sz="0" w:space="0" w:color="auto"/>
      </w:divBdr>
    </w:div>
    <w:div w:id="1210798872">
      <w:bodyDiv w:val="1"/>
      <w:marLeft w:val="0"/>
      <w:marRight w:val="0"/>
      <w:marTop w:val="0"/>
      <w:marBottom w:val="0"/>
      <w:divBdr>
        <w:top w:val="none" w:sz="0" w:space="0" w:color="auto"/>
        <w:left w:val="none" w:sz="0" w:space="0" w:color="auto"/>
        <w:bottom w:val="none" w:sz="0" w:space="0" w:color="auto"/>
        <w:right w:val="none" w:sz="0" w:space="0" w:color="auto"/>
      </w:divBdr>
    </w:div>
    <w:div w:id="1222014264">
      <w:bodyDiv w:val="1"/>
      <w:marLeft w:val="0"/>
      <w:marRight w:val="0"/>
      <w:marTop w:val="0"/>
      <w:marBottom w:val="0"/>
      <w:divBdr>
        <w:top w:val="none" w:sz="0" w:space="0" w:color="auto"/>
        <w:left w:val="none" w:sz="0" w:space="0" w:color="auto"/>
        <w:bottom w:val="none" w:sz="0" w:space="0" w:color="auto"/>
        <w:right w:val="none" w:sz="0" w:space="0" w:color="auto"/>
      </w:divBdr>
    </w:div>
    <w:div w:id="1225871722">
      <w:bodyDiv w:val="1"/>
      <w:marLeft w:val="0"/>
      <w:marRight w:val="0"/>
      <w:marTop w:val="0"/>
      <w:marBottom w:val="0"/>
      <w:divBdr>
        <w:top w:val="none" w:sz="0" w:space="0" w:color="auto"/>
        <w:left w:val="none" w:sz="0" w:space="0" w:color="auto"/>
        <w:bottom w:val="none" w:sz="0" w:space="0" w:color="auto"/>
        <w:right w:val="none" w:sz="0" w:space="0" w:color="auto"/>
      </w:divBdr>
    </w:div>
    <w:div w:id="1267276147">
      <w:bodyDiv w:val="1"/>
      <w:marLeft w:val="0"/>
      <w:marRight w:val="0"/>
      <w:marTop w:val="0"/>
      <w:marBottom w:val="0"/>
      <w:divBdr>
        <w:top w:val="none" w:sz="0" w:space="0" w:color="auto"/>
        <w:left w:val="none" w:sz="0" w:space="0" w:color="auto"/>
        <w:bottom w:val="none" w:sz="0" w:space="0" w:color="auto"/>
        <w:right w:val="none" w:sz="0" w:space="0" w:color="auto"/>
      </w:divBdr>
    </w:div>
    <w:div w:id="1269778971">
      <w:bodyDiv w:val="1"/>
      <w:marLeft w:val="0"/>
      <w:marRight w:val="0"/>
      <w:marTop w:val="0"/>
      <w:marBottom w:val="0"/>
      <w:divBdr>
        <w:top w:val="none" w:sz="0" w:space="0" w:color="auto"/>
        <w:left w:val="none" w:sz="0" w:space="0" w:color="auto"/>
        <w:bottom w:val="none" w:sz="0" w:space="0" w:color="auto"/>
        <w:right w:val="none" w:sz="0" w:space="0" w:color="auto"/>
      </w:divBdr>
    </w:div>
    <w:div w:id="1277298613">
      <w:bodyDiv w:val="1"/>
      <w:marLeft w:val="0"/>
      <w:marRight w:val="0"/>
      <w:marTop w:val="0"/>
      <w:marBottom w:val="0"/>
      <w:divBdr>
        <w:top w:val="none" w:sz="0" w:space="0" w:color="auto"/>
        <w:left w:val="none" w:sz="0" w:space="0" w:color="auto"/>
        <w:bottom w:val="none" w:sz="0" w:space="0" w:color="auto"/>
        <w:right w:val="none" w:sz="0" w:space="0" w:color="auto"/>
      </w:divBdr>
    </w:div>
    <w:div w:id="1370909227">
      <w:bodyDiv w:val="1"/>
      <w:marLeft w:val="0"/>
      <w:marRight w:val="0"/>
      <w:marTop w:val="0"/>
      <w:marBottom w:val="0"/>
      <w:divBdr>
        <w:top w:val="none" w:sz="0" w:space="0" w:color="auto"/>
        <w:left w:val="none" w:sz="0" w:space="0" w:color="auto"/>
        <w:bottom w:val="none" w:sz="0" w:space="0" w:color="auto"/>
        <w:right w:val="none" w:sz="0" w:space="0" w:color="auto"/>
      </w:divBdr>
    </w:div>
    <w:div w:id="1391929337">
      <w:bodyDiv w:val="1"/>
      <w:marLeft w:val="0"/>
      <w:marRight w:val="0"/>
      <w:marTop w:val="0"/>
      <w:marBottom w:val="0"/>
      <w:divBdr>
        <w:top w:val="none" w:sz="0" w:space="0" w:color="auto"/>
        <w:left w:val="none" w:sz="0" w:space="0" w:color="auto"/>
        <w:bottom w:val="none" w:sz="0" w:space="0" w:color="auto"/>
        <w:right w:val="none" w:sz="0" w:space="0" w:color="auto"/>
      </w:divBdr>
    </w:div>
    <w:div w:id="1771856584">
      <w:bodyDiv w:val="1"/>
      <w:marLeft w:val="0"/>
      <w:marRight w:val="0"/>
      <w:marTop w:val="0"/>
      <w:marBottom w:val="0"/>
      <w:divBdr>
        <w:top w:val="none" w:sz="0" w:space="0" w:color="auto"/>
        <w:left w:val="none" w:sz="0" w:space="0" w:color="auto"/>
        <w:bottom w:val="none" w:sz="0" w:space="0" w:color="auto"/>
        <w:right w:val="none" w:sz="0" w:space="0" w:color="auto"/>
      </w:divBdr>
    </w:div>
    <w:div w:id="1870995627">
      <w:bodyDiv w:val="1"/>
      <w:marLeft w:val="0"/>
      <w:marRight w:val="0"/>
      <w:marTop w:val="0"/>
      <w:marBottom w:val="0"/>
      <w:divBdr>
        <w:top w:val="none" w:sz="0" w:space="0" w:color="auto"/>
        <w:left w:val="none" w:sz="0" w:space="0" w:color="auto"/>
        <w:bottom w:val="none" w:sz="0" w:space="0" w:color="auto"/>
        <w:right w:val="none" w:sz="0" w:space="0" w:color="auto"/>
      </w:divBdr>
    </w:div>
    <w:div w:id="1990207014">
      <w:bodyDiv w:val="1"/>
      <w:marLeft w:val="0"/>
      <w:marRight w:val="0"/>
      <w:marTop w:val="0"/>
      <w:marBottom w:val="0"/>
      <w:divBdr>
        <w:top w:val="none" w:sz="0" w:space="0" w:color="auto"/>
        <w:left w:val="none" w:sz="0" w:space="0" w:color="auto"/>
        <w:bottom w:val="none" w:sz="0" w:space="0" w:color="auto"/>
        <w:right w:val="none" w:sz="0" w:space="0" w:color="auto"/>
      </w:divBdr>
    </w:div>
    <w:div w:id="2009478136">
      <w:bodyDiv w:val="1"/>
      <w:marLeft w:val="0"/>
      <w:marRight w:val="0"/>
      <w:marTop w:val="0"/>
      <w:marBottom w:val="0"/>
      <w:divBdr>
        <w:top w:val="none" w:sz="0" w:space="0" w:color="auto"/>
        <w:left w:val="none" w:sz="0" w:space="0" w:color="auto"/>
        <w:bottom w:val="none" w:sz="0" w:space="0" w:color="auto"/>
        <w:right w:val="none" w:sz="0" w:space="0" w:color="auto"/>
      </w:divBdr>
    </w:div>
    <w:div w:id="2146850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E37C0-6C46-4E0C-94A0-2E64A0A0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8510</Words>
  <Characters>52171</Characters>
  <Application>Microsoft Office Word</Application>
  <DocSecurity>0</DocSecurity>
  <Lines>855</Lines>
  <Paragraphs>326</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60355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Blanka Flusserová</dc:creator>
  <cp:lastModifiedBy>Flusserová Blanka</cp:lastModifiedBy>
  <cp:revision>14</cp:revision>
  <cp:lastPrinted>2014-06-27T10:13:00Z</cp:lastPrinted>
  <dcterms:created xsi:type="dcterms:W3CDTF">2014-07-23T06:27:00Z</dcterms:created>
  <dcterms:modified xsi:type="dcterms:W3CDTF">2014-07-28T09:26:00Z</dcterms:modified>
</cp:coreProperties>
</file>