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9B" w:rsidRPr="0075749B" w:rsidRDefault="00F80CB1" w:rsidP="00F80CB1">
      <w:pPr>
        <w:spacing w:before="0" w:after="0"/>
        <w:ind w:left="7788" w:firstLine="708"/>
        <w:jc w:val="both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 xml:space="preserve">  </w:t>
      </w:r>
      <w:r w:rsidR="0075749B" w:rsidRPr="0075749B">
        <w:rPr>
          <w:b/>
          <w:sz w:val="28"/>
        </w:rPr>
        <w:t>I</w:t>
      </w:r>
      <w:r w:rsidR="00371156">
        <w:rPr>
          <w:b/>
          <w:sz w:val="28"/>
        </w:rPr>
        <w:t>I</w:t>
      </w:r>
      <w:r w:rsidR="0075749B" w:rsidRPr="0075749B">
        <w:rPr>
          <w:b/>
          <w:sz w:val="28"/>
        </w:rPr>
        <w:t>.</w:t>
      </w:r>
    </w:p>
    <w:p w:rsidR="007A2225" w:rsidRDefault="007A2225" w:rsidP="00CF2CAD">
      <w:pPr>
        <w:spacing w:before="0" w:after="0"/>
        <w:jc w:val="both"/>
        <w:rPr>
          <w:b/>
          <w:sz w:val="28"/>
        </w:rPr>
      </w:pPr>
      <w:r w:rsidRPr="0059667C">
        <w:rPr>
          <w:b/>
          <w:sz w:val="28"/>
        </w:rPr>
        <w:t>Informace o stavu realizace</w:t>
      </w:r>
      <w:r w:rsidR="006F17F0">
        <w:rPr>
          <w:b/>
          <w:sz w:val="28"/>
        </w:rPr>
        <w:t xml:space="preserve"> a financování udržitelnosti výzkumných center financovaných z OP VaVpI</w:t>
      </w:r>
    </w:p>
    <w:p w:rsidR="00A11C59" w:rsidRPr="00A11C59" w:rsidRDefault="00A11C59" w:rsidP="00CF2CAD">
      <w:pPr>
        <w:jc w:val="both"/>
      </w:pPr>
      <w:r>
        <w:t>Ve smyslu usnesení vlády ČR č. 652 z 6. srpna 2014 připravilo MŠMT aktualizaci dat o příjemcích podpory k udržitelnosti center podpořených z Operačního prog</w:t>
      </w:r>
      <w:r w:rsidR="00A94603">
        <w:t>ramu Výzkum a</w:t>
      </w:r>
      <w:r w:rsidR="00CF2CAD">
        <w:t xml:space="preserve"> vývoj pro inovace (dále VaVpI-c</w:t>
      </w:r>
      <w:r w:rsidR="00A94603">
        <w:t>entra).</w:t>
      </w:r>
    </w:p>
    <w:p w:rsidR="00151A9B" w:rsidRDefault="00244FA4" w:rsidP="00CF2CAD">
      <w:pPr>
        <w:pStyle w:val="Odstavecseseznamem"/>
        <w:numPr>
          <w:ilvl w:val="0"/>
          <w:numId w:val="5"/>
        </w:numPr>
        <w:jc w:val="both"/>
        <w:rPr>
          <w:b/>
          <w:sz w:val="24"/>
        </w:rPr>
      </w:pPr>
      <w:r w:rsidRPr="00450FB7">
        <w:rPr>
          <w:b/>
          <w:sz w:val="24"/>
        </w:rPr>
        <w:t>Úvodní</w:t>
      </w:r>
      <w:r w:rsidR="00151A9B" w:rsidRPr="00450FB7">
        <w:rPr>
          <w:b/>
          <w:sz w:val="24"/>
        </w:rPr>
        <w:t xml:space="preserve"> informace</w:t>
      </w:r>
      <w:r w:rsidR="00F80CB1">
        <w:rPr>
          <w:b/>
          <w:sz w:val="24"/>
        </w:rPr>
        <w:t xml:space="preserve"> </w:t>
      </w:r>
    </w:p>
    <w:p w:rsidR="000D3068" w:rsidRDefault="000D3068" w:rsidP="00CF2CAD">
      <w:pPr>
        <w:jc w:val="both"/>
      </w:pPr>
      <w:r w:rsidRPr="000D3068">
        <w:t>V</w:t>
      </w:r>
      <w:r>
        <w:t> </w:t>
      </w:r>
      <w:r w:rsidRPr="000D3068">
        <w:t>souvislosti</w:t>
      </w:r>
      <w:r>
        <w:t xml:space="preserve"> s postupným dokončováním center financovaných z </w:t>
      </w:r>
      <w:r w:rsidR="00CF2CAD">
        <w:t>O</w:t>
      </w:r>
      <w:r>
        <w:t>peračního programu Výzkum a vývoj pro inovace (dále jen OP VaVpI</w:t>
      </w:r>
      <w:r w:rsidR="005333F6">
        <w:t xml:space="preserve">) vyvstává </w:t>
      </w:r>
      <w:r w:rsidR="00E432E6">
        <w:t>jednak</w:t>
      </w:r>
      <w:r w:rsidR="005333F6">
        <w:t xml:space="preserve"> úloha </w:t>
      </w:r>
      <w:r w:rsidR="00E432E6">
        <w:t xml:space="preserve">průběžně </w:t>
      </w:r>
      <w:r w:rsidR="005333F6">
        <w:t xml:space="preserve">monitorovat udržitelnost výzkumných </w:t>
      </w:r>
      <w:r w:rsidR="00E432E6">
        <w:t>center financovaných z OP VaVpI a jednak</w:t>
      </w:r>
      <w:r w:rsidR="005333F6">
        <w:t xml:space="preserve"> se ČR zavázala </w:t>
      </w:r>
      <w:r w:rsidR="00E432E6">
        <w:t xml:space="preserve">zabezpečit jejich udržitelnost </w:t>
      </w:r>
      <w:r w:rsidR="005333F6">
        <w:t xml:space="preserve">prostřednictvím </w:t>
      </w:r>
      <w:r w:rsidR="00A94603">
        <w:t xml:space="preserve">závazku </w:t>
      </w:r>
      <w:r w:rsidR="005333F6">
        <w:t xml:space="preserve">Rady pro výzkum, vývoj a inovace. </w:t>
      </w:r>
    </w:p>
    <w:p w:rsidR="005333F6" w:rsidRDefault="005333F6" w:rsidP="00CF2CAD">
      <w:pPr>
        <w:jc w:val="both"/>
      </w:pPr>
      <w:r w:rsidRPr="005333F6">
        <w:rPr>
          <w:b/>
          <w:i/>
        </w:rPr>
        <w:t>Udržitelnost</w:t>
      </w:r>
      <w:r>
        <w:t xml:space="preserve"> je vymezena jako </w:t>
      </w:r>
      <w:r w:rsidRPr="005333F6">
        <w:t>„stálost operací“</w:t>
      </w:r>
      <w:r w:rsidR="00CF2CAD">
        <w:t>;</w:t>
      </w:r>
      <w:r w:rsidRPr="005333F6">
        <w:t xml:space="preserve"> investice musí být po dobu </w:t>
      </w:r>
      <w:r w:rsidR="00CF2CAD">
        <w:t>pěti</w:t>
      </w:r>
      <w:r w:rsidRPr="005333F6">
        <w:t xml:space="preserve"> let od ukončení realizace zachována ke stano</w:t>
      </w:r>
      <w:r w:rsidR="00CF2CAD">
        <w:t>venému účelu.</w:t>
      </w:r>
      <w:r w:rsidRPr="005333F6">
        <w:t xml:space="preserve"> </w:t>
      </w:r>
      <w:r w:rsidR="00CF2CAD">
        <w:t>N</w:t>
      </w:r>
      <w:r w:rsidRPr="005333F6">
        <w:t>esmí dojít ke změně činnosti nebo k provádění aktivit, které by zakládaly nepovolenou veřejnou podporu. Rovněž nesmí dojít ke změně formy vlastnictví infrastruktury pořízené z dotace.</w:t>
      </w:r>
      <w:r>
        <w:rPr>
          <w:rStyle w:val="Znakapoznpodarou"/>
        </w:rPr>
        <w:footnoteReference w:id="1"/>
      </w:r>
    </w:p>
    <w:p w:rsidR="005333F6" w:rsidRDefault="005333F6" w:rsidP="00CF2CAD">
      <w:pPr>
        <w:spacing w:before="120"/>
        <w:jc w:val="both"/>
      </w:pPr>
      <w:r>
        <w:t xml:space="preserve">Vláda ČR vědoma si té skutečnosti, že přijala závazek </w:t>
      </w:r>
      <w:r w:rsidR="006F17F0">
        <w:t>zajištění udržitelnosti VaVpI-c</w:t>
      </w:r>
      <w:r w:rsidR="00A94603">
        <w:t>enter po pětileté období od jejich dokončení a skutečnosti, že tyto nové výzkumné projekty budou potřebovat podporu při svém náběhu, rozhodla o podpůrném financování VaVpI</w:t>
      </w:r>
      <w:r w:rsidR="006F17F0">
        <w:t>-c</w:t>
      </w:r>
      <w:r w:rsidR="00A94603">
        <w:t xml:space="preserve">enter prostřednictvím tzv. Národních programů udržitelnosti </w:t>
      </w:r>
      <w:r w:rsidR="005D293D">
        <w:t xml:space="preserve">I </w:t>
      </w:r>
      <w:r w:rsidR="00A94603">
        <w:t>a II.</w:t>
      </w:r>
      <w:r w:rsidR="00A94603">
        <w:rPr>
          <w:rStyle w:val="Znakapoznpodarou"/>
        </w:rPr>
        <w:footnoteReference w:id="2"/>
      </w:r>
      <w:r w:rsidR="00A94603">
        <w:t xml:space="preserve"> </w:t>
      </w:r>
      <w:r w:rsidR="00CF2CAD">
        <w:t>Vláda určila r</w:t>
      </w:r>
      <w:r w:rsidR="00A94603">
        <w:t xml:space="preserve">ealizátorem této podpory MŠMT.  </w:t>
      </w:r>
      <w:r>
        <w:t xml:space="preserve"> </w:t>
      </w:r>
    </w:p>
    <w:p w:rsidR="008E6DBB" w:rsidRDefault="00A94603" w:rsidP="00CF2CAD">
      <w:pPr>
        <w:spacing w:before="120" w:after="0"/>
        <w:jc w:val="both"/>
      </w:pPr>
      <w:r>
        <w:t>MŠMT</w:t>
      </w:r>
      <w:r w:rsidR="008E6DBB">
        <w:t xml:space="preserve"> v této souvislosti:</w:t>
      </w:r>
    </w:p>
    <w:p w:rsidR="00A94603" w:rsidRDefault="008E6DBB" w:rsidP="00CF2CAD">
      <w:pPr>
        <w:pStyle w:val="Odstavecseseznamem"/>
        <w:numPr>
          <w:ilvl w:val="0"/>
          <w:numId w:val="13"/>
        </w:numPr>
        <w:spacing w:before="120"/>
        <w:jc w:val="both"/>
      </w:pPr>
      <w:r>
        <w:t xml:space="preserve">zřídilo v </w:t>
      </w:r>
      <w:r w:rsidR="00A94603">
        <w:t>září 2014 útvar zmo</w:t>
      </w:r>
      <w:r w:rsidR="006F17F0">
        <w:t>cněnkyně pro udržitelnost VaVpI-</w:t>
      </w:r>
      <w:r w:rsidR="00A94603">
        <w:t xml:space="preserve">center a do </w:t>
      </w:r>
      <w:r>
        <w:t>poloviny března</w:t>
      </w:r>
      <w:r w:rsidR="00A94603">
        <w:t xml:space="preserve"> 2015 p</w:t>
      </w:r>
      <w:r w:rsidR="00450FB7">
        <w:t>roved</w:t>
      </w:r>
      <w:r w:rsidR="005D293D">
        <w:t>lo</w:t>
      </w:r>
      <w:r w:rsidR="00450FB7">
        <w:t xml:space="preserve"> prověření</w:t>
      </w:r>
      <w:r w:rsidR="006F17F0">
        <w:t xml:space="preserve"> všech VaVpI-c</w:t>
      </w:r>
      <w:r w:rsidR="00A94603">
        <w:t>enter z pohledu udržitelnosti a finančních požadavků z úrovn</w:t>
      </w:r>
      <w:r>
        <w:t>ě MŠMT na podporu udržitelnosti;</w:t>
      </w:r>
    </w:p>
    <w:p w:rsidR="00A94603" w:rsidRDefault="008E6DBB" w:rsidP="00CF2CAD">
      <w:pPr>
        <w:pStyle w:val="Odstavecseseznamem"/>
        <w:numPr>
          <w:ilvl w:val="0"/>
          <w:numId w:val="13"/>
        </w:numPr>
        <w:spacing w:before="120"/>
        <w:jc w:val="both"/>
      </w:pPr>
      <w:r>
        <w:t xml:space="preserve">v </w:t>
      </w:r>
      <w:r w:rsidR="00CF2CAD">
        <w:t>říjnu 2014</w:t>
      </w:r>
      <w:r w:rsidR="00A94603">
        <w:t xml:space="preserve"> </w:t>
      </w:r>
      <w:r>
        <w:t>ustavilo meziresortní komisi</w:t>
      </w:r>
      <w:r w:rsidR="00CF2CAD">
        <w:t xml:space="preserve"> pro udržitelnost a</w:t>
      </w:r>
      <w:r w:rsidR="00A94603">
        <w:t xml:space="preserve"> </w:t>
      </w:r>
      <w:r>
        <w:t>zabezpečuje její čtvrtletní jednání;</w:t>
      </w:r>
    </w:p>
    <w:p w:rsidR="00A94603" w:rsidRDefault="008E6DBB" w:rsidP="00CF2CAD">
      <w:pPr>
        <w:pStyle w:val="Odstavecseseznamem"/>
        <w:numPr>
          <w:ilvl w:val="0"/>
          <w:numId w:val="13"/>
        </w:numPr>
        <w:spacing w:before="120"/>
        <w:jc w:val="both"/>
      </w:pPr>
      <w:r>
        <w:t xml:space="preserve">dne </w:t>
      </w:r>
      <w:r w:rsidR="00CF2CAD">
        <w:t>10. prosince 2014</w:t>
      </w:r>
      <w:r w:rsidR="00A94603">
        <w:t xml:space="preserve"> uskutečnil</w:t>
      </w:r>
      <w:r w:rsidR="00450FB7">
        <w:t>o</w:t>
      </w:r>
      <w:r w:rsidR="00A94603">
        <w:t xml:space="preserve"> seminář v</w:t>
      </w:r>
      <w:r w:rsidR="00450FB7">
        <w:t> </w:t>
      </w:r>
      <w:r w:rsidR="00A94603">
        <w:t>PSP</w:t>
      </w:r>
      <w:r w:rsidR="00450FB7">
        <w:t xml:space="preserve"> ČR</w:t>
      </w:r>
      <w:r w:rsidR="00A94603">
        <w:t xml:space="preserve"> pro členy vlády o udržitelnosti VaVpI</w:t>
      </w:r>
      <w:r w:rsidR="00CF2CAD">
        <w:t>-c</w:t>
      </w:r>
      <w:r w:rsidR="00450FB7">
        <w:t>enter</w:t>
      </w:r>
      <w:r w:rsidR="00A94603">
        <w:t xml:space="preserve"> za účasti šesti ředitelů</w:t>
      </w:r>
      <w:r>
        <w:t xml:space="preserve"> velkých </w:t>
      </w:r>
      <w:r w:rsidR="00A94603">
        <w:t>VaVpI</w:t>
      </w:r>
      <w:r w:rsidR="00CF2CAD">
        <w:t>-c</w:t>
      </w:r>
      <w:r>
        <w:t>enter;</w:t>
      </w:r>
    </w:p>
    <w:p w:rsidR="008E6DBB" w:rsidRDefault="008E6DBB" w:rsidP="00CF2CAD">
      <w:pPr>
        <w:pStyle w:val="Odstavecseseznamem"/>
        <w:numPr>
          <w:ilvl w:val="0"/>
          <w:numId w:val="13"/>
        </w:numPr>
        <w:spacing w:before="120" w:after="120"/>
        <w:jc w:val="both"/>
      </w:pPr>
      <w:r>
        <w:t xml:space="preserve">do konce r. 2014 vyhlásilo a vyhodnotilo tři výzvy </w:t>
      </w:r>
      <w:r w:rsidRPr="008E6DBB">
        <w:t>na podporu malých center z N</w:t>
      </w:r>
      <w:r>
        <w:t xml:space="preserve">árodního programu udržitelnosti </w:t>
      </w:r>
      <w:r w:rsidRPr="008E6DBB">
        <w:t>I</w:t>
      </w:r>
      <w:r>
        <w:t>; v</w:t>
      </w:r>
      <w:r w:rsidRPr="008E6DBB">
        <w:t xml:space="preserve"> současnosti je v běhu další v</w:t>
      </w:r>
      <w:r w:rsidR="00CF2CAD">
        <w:t>ýzva, do které bylo předloženo pět</w:t>
      </w:r>
      <w:r w:rsidRPr="008E6DBB">
        <w:t xml:space="preserve"> návrhů na podpor</w:t>
      </w:r>
      <w:r>
        <w:t>u nově dostavených VaVpI</w:t>
      </w:r>
      <w:r w:rsidR="00CF2CAD">
        <w:t>-</w:t>
      </w:r>
      <w:r>
        <w:t>center</w:t>
      </w:r>
      <w:r w:rsidR="00CF2CAD">
        <w:t>.</w:t>
      </w:r>
      <w:r w:rsidRPr="008E6DBB">
        <w:t xml:space="preserve"> </w:t>
      </w:r>
      <w:r w:rsidR="00CF2CAD">
        <w:t>D</w:t>
      </w:r>
      <w:r w:rsidRPr="008E6DBB">
        <w:t xml:space="preserve">osud z prostředků NPU I bylo podpořeno 30 center, dalších pět zřejmě může být též podpořeno (až bude výzva uzavřena) a už nyní se </w:t>
      </w:r>
      <w:r w:rsidR="00CF2CAD">
        <w:t>připravují podmínky další výzvy;</w:t>
      </w:r>
    </w:p>
    <w:p w:rsidR="00450FB7" w:rsidRPr="005A3597" w:rsidRDefault="00450FB7" w:rsidP="00CF2CAD">
      <w:pPr>
        <w:pStyle w:val="Odstavecseseznamem"/>
        <w:numPr>
          <w:ilvl w:val="0"/>
          <w:numId w:val="15"/>
        </w:numPr>
        <w:spacing w:line="276" w:lineRule="auto"/>
        <w:contextualSpacing/>
        <w:jc w:val="both"/>
        <w:rPr>
          <w:b/>
        </w:rPr>
      </w:pPr>
      <w:r>
        <w:lastRenderedPageBreak/>
        <w:t>připravilo dva semináře (září a prosinec</w:t>
      </w:r>
      <w:r w:rsidR="00CF2CAD">
        <w:t xml:space="preserve"> 2014</w:t>
      </w:r>
      <w:r>
        <w:t xml:space="preserve">) </w:t>
      </w:r>
      <w:r w:rsidR="00CF2CAD">
        <w:t>o</w:t>
      </w:r>
      <w:r>
        <w:t xml:space="preserve"> </w:t>
      </w:r>
      <w:r w:rsidRPr="003254E2">
        <w:rPr>
          <w:b/>
          <w:i/>
        </w:rPr>
        <w:t>smluvní</w:t>
      </w:r>
      <w:r w:rsidR="00CF2CAD">
        <w:rPr>
          <w:b/>
          <w:i/>
        </w:rPr>
        <w:t>m</w:t>
      </w:r>
      <w:r w:rsidRPr="003254E2">
        <w:rPr>
          <w:b/>
          <w:i/>
        </w:rPr>
        <w:t xml:space="preserve"> výzkum</w:t>
      </w:r>
      <w:r w:rsidR="00CF2CAD">
        <w:rPr>
          <w:b/>
          <w:i/>
        </w:rPr>
        <w:t>u</w:t>
      </w:r>
      <w:r>
        <w:t xml:space="preserve"> a dále dva kulaté stoly (poslední v únoru 2015) k Národnímu programu udržitelnosti II. </w:t>
      </w:r>
    </w:p>
    <w:p w:rsidR="00A0466B" w:rsidRPr="00450FB7" w:rsidRDefault="00A0466B" w:rsidP="00CF2CAD">
      <w:pPr>
        <w:pStyle w:val="Odstavecseseznamem"/>
        <w:numPr>
          <w:ilvl w:val="0"/>
          <w:numId w:val="5"/>
        </w:numPr>
        <w:jc w:val="both"/>
        <w:rPr>
          <w:b/>
          <w:sz w:val="24"/>
        </w:rPr>
      </w:pPr>
      <w:r>
        <w:rPr>
          <w:b/>
          <w:sz w:val="24"/>
        </w:rPr>
        <w:t xml:space="preserve">Situační analýza </w:t>
      </w:r>
      <w:r w:rsidR="004201D2">
        <w:rPr>
          <w:b/>
          <w:sz w:val="24"/>
        </w:rPr>
        <w:t>výstavby a zprovozňování VaVpI-c</w:t>
      </w:r>
      <w:r w:rsidRPr="00450FB7">
        <w:rPr>
          <w:b/>
          <w:sz w:val="24"/>
        </w:rPr>
        <w:t>enter</w:t>
      </w:r>
    </w:p>
    <w:p w:rsidR="0059667C" w:rsidRDefault="0059667C" w:rsidP="00CF2CAD">
      <w:pPr>
        <w:jc w:val="both"/>
      </w:pPr>
      <w:r>
        <w:t>Z</w:t>
      </w:r>
      <w:r w:rsidR="000D3068">
        <w:t> OP VaVpI</w:t>
      </w:r>
      <w:r w:rsidR="00196A4A" w:rsidRPr="0059667C">
        <w:t xml:space="preserve"> s celkovou alokací </w:t>
      </w:r>
      <w:r>
        <w:t xml:space="preserve"> </w:t>
      </w:r>
      <w:r w:rsidRPr="0059667C">
        <w:t>2,4</w:t>
      </w:r>
      <w:r w:rsidR="005D293D">
        <w:t xml:space="preserve"> </w:t>
      </w:r>
      <w:r w:rsidRPr="0059667C">
        <w:t xml:space="preserve">mld. EUR </w:t>
      </w:r>
      <w:r w:rsidR="00F95425">
        <w:t>(</w:t>
      </w:r>
      <w:r w:rsidRPr="0059667C">
        <w:t>= 65,8 miliardy Kč</w:t>
      </w:r>
      <w:r w:rsidR="00F95425">
        <w:t>)</w:t>
      </w:r>
      <w:r>
        <w:t xml:space="preserve"> byly financovány čtyři </w:t>
      </w:r>
      <w:r w:rsidR="005D293D">
        <w:t>prioritní osy</w:t>
      </w:r>
      <w:r>
        <w:t>, z toho první dv</w:t>
      </w:r>
      <w:r w:rsidR="00704A78">
        <w:t>ě</w:t>
      </w:r>
      <w:r>
        <w:t xml:space="preserve"> (prioritní osa 1 a 2) byly zaměřeny na rozvoj výzkumných center. </w:t>
      </w:r>
    </w:p>
    <w:p w:rsidR="005E60BB" w:rsidRDefault="005E60BB" w:rsidP="00CF2CAD">
      <w:pPr>
        <w:jc w:val="both"/>
      </w:pPr>
      <w:r>
        <w:t>Tabulka č. 1</w:t>
      </w:r>
    </w:p>
    <w:tbl>
      <w:tblPr>
        <w:tblW w:w="929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23"/>
        <w:gridCol w:w="3640"/>
        <w:gridCol w:w="1701"/>
        <w:gridCol w:w="1276"/>
        <w:gridCol w:w="1559"/>
      </w:tblGrid>
      <w:tr w:rsidR="0059667C" w:rsidRPr="0059667C" w:rsidTr="007A2225">
        <w:trPr>
          <w:trHeight w:val="471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  <w:rPr>
                <w:b/>
              </w:rPr>
            </w:pPr>
            <w:r w:rsidRPr="007A2225">
              <w:rPr>
                <w:b/>
                <w:bCs/>
              </w:rPr>
              <w:t>Prioritní osa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  <w:rPr>
                <w:b/>
              </w:rPr>
            </w:pPr>
            <w:r w:rsidRPr="007A2225">
              <w:rPr>
                <w:b/>
                <w:bCs/>
              </w:rPr>
              <w:t>Název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  <w:rPr>
                <w:b/>
              </w:rPr>
            </w:pPr>
            <w:r w:rsidRPr="007A2225">
              <w:rPr>
                <w:b/>
                <w:bCs/>
              </w:rPr>
              <w:t>Poč. projektů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  <w:rPr>
                <w:b/>
              </w:rPr>
            </w:pPr>
            <w:r w:rsidRPr="007A2225">
              <w:rPr>
                <w:b/>
                <w:bCs/>
              </w:rPr>
              <w:t>Alokace v mil. EUR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  <w:rPr>
                <w:b/>
              </w:rPr>
            </w:pPr>
            <w:r w:rsidRPr="007A2225">
              <w:rPr>
                <w:b/>
                <w:bCs/>
              </w:rPr>
              <w:t>Alokace v mil. CZK</w:t>
            </w:r>
          </w:p>
        </w:tc>
      </w:tr>
      <w:tr w:rsidR="0059667C" w:rsidRPr="0059667C" w:rsidTr="007A2225">
        <w:trPr>
          <w:trHeight w:val="173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PO1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 xml:space="preserve">Evropská centra excelence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 xml:space="preserve">806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 xml:space="preserve">22 </w:t>
            </w:r>
            <w:r w:rsidR="001162EB">
              <w:t>410</w:t>
            </w:r>
            <w:r w:rsidR="001162EB" w:rsidRPr="007A2225">
              <w:t xml:space="preserve">   </w:t>
            </w:r>
          </w:p>
        </w:tc>
      </w:tr>
      <w:tr w:rsidR="0059667C" w:rsidRPr="0059667C" w:rsidTr="007A2225">
        <w:trPr>
          <w:trHeight w:val="149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PO2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Regionálních VaV centra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 xml:space="preserve">806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 xml:space="preserve">22 </w:t>
            </w:r>
            <w:r w:rsidR="001162EB">
              <w:t>410</w:t>
            </w:r>
            <w:r w:rsidR="001162EB" w:rsidRPr="007A2225">
              <w:t xml:space="preserve">    </w:t>
            </w:r>
          </w:p>
        </w:tc>
      </w:tr>
      <w:tr w:rsidR="0059667C" w:rsidRPr="0059667C" w:rsidTr="007A2225">
        <w:trPr>
          <w:trHeight w:val="303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PO3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 xml:space="preserve">Komercializace a popularizace VaV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62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D568FD" w:rsidP="00CF2CAD">
            <w:pPr>
              <w:spacing w:before="100" w:beforeAutospacing="1" w:after="0" w:line="240" w:lineRule="auto"/>
              <w:jc w:val="both"/>
            </w:pPr>
            <w:r>
              <w:t>216</w:t>
            </w:r>
            <w:r w:rsidRPr="007A2225"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 xml:space="preserve">6 </w:t>
            </w:r>
            <w:r w:rsidR="001162EB">
              <w:t>025</w:t>
            </w:r>
            <w:r w:rsidR="001162EB" w:rsidRPr="007A2225">
              <w:t xml:space="preserve">    </w:t>
            </w:r>
          </w:p>
        </w:tc>
      </w:tr>
      <w:tr w:rsidR="0059667C" w:rsidRPr="0059667C" w:rsidTr="007A2225">
        <w:trPr>
          <w:trHeight w:val="251"/>
        </w:trPr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PO4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Infrastruktura vysokých škol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</w:pPr>
            <w:r w:rsidRPr="007A2225">
              <w:t>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D568FD" w:rsidP="00CF2CAD">
            <w:pPr>
              <w:spacing w:before="100" w:beforeAutospacing="1" w:after="0" w:line="240" w:lineRule="auto"/>
              <w:jc w:val="both"/>
            </w:pPr>
            <w:r>
              <w:t>521</w:t>
            </w:r>
            <w:r w:rsidRPr="007A2225"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D568FD" w:rsidP="00CF2CAD">
            <w:pPr>
              <w:spacing w:before="100" w:beforeAutospacing="1" w:after="0" w:line="240" w:lineRule="auto"/>
              <w:jc w:val="both"/>
            </w:pPr>
            <w:r>
              <w:t>14 489</w:t>
            </w:r>
            <w:r w:rsidR="0059667C" w:rsidRPr="007A2225">
              <w:t xml:space="preserve">    </w:t>
            </w:r>
          </w:p>
        </w:tc>
      </w:tr>
      <w:tr w:rsidR="0059667C" w:rsidRPr="0059667C" w:rsidTr="007A2225">
        <w:trPr>
          <w:trHeight w:val="267"/>
        </w:trPr>
        <w:tc>
          <w:tcPr>
            <w:tcW w:w="47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  <w:rPr>
                <w:b/>
              </w:rPr>
            </w:pPr>
            <w:r w:rsidRPr="007A2225">
              <w:rPr>
                <w:b/>
                <w:bCs/>
              </w:rPr>
              <w:t>CELKEM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  <w:rPr>
                <w:b/>
              </w:rPr>
            </w:pPr>
            <w:r w:rsidRPr="007A2225">
              <w:rPr>
                <w:b/>
                <w:bCs/>
              </w:rPr>
              <w:t>176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59667C" w:rsidP="00CF2CAD">
            <w:pPr>
              <w:spacing w:before="100" w:beforeAutospacing="1" w:after="0" w:line="240" w:lineRule="auto"/>
              <w:jc w:val="both"/>
              <w:rPr>
                <w:b/>
              </w:rPr>
            </w:pPr>
            <w:r w:rsidRPr="007A2225">
              <w:rPr>
                <w:b/>
                <w:bCs/>
              </w:rPr>
              <w:t xml:space="preserve">2 350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4D79B"/>
            <w:tcMar>
              <w:top w:w="15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2D5569" w:rsidRPr="007A2225" w:rsidRDefault="00D568FD" w:rsidP="00CF2CAD">
            <w:pPr>
              <w:spacing w:before="100" w:beforeAutospacing="1" w:after="0" w:line="240" w:lineRule="auto"/>
              <w:jc w:val="both"/>
              <w:rPr>
                <w:b/>
              </w:rPr>
            </w:pPr>
            <w:r>
              <w:rPr>
                <w:b/>
                <w:bCs/>
              </w:rPr>
              <w:t>65 334</w:t>
            </w:r>
            <w:r w:rsidR="0059667C" w:rsidRPr="007A2225">
              <w:rPr>
                <w:b/>
                <w:bCs/>
              </w:rPr>
              <w:t xml:space="preserve">    </w:t>
            </w:r>
          </w:p>
        </w:tc>
      </w:tr>
    </w:tbl>
    <w:p w:rsidR="00A11C59" w:rsidRDefault="00D568FD" w:rsidP="00CF2CAD">
      <w:pPr>
        <w:spacing w:before="120" w:after="0"/>
        <w:jc w:val="both"/>
      </w:pPr>
      <w:r>
        <w:t>Data dle údajů z</w:t>
      </w:r>
      <w:r w:rsidR="00CF2CAD">
        <w:t> </w:t>
      </w:r>
      <w:r>
        <w:t>IS</w:t>
      </w:r>
      <w:r w:rsidR="00CF2CAD">
        <w:t xml:space="preserve"> </w:t>
      </w:r>
      <w:r>
        <w:t>(MSC2007, stav k 2.2.2015), realokace mezi P03 a P04 přepočtena aktuálním kurzem ECB pro měsíc únor – 27,792 CZK/EUR.</w:t>
      </w:r>
    </w:p>
    <w:p w:rsidR="00D568FD" w:rsidRDefault="00D568FD" w:rsidP="00CF2CAD">
      <w:pPr>
        <w:spacing w:before="120" w:after="0"/>
        <w:jc w:val="both"/>
      </w:pPr>
    </w:p>
    <w:p w:rsidR="00151A9B" w:rsidRPr="007C0BE9" w:rsidRDefault="005E60BB" w:rsidP="00CF2CAD">
      <w:pPr>
        <w:spacing w:before="120" w:after="0"/>
        <w:jc w:val="both"/>
      </w:pPr>
      <w:r>
        <w:t>V</w:t>
      </w:r>
      <w:r w:rsidR="00151A9B" w:rsidRPr="007C0BE9">
        <w:t xml:space="preserve"> rámci prioritních os 1 a 2 bylo ze strany OP VaVpI podpořeno celkem </w:t>
      </w:r>
      <w:r w:rsidR="00151A9B" w:rsidRPr="007C0BE9">
        <w:rPr>
          <w:b/>
        </w:rPr>
        <w:t>48</w:t>
      </w:r>
      <w:r w:rsidR="00151A9B" w:rsidRPr="007C0BE9">
        <w:t xml:space="preserve"> VaV center, z nichž </w:t>
      </w:r>
      <w:r w:rsidR="00151A9B" w:rsidRPr="007C0BE9">
        <w:rPr>
          <w:b/>
        </w:rPr>
        <w:t>32</w:t>
      </w:r>
      <w:r w:rsidR="00151A9B" w:rsidRPr="007C0BE9">
        <w:t xml:space="preserve"> již ukončilo svoji realizaci (viz Tab. 1). </w:t>
      </w:r>
    </w:p>
    <w:p w:rsidR="00151A9B" w:rsidRPr="007C0BE9" w:rsidRDefault="00151A9B" w:rsidP="00CF2CAD">
      <w:pPr>
        <w:spacing w:before="120" w:after="0"/>
        <w:jc w:val="both"/>
      </w:pPr>
      <w:r w:rsidRPr="007C0BE9">
        <w:t xml:space="preserve">V celkovém objemu byla těmto projektům dle Rozhodnutí o poskytnutí dotace a případných Dodatků přiznána podpora ve výši </w:t>
      </w:r>
      <w:r w:rsidR="00D568FD">
        <w:rPr>
          <w:b/>
        </w:rPr>
        <w:t>40.291.166.171,03</w:t>
      </w:r>
      <w:r w:rsidRPr="007C0BE9">
        <w:rPr>
          <w:b/>
        </w:rPr>
        <w:t> Kč</w:t>
      </w:r>
      <w:r w:rsidRPr="007C0BE9">
        <w:t xml:space="preserve">. </w:t>
      </w:r>
    </w:p>
    <w:p w:rsidR="00151A9B" w:rsidRPr="007C0BE9" w:rsidRDefault="00151A9B" w:rsidP="00CF2CAD">
      <w:pPr>
        <w:pStyle w:val="Odstavecseseznamem"/>
        <w:numPr>
          <w:ilvl w:val="0"/>
          <w:numId w:val="4"/>
        </w:numPr>
        <w:spacing w:before="120"/>
        <w:jc w:val="both"/>
      </w:pPr>
      <w:r w:rsidRPr="007C0BE9">
        <w:t xml:space="preserve">Z této sumy bylo příjemcům zasláno předfinancování ve výši </w:t>
      </w:r>
      <w:r w:rsidR="00D568FD">
        <w:rPr>
          <w:b/>
        </w:rPr>
        <w:t>30.778.977.896,69</w:t>
      </w:r>
      <w:r w:rsidRPr="007C0BE9">
        <w:rPr>
          <w:b/>
        </w:rPr>
        <w:t xml:space="preserve"> Kč</w:t>
      </w:r>
      <w:r w:rsidR="004201D2">
        <w:t xml:space="preserve">, tj. </w:t>
      </w:r>
      <w:r w:rsidR="00D568FD">
        <w:t>76</w:t>
      </w:r>
      <w:r w:rsidRPr="007C0BE9">
        <w:t>,39% (viz Příloha č. 1).</w:t>
      </w:r>
    </w:p>
    <w:p w:rsidR="00151A9B" w:rsidRDefault="00151A9B" w:rsidP="00CF2CAD">
      <w:pPr>
        <w:pStyle w:val="Odstavecseseznamem"/>
        <w:numPr>
          <w:ilvl w:val="0"/>
          <w:numId w:val="4"/>
        </w:numPr>
        <w:spacing w:before="120"/>
        <w:jc w:val="both"/>
      </w:pPr>
      <w:r w:rsidRPr="007C0BE9">
        <w:t xml:space="preserve">Schválené vyúčtování je ve výši </w:t>
      </w:r>
      <w:r w:rsidR="00D568FD">
        <w:rPr>
          <w:b/>
        </w:rPr>
        <w:t>25.002.511.666,43</w:t>
      </w:r>
      <w:r w:rsidRPr="007C0BE9">
        <w:rPr>
          <w:b/>
        </w:rPr>
        <w:t xml:space="preserve"> Kč</w:t>
      </w:r>
      <w:r w:rsidRPr="007C0BE9">
        <w:t>, tj. 62,</w:t>
      </w:r>
      <w:r w:rsidR="00D568FD" w:rsidRPr="007C0BE9">
        <w:t>0</w:t>
      </w:r>
      <w:r w:rsidR="00D568FD">
        <w:t>5</w:t>
      </w:r>
      <w:r w:rsidR="004201D2">
        <w:t xml:space="preserve"> </w:t>
      </w:r>
      <w:r w:rsidRPr="007C0BE9">
        <w:t>% z celkové přiznané podpory (viz Příloha č. 1).</w:t>
      </w:r>
    </w:p>
    <w:p w:rsidR="00151A9B" w:rsidRDefault="00151A9B" w:rsidP="00CF2CAD">
      <w:pPr>
        <w:spacing w:before="120" w:after="0"/>
        <w:jc w:val="both"/>
      </w:pPr>
      <w:r w:rsidRPr="007C0BE9">
        <w:t>Tato centra byla vybrána na základě tří proběhnuvších výzev – výzva 1.1 Evropská centra excelence, a dále výzvy 1.2 a 2.2 představující výzvy pro Regionální VaV centra. Projekty jsou dá</w:t>
      </w:r>
      <w:r w:rsidR="00322D25">
        <w:t xml:space="preserve">le rozdělovány na tzv. velké a </w:t>
      </w:r>
      <w:r w:rsidR="00D568FD">
        <w:t>běžné (malé)</w:t>
      </w:r>
      <w:r w:rsidRPr="007C0BE9">
        <w:t xml:space="preserve"> projekty. Za</w:t>
      </w:r>
      <w:r w:rsidR="00322D25">
        <w:t xml:space="preserve"> „</w:t>
      </w:r>
      <w:r w:rsidRPr="007C0BE9">
        <w:t>velké</w:t>
      </w:r>
      <w:r w:rsidR="00322D25">
        <w:t>“</w:t>
      </w:r>
      <w:r w:rsidR="00CF75F5">
        <w:t xml:space="preserve"> </w:t>
      </w:r>
      <w:r w:rsidRPr="007C0BE9">
        <w:t>projekty</w:t>
      </w:r>
      <w:r w:rsidR="003F27B5">
        <w:t xml:space="preserve"> (velká centra</w:t>
      </w:r>
      <w:r w:rsidR="00704A78">
        <w:t>, celkem 6 center</w:t>
      </w:r>
      <w:r w:rsidR="003F27B5">
        <w:t>)</w:t>
      </w:r>
      <w:r w:rsidRPr="007C0BE9">
        <w:t xml:space="preserve"> jsou považovány projekty, které j</w:t>
      </w:r>
      <w:r w:rsidR="00322D25">
        <w:t>sou podpořeny nad 50 mil. EUR. „Malé“</w:t>
      </w:r>
      <w:r w:rsidRPr="007C0BE9">
        <w:t xml:space="preserve"> projekty </w:t>
      </w:r>
      <w:r w:rsidR="003F27B5">
        <w:t>(malá centra</w:t>
      </w:r>
      <w:r w:rsidR="00704A78">
        <w:t>, celkem 42 center</w:t>
      </w:r>
      <w:r w:rsidR="003F27B5">
        <w:t xml:space="preserve">) </w:t>
      </w:r>
      <w:r w:rsidRPr="007C0BE9">
        <w:t xml:space="preserve">jsou takové, u nichž je maximální možná míra podpory stanovena na 50 mil. </w:t>
      </w:r>
      <w:r w:rsidRPr="005E60BB">
        <w:t xml:space="preserve">EUR. V rámci OP VaVpI bylo možné předložit velké projekty v rámci </w:t>
      </w:r>
      <w:r w:rsidR="003F27B5">
        <w:t>dv</w:t>
      </w:r>
      <w:r w:rsidR="000C556B">
        <w:t>ou výzev, konkrétně 1.1 a 2.2.</w:t>
      </w:r>
    </w:p>
    <w:p w:rsidR="00322D25" w:rsidRDefault="003F27B5" w:rsidP="00CF2CAD">
      <w:pPr>
        <w:spacing w:before="120" w:after="0"/>
        <w:jc w:val="both"/>
      </w:pPr>
      <w:r w:rsidRPr="003E161F">
        <w:rPr>
          <w:b/>
          <w:i/>
        </w:rPr>
        <w:t>Hodnotící proces</w:t>
      </w:r>
      <w:r>
        <w:t xml:space="preserve"> </w:t>
      </w:r>
      <w:r w:rsidR="00322D25">
        <w:t>související s vyhodnocením výzev</w:t>
      </w:r>
      <w:r w:rsidR="00812D0E">
        <w:t xml:space="preserve"> a výběrem </w:t>
      </w:r>
      <w:r w:rsidR="003E161F">
        <w:t>projektů malých i velkých center probíhal v řadě postupných kroků: hodnocení formálních náležitostí žádostí, hodnocení komisí odborníků s relevantními zkušenostmi ze spolupráce s aplikační sférou, hodnocení stavebních/investičních a technických aspektů v 1. a 2. úrovni, výběrová komise, hodnocení odbornými hodnotiteli/experty, včetně zahraničních, výběrová komise – řídicí orgán.</w:t>
      </w:r>
    </w:p>
    <w:p w:rsidR="00560D85" w:rsidRDefault="003E161F" w:rsidP="00CF2CAD">
      <w:pPr>
        <w:jc w:val="both"/>
      </w:pPr>
      <w:r>
        <w:t xml:space="preserve">Výběrová komise – řídicí orgán </w:t>
      </w:r>
      <w:r w:rsidR="00812D0E">
        <w:t>byla konečným orgánem</w:t>
      </w:r>
      <w:r>
        <w:t xml:space="preserve"> proces</w:t>
      </w:r>
      <w:r w:rsidR="00812D0E">
        <w:t>u</w:t>
      </w:r>
      <w:r w:rsidR="000C556B">
        <w:t xml:space="preserve"> hodnocení.</w:t>
      </w:r>
      <w:r>
        <w:t xml:space="preserve"> </w:t>
      </w:r>
      <w:r w:rsidR="000C556B">
        <w:t>I</w:t>
      </w:r>
      <w:r>
        <w:t xml:space="preserve">nformace byly dále předány na gremiální poradu a poté poradě vedení MŠMT. </w:t>
      </w:r>
      <w:r w:rsidR="00812D0E">
        <w:t>V případě schválení</w:t>
      </w:r>
      <w:r>
        <w:t xml:space="preserve"> projektu </w:t>
      </w:r>
      <w:r w:rsidR="00560D85">
        <w:t xml:space="preserve">bylo </w:t>
      </w:r>
      <w:r>
        <w:t xml:space="preserve">zasláno Vyrozumění o </w:t>
      </w:r>
      <w:r w:rsidRPr="00520F4A">
        <w:t>schválení projektové žádosti a obratem vydáno Rozhodnutí o poskytnutí dotace</w:t>
      </w:r>
      <w:r>
        <w:t xml:space="preserve">. </w:t>
      </w:r>
    </w:p>
    <w:p w:rsidR="00322D25" w:rsidRDefault="003E161F" w:rsidP="00CF2CAD">
      <w:pPr>
        <w:jc w:val="both"/>
        <w:rPr>
          <w:b/>
        </w:rPr>
      </w:pPr>
      <w:r w:rsidRPr="00520F4A">
        <w:lastRenderedPageBreak/>
        <w:t>U vel</w:t>
      </w:r>
      <w:r>
        <w:t>k</w:t>
      </w:r>
      <w:r w:rsidR="00812D0E">
        <w:t>ých center</w:t>
      </w:r>
      <w:r w:rsidR="003F27B5">
        <w:t>, tedy projektů, které přesáhly</w:t>
      </w:r>
      <w:r>
        <w:t xml:space="preserve"> finanční limit 50 mil. EUR, bylo</w:t>
      </w:r>
      <w:r w:rsidRPr="00520F4A">
        <w:t xml:space="preserve"> nutné paralelní schválení projektu </w:t>
      </w:r>
      <w:r w:rsidR="003F27B5">
        <w:t xml:space="preserve">ze strany </w:t>
      </w:r>
      <w:r w:rsidR="00D568FD">
        <w:t xml:space="preserve">JASPERS a ze strany </w:t>
      </w:r>
      <w:r w:rsidR="00560D85">
        <w:t>Evropské komise, která</w:t>
      </w:r>
      <w:r w:rsidR="003F27B5">
        <w:t xml:space="preserve"> </w:t>
      </w:r>
      <w:r w:rsidR="00560D85">
        <w:t xml:space="preserve">poté </w:t>
      </w:r>
      <w:r w:rsidRPr="00520F4A">
        <w:t>vyda</w:t>
      </w:r>
      <w:r w:rsidR="003F27B5">
        <w:t>la</w:t>
      </w:r>
      <w:r w:rsidRPr="00520F4A">
        <w:t xml:space="preserve"> vlastní Rozhodnutí.  </w:t>
      </w:r>
    </w:p>
    <w:p w:rsidR="00151A9B" w:rsidRDefault="005E60BB" w:rsidP="00CF2CAD">
      <w:pPr>
        <w:pStyle w:val="Titulek"/>
        <w:keepNext/>
        <w:spacing w:after="0"/>
        <w:jc w:val="both"/>
        <w:rPr>
          <w:b w:val="0"/>
          <w:color w:val="auto"/>
          <w:sz w:val="22"/>
          <w:szCs w:val="22"/>
        </w:rPr>
      </w:pPr>
      <w:r w:rsidRPr="005E60BB">
        <w:rPr>
          <w:b w:val="0"/>
          <w:color w:val="auto"/>
          <w:sz w:val="22"/>
          <w:szCs w:val="22"/>
        </w:rPr>
        <w:t xml:space="preserve">Tabulka </w:t>
      </w:r>
      <w:r w:rsidR="005F10D5">
        <w:rPr>
          <w:b w:val="0"/>
          <w:color w:val="auto"/>
          <w:sz w:val="22"/>
          <w:szCs w:val="22"/>
        </w:rPr>
        <w:t>č. 2</w:t>
      </w:r>
      <w:r w:rsidR="003F27B5">
        <w:rPr>
          <w:b w:val="0"/>
          <w:color w:val="auto"/>
          <w:sz w:val="22"/>
          <w:szCs w:val="22"/>
        </w:rPr>
        <w:t xml:space="preserve">  - Sta</w:t>
      </w:r>
      <w:r w:rsidR="00560D85">
        <w:rPr>
          <w:b w:val="0"/>
          <w:color w:val="auto"/>
          <w:sz w:val="22"/>
          <w:szCs w:val="22"/>
        </w:rPr>
        <w:t>v dostavby a dokončování VaVpI-c</w:t>
      </w:r>
      <w:r w:rsidR="003F27B5">
        <w:rPr>
          <w:b w:val="0"/>
          <w:color w:val="auto"/>
          <w:sz w:val="22"/>
          <w:szCs w:val="22"/>
        </w:rPr>
        <w:t>enter</w:t>
      </w:r>
    </w:p>
    <w:tbl>
      <w:tblPr>
        <w:tblStyle w:val="Mkatabulky"/>
        <w:tblpPr w:leftFromText="141" w:rightFromText="141" w:vertAnchor="text" w:horzAnchor="margin" w:tblpY="203"/>
        <w:tblW w:w="0" w:type="auto"/>
        <w:tblLook w:val="04A0" w:firstRow="1" w:lastRow="0" w:firstColumn="1" w:lastColumn="0" w:noHBand="0" w:noVBand="1"/>
      </w:tblPr>
      <w:tblGrid>
        <w:gridCol w:w="3794"/>
        <w:gridCol w:w="850"/>
        <w:gridCol w:w="851"/>
        <w:gridCol w:w="850"/>
        <w:gridCol w:w="1418"/>
        <w:gridCol w:w="1276"/>
      </w:tblGrid>
      <w:tr w:rsidR="005F10D5" w:rsidRPr="007C0BE9" w:rsidTr="005F10D5">
        <w:tc>
          <w:tcPr>
            <w:tcW w:w="3794" w:type="dxa"/>
          </w:tcPr>
          <w:p w:rsidR="005F10D5" w:rsidRPr="007C0BE9" w:rsidRDefault="005F10D5" w:rsidP="00CF2CAD">
            <w:pPr>
              <w:spacing w:before="0" w:after="0"/>
              <w:jc w:val="both"/>
            </w:pPr>
          </w:p>
        </w:tc>
        <w:tc>
          <w:tcPr>
            <w:tcW w:w="850" w:type="dxa"/>
          </w:tcPr>
          <w:p w:rsidR="005F10D5" w:rsidRPr="007C0BE9" w:rsidRDefault="005F10D5" w:rsidP="00CF2CAD">
            <w:pPr>
              <w:spacing w:before="0" w:after="0"/>
              <w:jc w:val="both"/>
              <w:rPr>
                <w:b/>
              </w:rPr>
            </w:pPr>
            <w:r w:rsidRPr="007C0BE9">
              <w:rPr>
                <w:b/>
              </w:rPr>
              <w:t>2012</w:t>
            </w:r>
          </w:p>
        </w:tc>
        <w:tc>
          <w:tcPr>
            <w:tcW w:w="851" w:type="dxa"/>
          </w:tcPr>
          <w:p w:rsidR="005F10D5" w:rsidRPr="007C0BE9" w:rsidRDefault="005F10D5" w:rsidP="00CF2CAD">
            <w:pPr>
              <w:spacing w:before="0" w:after="0"/>
              <w:jc w:val="both"/>
              <w:rPr>
                <w:b/>
              </w:rPr>
            </w:pPr>
            <w:r w:rsidRPr="007C0BE9">
              <w:rPr>
                <w:b/>
              </w:rPr>
              <w:t>2013</w:t>
            </w:r>
          </w:p>
        </w:tc>
        <w:tc>
          <w:tcPr>
            <w:tcW w:w="850" w:type="dxa"/>
          </w:tcPr>
          <w:p w:rsidR="005F10D5" w:rsidRPr="007C0BE9" w:rsidRDefault="005F10D5" w:rsidP="00CF2CAD">
            <w:pPr>
              <w:spacing w:before="0" w:after="0"/>
              <w:jc w:val="both"/>
              <w:rPr>
                <w:b/>
              </w:rPr>
            </w:pPr>
            <w:r w:rsidRPr="007C0BE9">
              <w:rPr>
                <w:b/>
              </w:rPr>
              <w:t>2014</w:t>
            </w:r>
          </w:p>
        </w:tc>
        <w:tc>
          <w:tcPr>
            <w:tcW w:w="1418" w:type="dxa"/>
          </w:tcPr>
          <w:p w:rsidR="005F10D5" w:rsidRPr="007C0BE9" w:rsidRDefault="005F10D5" w:rsidP="00CF2CAD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do</w:t>
            </w:r>
            <w:r w:rsidRPr="007C0BE9">
              <w:rPr>
                <w:b/>
              </w:rPr>
              <w:t xml:space="preserve">  06/2015</w:t>
            </w:r>
          </w:p>
        </w:tc>
        <w:tc>
          <w:tcPr>
            <w:tcW w:w="1276" w:type="dxa"/>
          </w:tcPr>
          <w:p w:rsidR="005F10D5" w:rsidRPr="007C0BE9" w:rsidRDefault="005F10D5" w:rsidP="00CF2CAD">
            <w:pPr>
              <w:spacing w:before="0" w:after="0"/>
              <w:jc w:val="both"/>
              <w:rPr>
                <w:b/>
              </w:rPr>
            </w:pPr>
            <w:r w:rsidRPr="007C0BE9">
              <w:rPr>
                <w:b/>
              </w:rPr>
              <w:t>k 12/2015</w:t>
            </w:r>
          </w:p>
        </w:tc>
      </w:tr>
      <w:tr w:rsidR="005F10D5" w:rsidRPr="007C0BE9" w:rsidTr="005F10D5">
        <w:tc>
          <w:tcPr>
            <w:tcW w:w="3794" w:type="dxa"/>
          </w:tcPr>
          <w:p w:rsidR="005F10D5" w:rsidRPr="003F27B5" w:rsidRDefault="005F10D5" w:rsidP="00CF2CAD">
            <w:pPr>
              <w:spacing w:before="0" w:after="0"/>
              <w:jc w:val="both"/>
            </w:pPr>
            <w:r w:rsidRPr="003F27B5">
              <w:t xml:space="preserve">Počet ukončených velkých </w:t>
            </w:r>
            <w:r w:rsidR="003F27B5" w:rsidRPr="003F27B5">
              <w:t>center</w:t>
            </w:r>
          </w:p>
        </w:tc>
        <w:tc>
          <w:tcPr>
            <w:tcW w:w="850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0</w:t>
            </w:r>
          </w:p>
        </w:tc>
        <w:tc>
          <w:tcPr>
            <w:tcW w:w="851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0</w:t>
            </w:r>
          </w:p>
        </w:tc>
        <w:tc>
          <w:tcPr>
            <w:tcW w:w="850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0</w:t>
            </w:r>
          </w:p>
        </w:tc>
        <w:tc>
          <w:tcPr>
            <w:tcW w:w="1418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0</w:t>
            </w:r>
          </w:p>
        </w:tc>
        <w:tc>
          <w:tcPr>
            <w:tcW w:w="1276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6</w:t>
            </w:r>
          </w:p>
        </w:tc>
      </w:tr>
      <w:tr w:rsidR="005F10D5" w:rsidRPr="007C0BE9" w:rsidTr="005F10D5">
        <w:tc>
          <w:tcPr>
            <w:tcW w:w="3794" w:type="dxa"/>
          </w:tcPr>
          <w:p w:rsidR="005F10D5" w:rsidRPr="003F27B5" w:rsidRDefault="005F10D5" w:rsidP="00CF2CAD">
            <w:pPr>
              <w:spacing w:before="0" w:after="0"/>
              <w:jc w:val="both"/>
            </w:pPr>
            <w:r w:rsidRPr="003F27B5">
              <w:t xml:space="preserve">Počet ukončených </w:t>
            </w:r>
            <w:r w:rsidR="003F27B5" w:rsidRPr="003F27B5">
              <w:t>malých</w:t>
            </w:r>
            <w:r w:rsidRPr="003F27B5">
              <w:t xml:space="preserve"> </w:t>
            </w:r>
            <w:r w:rsidR="003F27B5" w:rsidRPr="003F27B5">
              <w:t>center</w:t>
            </w:r>
          </w:p>
        </w:tc>
        <w:tc>
          <w:tcPr>
            <w:tcW w:w="850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1</w:t>
            </w:r>
          </w:p>
        </w:tc>
        <w:tc>
          <w:tcPr>
            <w:tcW w:w="851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15</w:t>
            </w:r>
          </w:p>
        </w:tc>
        <w:tc>
          <w:tcPr>
            <w:tcW w:w="850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16</w:t>
            </w:r>
          </w:p>
        </w:tc>
        <w:tc>
          <w:tcPr>
            <w:tcW w:w="1418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3</w:t>
            </w:r>
          </w:p>
        </w:tc>
        <w:tc>
          <w:tcPr>
            <w:tcW w:w="1276" w:type="dxa"/>
          </w:tcPr>
          <w:p w:rsidR="005F10D5" w:rsidRPr="007C0BE9" w:rsidRDefault="005F10D5" w:rsidP="00CF2CAD">
            <w:pPr>
              <w:spacing w:before="0" w:after="0"/>
              <w:jc w:val="both"/>
            </w:pPr>
            <w:r w:rsidRPr="007C0BE9">
              <w:t>7</w:t>
            </w:r>
          </w:p>
        </w:tc>
      </w:tr>
    </w:tbl>
    <w:p w:rsidR="003F27B5" w:rsidRDefault="003F27B5" w:rsidP="00CF2CAD">
      <w:pPr>
        <w:pStyle w:val="Nadpis2"/>
        <w:jc w:val="both"/>
        <w:rPr>
          <w:b w:val="0"/>
          <w:color w:val="auto"/>
          <w:sz w:val="20"/>
        </w:rPr>
      </w:pPr>
    </w:p>
    <w:p w:rsidR="007A2225" w:rsidRPr="003F27B5" w:rsidRDefault="007A2225" w:rsidP="00CF2CAD">
      <w:pPr>
        <w:pStyle w:val="Nadpis2"/>
        <w:jc w:val="both"/>
        <w:rPr>
          <w:b w:val="0"/>
          <w:color w:val="auto"/>
          <w:sz w:val="22"/>
        </w:rPr>
      </w:pPr>
      <w:r w:rsidRPr="002E3F55">
        <w:rPr>
          <w:b w:val="0"/>
          <w:color w:val="auto"/>
          <w:sz w:val="22"/>
        </w:rPr>
        <w:t>Tabulka 3 - čerpání prostředků OP VaVpI (k 1.</w:t>
      </w:r>
      <w:r w:rsidR="00F95425" w:rsidRPr="002E3F55">
        <w:rPr>
          <w:b w:val="0"/>
          <w:color w:val="auto"/>
          <w:sz w:val="22"/>
        </w:rPr>
        <w:t xml:space="preserve"> </w:t>
      </w:r>
      <w:r w:rsidRPr="002E3F55">
        <w:rPr>
          <w:b w:val="0"/>
          <w:color w:val="auto"/>
          <w:sz w:val="22"/>
        </w:rPr>
        <w:t>2. 2015)</w:t>
      </w:r>
      <w:r w:rsidR="004201D2">
        <w:rPr>
          <w:b w:val="0"/>
          <w:color w:val="auto"/>
          <w:sz w:val="22"/>
        </w:rPr>
        <w:t xml:space="preserve"> na podporu VaVpI-c</w:t>
      </w:r>
      <w:r w:rsidR="003F27B5" w:rsidRPr="002E3F55">
        <w:rPr>
          <w:b w:val="0"/>
          <w:color w:val="auto"/>
          <w:sz w:val="22"/>
        </w:rPr>
        <w:t>enter</w:t>
      </w:r>
    </w:p>
    <w:p w:rsidR="007A2225" w:rsidRDefault="007A2225" w:rsidP="00CF2CAD">
      <w:pPr>
        <w:pStyle w:val="Nadpis2"/>
        <w:jc w:val="both"/>
        <w:rPr>
          <w:color w:val="auto"/>
          <w:sz w:val="22"/>
        </w:rPr>
      </w:pPr>
    </w:p>
    <w:tbl>
      <w:tblPr>
        <w:tblW w:w="7725" w:type="dxa"/>
        <w:tblInd w:w="6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160"/>
        <w:gridCol w:w="336"/>
        <w:gridCol w:w="638"/>
        <w:gridCol w:w="425"/>
        <w:gridCol w:w="567"/>
        <w:gridCol w:w="355"/>
        <w:gridCol w:w="212"/>
        <w:gridCol w:w="355"/>
        <w:gridCol w:w="921"/>
        <w:gridCol w:w="141"/>
        <w:gridCol w:w="851"/>
        <w:gridCol w:w="71"/>
        <w:gridCol w:w="496"/>
        <w:gridCol w:w="71"/>
        <w:gridCol w:w="1063"/>
      </w:tblGrid>
      <w:tr w:rsidR="002F30F4" w:rsidRPr="006B4C02" w:rsidTr="0075749B">
        <w:trPr>
          <w:trHeight w:val="255"/>
        </w:trPr>
        <w:tc>
          <w:tcPr>
            <w:tcW w:w="1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92D050"/>
            <w:vAlign w:val="center"/>
            <w:hideMark/>
          </w:tcPr>
          <w:p w:rsidR="002F30F4" w:rsidRPr="006B4C02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4C02">
              <w:rPr>
                <w:rFonts w:ascii="Arial" w:hAnsi="Arial" w:cs="Arial"/>
                <w:b/>
                <w:bCs/>
                <w:sz w:val="16"/>
                <w:szCs w:val="16"/>
              </w:rPr>
              <w:t>Prioritní osa/oblast podpory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2F30F4" w:rsidRPr="006B4C02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4C02">
              <w:rPr>
                <w:rFonts w:ascii="Arial" w:hAnsi="Arial" w:cs="Arial"/>
                <w:b/>
                <w:bCs/>
                <w:sz w:val="16"/>
                <w:szCs w:val="16"/>
              </w:rPr>
              <w:t>Alokace</w:t>
            </w:r>
          </w:p>
        </w:tc>
        <w:tc>
          <w:tcPr>
            <w:tcW w:w="5528" w:type="dxa"/>
            <w:gridSpan w:val="1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Pr="006B4C02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B4C02">
              <w:rPr>
                <w:rFonts w:ascii="Arial" w:hAnsi="Arial" w:cs="Arial"/>
                <w:b/>
                <w:bCs/>
                <w:sz w:val="16"/>
                <w:szCs w:val="16"/>
              </w:rPr>
              <w:t>Projekty</w:t>
            </w:r>
          </w:p>
        </w:tc>
      </w:tr>
      <w:tr w:rsidR="002F30F4" w:rsidTr="0075749B">
        <w:trPr>
          <w:trHeight w:val="274"/>
        </w:trPr>
        <w:tc>
          <w:tcPr>
            <w:tcW w:w="12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Celková alokace 2007 - 2013</w:t>
            </w:r>
          </w:p>
        </w:tc>
        <w:tc>
          <w:tcPr>
            <w:tcW w:w="283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Projekty s vydaným Rozhodnutím</w:t>
            </w:r>
          </w:p>
        </w:tc>
        <w:tc>
          <w:tcPr>
            <w:tcW w:w="2693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Proplacené prostředky příjemcům</w:t>
            </w:r>
          </w:p>
        </w:tc>
      </w:tr>
      <w:tr w:rsidR="002F30F4" w:rsidTr="0075749B">
        <w:trPr>
          <w:trHeight w:val="552"/>
        </w:trPr>
        <w:tc>
          <w:tcPr>
            <w:tcW w:w="12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 (b/a)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Porovnání se stavem k 31.12.2014 (v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 (e/a)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Porovnání se stavem k 31.12.2014 (v </w:t>
            </w:r>
          </w:p>
        </w:tc>
      </w:tr>
      <w:tr w:rsidR="002F30F4" w:rsidTr="0075749B">
        <w:trPr>
          <w:trHeight w:val="270"/>
        </w:trPr>
        <w:tc>
          <w:tcPr>
            <w:tcW w:w="12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g</w:t>
            </w:r>
          </w:p>
        </w:tc>
      </w:tr>
      <w:tr w:rsidR="002F30F4" w:rsidTr="0075749B">
        <w:trPr>
          <w:trHeight w:val="270"/>
        </w:trPr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F30F4" w:rsidRDefault="00812D0E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Velká centra</w:t>
            </w:r>
            <w:r w:rsidR="002F30F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21 856 138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20 051 581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92%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12 938 502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59%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2,2%</w:t>
            </w:r>
          </w:p>
        </w:tc>
      </w:tr>
      <w:tr w:rsidR="002F30F4" w:rsidTr="0075749B">
        <w:trPr>
          <w:trHeight w:val="270"/>
        </w:trPr>
        <w:tc>
          <w:tcPr>
            <w:tcW w:w="1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F30F4" w:rsidRDefault="00812D0E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Malá centra</w:t>
            </w:r>
            <w:r w:rsidR="002F30F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7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21 421 862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20 307 718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17 236 330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1,8%</w:t>
            </w:r>
          </w:p>
        </w:tc>
      </w:tr>
      <w:tr w:rsidR="002F30F4" w:rsidTr="003E2D74">
        <w:trPr>
          <w:trHeight w:val="453"/>
        </w:trPr>
        <w:tc>
          <w:tcPr>
            <w:tcW w:w="26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Vyúčtované prostředky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Souhrnné žádosti zaúčtované PCO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Certifikované výdaje předložené EK</w:t>
            </w:r>
          </w:p>
        </w:tc>
      </w:tr>
      <w:tr w:rsidR="002F30F4" w:rsidTr="003E2D74">
        <w:trPr>
          <w:trHeight w:val="559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Kč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 (h/a)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Porovnání se stavem k 31.12.2014 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Kč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 (k/a)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Porovnání se stavem k 31.12.2014 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Kč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% (n/a)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Porovnání se stavem k 31.12.2014 </w:t>
            </w:r>
          </w:p>
        </w:tc>
      </w:tr>
      <w:tr w:rsidR="002F30F4" w:rsidTr="003E2D74">
        <w:trPr>
          <w:trHeight w:val="126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j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 </w:t>
            </w:r>
          </w:p>
        </w:tc>
      </w:tr>
      <w:tr w:rsidR="002F30F4" w:rsidTr="003E2D74">
        <w:trPr>
          <w:trHeight w:val="270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9 812 668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45%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9 812 668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45%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9 810 415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45%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</w:p>
        </w:tc>
      </w:tr>
      <w:tr w:rsidR="002F30F4" w:rsidTr="003E2D74">
        <w:trPr>
          <w:trHeight w:val="263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15 189 844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71%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93C34">
              <w:rPr>
                <w:rFonts w:ascii="Arial" w:hAnsi="Arial" w:cs="Arial"/>
                <w:b/>
                <w:bCs/>
                <w:sz w:val="14"/>
                <w:szCs w:val="16"/>
              </w:rPr>
              <w:t>15 189 618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71%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93C34">
              <w:rPr>
                <w:rFonts w:ascii="Arial" w:hAnsi="Arial" w:cs="Arial"/>
                <w:b/>
                <w:bCs/>
                <w:sz w:val="14"/>
                <w:szCs w:val="16"/>
              </w:rPr>
              <w:t>15 104 608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71%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2F30F4" w:rsidRDefault="002F30F4" w:rsidP="00CF2CAD">
            <w:pPr>
              <w:spacing w:before="0" w:after="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12,5%</w:t>
            </w:r>
          </w:p>
        </w:tc>
      </w:tr>
    </w:tbl>
    <w:p w:rsidR="005F10D5" w:rsidRPr="002E3F55" w:rsidRDefault="000C556B" w:rsidP="00CF2CAD">
      <w:pPr>
        <w:pStyle w:val="Nadpis2"/>
        <w:jc w:val="both"/>
        <w:rPr>
          <w:b w:val="0"/>
          <w:color w:val="auto"/>
          <w:sz w:val="22"/>
        </w:rPr>
      </w:pPr>
      <w:r w:rsidRPr="002E3F55">
        <w:rPr>
          <w:b w:val="0"/>
          <w:color w:val="auto"/>
          <w:sz w:val="22"/>
        </w:rPr>
        <w:t>Zdroj: MŠMT</w:t>
      </w:r>
    </w:p>
    <w:p w:rsidR="00151A9B" w:rsidRPr="003307AF" w:rsidRDefault="00450FB7" w:rsidP="00CF2CAD">
      <w:pPr>
        <w:pStyle w:val="Nadpis2"/>
        <w:numPr>
          <w:ilvl w:val="1"/>
          <w:numId w:val="17"/>
        </w:numPr>
        <w:jc w:val="both"/>
        <w:rPr>
          <w:rFonts w:asciiTheme="minorHAnsi" w:hAnsiTheme="minorHAnsi"/>
          <w:color w:val="auto"/>
          <w:sz w:val="22"/>
        </w:rPr>
      </w:pPr>
      <w:r>
        <w:rPr>
          <w:color w:val="auto"/>
          <w:sz w:val="22"/>
        </w:rPr>
        <w:t xml:space="preserve"> </w:t>
      </w:r>
      <w:r w:rsidR="00911D58" w:rsidRPr="003307AF">
        <w:rPr>
          <w:rFonts w:asciiTheme="minorHAnsi" w:hAnsiTheme="minorHAnsi"/>
          <w:color w:val="auto"/>
          <w:sz w:val="22"/>
        </w:rPr>
        <w:t>Velká centra</w:t>
      </w:r>
    </w:p>
    <w:p w:rsidR="00151A9B" w:rsidRPr="007C0BE9" w:rsidRDefault="00151A9B" w:rsidP="00CF2CAD">
      <w:pPr>
        <w:spacing w:before="120" w:after="0"/>
        <w:jc w:val="both"/>
      </w:pPr>
      <w:r w:rsidRPr="007C0BE9">
        <w:t>V rámci PO1 a PO2 je celkově podpoře</w:t>
      </w:r>
      <w:r w:rsidR="00F95425">
        <w:t>no</w:t>
      </w:r>
      <w:r w:rsidRPr="007C0BE9">
        <w:t xml:space="preserve"> 6 velkých </w:t>
      </w:r>
      <w:r w:rsidR="00911D58">
        <w:t>center:</w:t>
      </w:r>
    </w:p>
    <w:p w:rsidR="00151A9B" w:rsidRPr="007C0BE9" w:rsidRDefault="00151A9B" w:rsidP="00CF2CAD">
      <w:pPr>
        <w:pStyle w:val="Odstavecseseznamem"/>
        <w:numPr>
          <w:ilvl w:val="0"/>
          <w:numId w:val="3"/>
        </w:numPr>
        <w:spacing w:before="0"/>
        <w:jc w:val="both"/>
      </w:pPr>
      <w:r w:rsidRPr="007C0BE9">
        <w:t>Výzva 1.1</w:t>
      </w:r>
    </w:p>
    <w:p w:rsidR="00151A9B" w:rsidRPr="007C0BE9" w:rsidRDefault="00151A9B" w:rsidP="00CF2CAD">
      <w:pPr>
        <w:pStyle w:val="Odstavecseseznamem"/>
        <w:numPr>
          <w:ilvl w:val="1"/>
          <w:numId w:val="3"/>
        </w:numPr>
        <w:spacing w:before="0"/>
        <w:jc w:val="both"/>
      </w:pPr>
      <w:r w:rsidRPr="007C0BE9">
        <w:t>ELI: EXTREME LIGHT INFRASTRUCTURE (ELI)</w:t>
      </w:r>
      <w:r w:rsidR="00F95425">
        <w:t>,</w:t>
      </w:r>
      <w:r w:rsidRPr="007C0BE9">
        <w:t xml:space="preserve"> </w:t>
      </w:r>
    </w:p>
    <w:p w:rsidR="00151A9B" w:rsidRPr="007C0BE9" w:rsidRDefault="00151A9B" w:rsidP="00CF2CAD">
      <w:pPr>
        <w:pStyle w:val="Odstavecseseznamem"/>
        <w:numPr>
          <w:ilvl w:val="1"/>
          <w:numId w:val="3"/>
        </w:numPr>
        <w:spacing w:before="0"/>
        <w:jc w:val="both"/>
      </w:pPr>
      <w:r w:rsidRPr="007C0BE9">
        <w:t xml:space="preserve">Biotechnologické a biomedicínské centrum Akademie věd </w:t>
      </w:r>
      <w:r w:rsidR="00560D85">
        <w:t xml:space="preserve">ČR </w:t>
      </w:r>
      <w:r w:rsidRPr="007C0BE9">
        <w:t>a Univerzity Karlovy</w:t>
      </w:r>
      <w:r w:rsidR="00560D85">
        <w:t xml:space="preserve"> v Praze</w:t>
      </w:r>
      <w:r w:rsidRPr="007C0BE9">
        <w:t xml:space="preserve"> (BIOCEV)</w:t>
      </w:r>
      <w:r w:rsidR="00F95425">
        <w:t>,</w:t>
      </w:r>
    </w:p>
    <w:p w:rsidR="00151A9B" w:rsidRPr="007C0BE9" w:rsidRDefault="00151A9B" w:rsidP="00CF2CAD">
      <w:pPr>
        <w:pStyle w:val="Odstavecseseznamem"/>
        <w:numPr>
          <w:ilvl w:val="1"/>
          <w:numId w:val="3"/>
        </w:numPr>
        <w:spacing w:before="0"/>
        <w:jc w:val="both"/>
      </w:pPr>
      <w:r w:rsidRPr="007C0BE9">
        <w:t>CEITEC-středoevropský technologický institut (CEITEC)</w:t>
      </w:r>
      <w:r w:rsidR="00F95425">
        <w:t>,</w:t>
      </w:r>
    </w:p>
    <w:p w:rsidR="00151A9B" w:rsidRPr="007C0BE9" w:rsidRDefault="00151A9B" w:rsidP="00CF2CAD">
      <w:pPr>
        <w:pStyle w:val="Odstavecseseznamem"/>
        <w:numPr>
          <w:ilvl w:val="1"/>
          <w:numId w:val="3"/>
        </w:numPr>
        <w:spacing w:before="0"/>
        <w:jc w:val="both"/>
      </w:pPr>
      <w:r w:rsidRPr="007C0BE9">
        <w:t>Fakultní nemocnice u sv. Anny v Brně - Mezinárodní centrum klinického výzkumu (FNUSA – ICRC)</w:t>
      </w:r>
      <w:r w:rsidR="00F95425">
        <w:t>,</w:t>
      </w:r>
    </w:p>
    <w:p w:rsidR="00151A9B" w:rsidRPr="007C0BE9" w:rsidRDefault="00151A9B" w:rsidP="00CF2CAD">
      <w:pPr>
        <w:pStyle w:val="Odstavecseseznamem"/>
        <w:numPr>
          <w:ilvl w:val="1"/>
          <w:numId w:val="3"/>
        </w:numPr>
        <w:spacing w:before="0"/>
        <w:jc w:val="both"/>
      </w:pPr>
      <w:r w:rsidRPr="007C0BE9">
        <w:t>Centrum excelence IT4Inovations (IT4I)</w:t>
      </w:r>
      <w:r w:rsidR="00F95425">
        <w:t>.</w:t>
      </w:r>
    </w:p>
    <w:p w:rsidR="00151A9B" w:rsidRPr="007C0BE9" w:rsidRDefault="00151A9B" w:rsidP="00CF2CAD">
      <w:pPr>
        <w:pStyle w:val="Odstavecseseznamem"/>
        <w:numPr>
          <w:ilvl w:val="0"/>
          <w:numId w:val="3"/>
        </w:numPr>
        <w:spacing w:before="0" w:line="276" w:lineRule="auto"/>
        <w:ind w:left="714" w:hanging="357"/>
        <w:jc w:val="both"/>
      </w:pPr>
      <w:r w:rsidRPr="007C0BE9">
        <w:t>Výzva 2.2</w:t>
      </w:r>
    </w:p>
    <w:p w:rsidR="00151A9B" w:rsidRPr="007C0BE9" w:rsidRDefault="00151A9B" w:rsidP="00CF2CAD">
      <w:pPr>
        <w:pStyle w:val="Odstavecseseznamem"/>
        <w:numPr>
          <w:ilvl w:val="1"/>
          <w:numId w:val="3"/>
        </w:numPr>
        <w:spacing w:before="0" w:line="276" w:lineRule="auto"/>
        <w:jc w:val="both"/>
      </w:pPr>
      <w:r w:rsidRPr="007C0BE9">
        <w:t xml:space="preserve">UDRŽITELNÁ ENERGETIKA (SUSEN). </w:t>
      </w:r>
    </w:p>
    <w:p w:rsidR="00151A9B" w:rsidRPr="007C0BE9" w:rsidRDefault="00D568FD" w:rsidP="00CF2CAD">
      <w:pPr>
        <w:jc w:val="both"/>
      </w:pPr>
      <w:r>
        <w:t>V případě center podpořených v rámci PO 1 se jedná</w:t>
      </w:r>
      <w:r w:rsidR="00151A9B" w:rsidRPr="007C0BE9">
        <w:t xml:space="preserve"> o projekty, jejichž primárním cílem je vytvořit centra excelence, která svým dopadem, vybavením, jedinečnou strukturou a kritickou velikostí přispívají k propojení a větší integraci předních českých VaV týmů na mezinárodní úroveň.</w:t>
      </w:r>
      <w:r w:rsidR="006568F4">
        <w:t xml:space="preserve"> Centrum </w:t>
      </w:r>
      <w:r w:rsidR="006568F4">
        <w:lastRenderedPageBreak/>
        <w:t>(SUSEN) je podpořené v rámci PO 2 - Regionální VaV centra, která</w:t>
      </w:r>
      <w:r w:rsidR="006568F4" w:rsidRPr="00D119A9">
        <w:t xml:space="preserve"> jsou zaměřena na aplikovaný výzkum a spolupráci s aplikační sférou a mají přispět k prohloubení regionálních</w:t>
      </w:r>
      <w:r w:rsidR="00560D85">
        <w:t>,</w:t>
      </w:r>
      <w:r w:rsidR="006568F4" w:rsidRPr="00D119A9">
        <w:t xml:space="preserve"> ekonomických a technologických specializací.</w:t>
      </w:r>
    </w:p>
    <w:p w:rsidR="00151A9B" w:rsidRPr="007C0BE9" w:rsidRDefault="00151A9B" w:rsidP="00CF2CAD">
      <w:pPr>
        <w:spacing w:after="0"/>
        <w:jc w:val="both"/>
      </w:pPr>
      <w:r w:rsidRPr="007C0BE9">
        <w:rPr>
          <w:u w:val="single"/>
        </w:rPr>
        <w:t>Realizace</w:t>
      </w:r>
      <w:r w:rsidRPr="007C0BE9">
        <w:t>:</w:t>
      </w:r>
    </w:p>
    <w:p w:rsidR="00151A9B" w:rsidRPr="00244FA4" w:rsidRDefault="005E60BB" w:rsidP="00CF2CAD">
      <w:pPr>
        <w:spacing w:before="120"/>
        <w:jc w:val="both"/>
      </w:pPr>
      <w:r>
        <w:t xml:space="preserve">Realizace všech velkých </w:t>
      </w:r>
      <w:r w:rsidR="00911D58">
        <w:t>center</w:t>
      </w:r>
      <w:r>
        <w:t xml:space="preserve"> v současnosti probíhá. U všech</w:t>
      </w:r>
      <w:r w:rsidR="00151A9B" w:rsidRPr="007C0BE9">
        <w:t xml:space="preserve"> velkých </w:t>
      </w:r>
      <w:r w:rsidR="00A11C59">
        <w:t>center</w:t>
      </w:r>
      <w:r w:rsidR="00151A9B" w:rsidRPr="007C0BE9">
        <w:t xml:space="preserve"> se objevilo několik problematických okamžiků společných pro všechny velké projekty</w:t>
      </w:r>
      <w:r w:rsidR="00560D85">
        <w:t>.</w:t>
      </w:r>
      <w:r w:rsidR="00151A9B" w:rsidRPr="007C0BE9">
        <w:t xml:space="preserve"> </w:t>
      </w:r>
      <w:r w:rsidR="006568F4">
        <w:t xml:space="preserve">Především jde o </w:t>
      </w:r>
      <w:r w:rsidR="00151A9B" w:rsidRPr="007C0BE9">
        <w:t>novelizac</w:t>
      </w:r>
      <w:r w:rsidR="006568F4">
        <w:t>i</w:t>
      </w:r>
      <w:r w:rsidR="00151A9B" w:rsidRPr="007C0BE9">
        <w:t xml:space="preserve"> Zákona o veřejných zakázkách (ZVZ), která projektům způsobila významné potíže, především nutností opakovat veřejnou zakázku, pokud byla doručena pouze jedna nabídka. V případě unikátních technologií se jednalo o závažnou komplikaci mající za následek zpoždění a prodlužování harmonogramů. Současně nelze opomenout, že tato novelizace měla dopad i do stavebních zakázek a následně opět i do harmonogramu projektů. Stavební práce obecně lze vnímat jako druhý problematický bod, jelikož v případě velkých projektů jsou tyto práce prováděny v takovém rozsahu,</w:t>
      </w:r>
      <w:r w:rsidR="00244FA4">
        <w:t xml:space="preserve"> že jejich realizace byla prakticky u všech </w:t>
      </w:r>
      <w:r w:rsidR="00151A9B" w:rsidRPr="007C0BE9">
        <w:t>ovlivněna objektivně nepředvídatelnými okolnostmi (archeologické průzkumy, roz</w:t>
      </w:r>
      <w:r w:rsidR="00244FA4">
        <w:t>dílná podloží, dodržení rozpočtu atd.</w:t>
      </w:r>
      <w:r w:rsidR="00151A9B" w:rsidRPr="007C0BE9">
        <w:t xml:space="preserve">). Z výše uvedeného vyplývá, že realizace většiny velkých projektů je více či méně opožděna v harmonogramu. </w:t>
      </w:r>
      <w:r w:rsidR="00151A9B" w:rsidRPr="00244FA4">
        <w:t xml:space="preserve">Nicméně u 4 z 6 velkých projektů toto zpoždění není takového charakteru, aby, dle známých okolností, docházelo k prodloužení realizace. </w:t>
      </w:r>
    </w:p>
    <w:p w:rsidR="00151A9B" w:rsidRPr="007C0BE9" w:rsidRDefault="00151A9B" w:rsidP="00CF2CAD">
      <w:pPr>
        <w:spacing w:after="0"/>
        <w:jc w:val="both"/>
        <w:rPr>
          <w:u w:val="single"/>
        </w:rPr>
      </w:pPr>
      <w:r w:rsidRPr="007C0BE9">
        <w:rPr>
          <w:u w:val="single"/>
        </w:rPr>
        <w:t xml:space="preserve">Ukončování: </w:t>
      </w:r>
    </w:p>
    <w:p w:rsidR="00151A9B" w:rsidRPr="007C0BE9" w:rsidRDefault="00244FA4" w:rsidP="00CF2CAD">
      <w:pPr>
        <w:spacing w:before="120" w:after="0"/>
        <w:jc w:val="both"/>
      </w:pPr>
      <w:r>
        <w:t xml:space="preserve">K datu konce února 2015 </w:t>
      </w:r>
      <w:r w:rsidR="00151A9B" w:rsidRPr="007C0BE9">
        <w:t xml:space="preserve">z velkých </w:t>
      </w:r>
      <w:r w:rsidR="00911D58">
        <w:t>center</w:t>
      </w:r>
      <w:r w:rsidR="00151A9B" w:rsidRPr="007C0BE9">
        <w:t xml:space="preserve"> není</w:t>
      </w:r>
      <w:r>
        <w:t xml:space="preserve"> </w:t>
      </w:r>
      <w:r w:rsidR="00560D85">
        <w:t>žádné</w:t>
      </w:r>
      <w:r w:rsidR="00151A9B" w:rsidRPr="007C0BE9">
        <w:t xml:space="preserve"> dokončen</w:t>
      </w:r>
      <w:r w:rsidR="00560D85">
        <w:t>o</w:t>
      </w:r>
      <w:r w:rsidR="00151A9B" w:rsidRPr="007C0BE9">
        <w:t xml:space="preserve">. Ukončení realizace bylo u všech těchto projektů stanoveno na 31. prosince 2015. </w:t>
      </w:r>
    </w:p>
    <w:p w:rsidR="00151A9B" w:rsidRPr="007C0BE9" w:rsidRDefault="00151A9B" w:rsidP="00CF2CAD">
      <w:pPr>
        <w:spacing w:before="120" w:after="0"/>
        <w:jc w:val="both"/>
      </w:pPr>
      <w:r w:rsidRPr="00A11C59">
        <w:rPr>
          <w:b/>
          <w:i/>
        </w:rPr>
        <w:t>Výjimku v tomto případě představují dva projekty – ELI a SUSEN.</w:t>
      </w:r>
      <w:r w:rsidRPr="007C0BE9">
        <w:t xml:space="preserve"> U obou projektů došlo k tak zásadním posunům harmonogramu, že bylo nutné, aby projekty přistoupily k </w:t>
      </w:r>
      <w:r w:rsidRPr="005E60BB">
        <w:rPr>
          <w:b/>
          <w:i/>
        </w:rPr>
        <w:t>procesu fázování</w:t>
      </w:r>
      <w:r w:rsidRPr="007C0BE9">
        <w:t xml:space="preserve">. Jedná se o proces, v rámci něhož dojde k rozdělení jednoho velkého projektu do dvou operačních období </w:t>
      </w:r>
      <w:r w:rsidRPr="007C0BE9">
        <w:br/>
        <w:t>(v tomto konkrétním případě se jedná o rozdělení mezi OP VaVpI a OP VVV)</w:t>
      </w:r>
      <w:r w:rsidR="006568F4">
        <w:t>, přičemž celková dotace zůstane v původní výši.</w:t>
      </w:r>
    </w:p>
    <w:p w:rsidR="00151A9B" w:rsidRPr="007C0BE9" w:rsidRDefault="00151A9B" w:rsidP="00CF2CAD">
      <w:pPr>
        <w:jc w:val="both"/>
      </w:pPr>
      <w:r w:rsidRPr="007C0BE9">
        <w:t xml:space="preserve">V případě </w:t>
      </w:r>
      <w:r w:rsidR="00911D58">
        <w:t>centra</w:t>
      </w:r>
      <w:r w:rsidRPr="007C0BE9">
        <w:t xml:space="preserve"> ELI již probíhají jednání s Evropskou komisí v otázce fázování projektu od </w:t>
      </w:r>
      <w:r w:rsidRPr="007C0BE9">
        <w:br/>
        <w:t xml:space="preserve">roku 2012. Důvodem pro fázování je unikátnost, komplexnost a vysoká technologická náročnost celého projektu (některé z plánovaných laserových technologií samy procházejí v současné době vývojem u zahraničních dodavatelů). Z objektivních důvodů nebylo možno jednoznačně odhadnout délku </w:t>
      </w:r>
      <w:r w:rsidR="00560D85">
        <w:t>trvání jednotlivých etap vývoje;</w:t>
      </w:r>
      <w:r w:rsidRPr="007C0BE9">
        <w:t xml:space="preserve"> projekt se tedy dostal do zpoždění a fázování se jeví jako přijatelná varianta řešení. </w:t>
      </w:r>
    </w:p>
    <w:p w:rsidR="00151A9B" w:rsidRDefault="00151A9B" w:rsidP="00CF2CAD">
      <w:pPr>
        <w:jc w:val="both"/>
      </w:pPr>
      <w:r w:rsidRPr="007C0BE9">
        <w:t xml:space="preserve">S </w:t>
      </w:r>
      <w:r w:rsidR="00911D58">
        <w:t>centrem</w:t>
      </w:r>
      <w:r w:rsidRPr="007C0BE9">
        <w:t xml:space="preserve"> SUSEN bylo jednání v otázce fázování zahájeno na podzim 2014.  Hlavním důvodem pro fázování tohoto projektu je negativní dopad novely Zákona o veřejných zakázkách (ZVZ) na výzkumnou organizaci, která poptává dodávky služeb a technologií, jež nabízí pouze omezený okruh dodavatelů. Z tohoto důvodu dochází v projektu ke zpoždění dodávek podstatných technologií, což návazně zpožďuje realizaci celého projektu společně s jeho výsledky a výstupy. Částečně bylo zpoždění realizace dáno také složitou situací v celé oblasti jaderné energetiky v období po havárii jaderné elektrárny v japonské Fukušimě – projekt musel na celosvětový posun v přístupu k jaderné energetice reagovat úpravami některých svých parametrů.</w:t>
      </w:r>
    </w:p>
    <w:p w:rsidR="004E1E62" w:rsidRDefault="004E1E62" w:rsidP="00CF2CAD">
      <w:pPr>
        <w:pStyle w:val="Nadpis2"/>
        <w:jc w:val="both"/>
        <w:rPr>
          <w:color w:val="auto"/>
          <w:sz w:val="22"/>
        </w:rPr>
      </w:pPr>
    </w:p>
    <w:p w:rsidR="00151A9B" w:rsidRPr="003307AF" w:rsidRDefault="00450FB7" w:rsidP="00CF2CAD">
      <w:pPr>
        <w:pStyle w:val="Nadpis2"/>
        <w:numPr>
          <w:ilvl w:val="1"/>
          <w:numId w:val="17"/>
        </w:numPr>
        <w:jc w:val="both"/>
        <w:rPr>
          <w:rFonts w:asciiTheme="minorHAnsi" w:hAnsiTheme="minorHAnsi"/>
          <w:color w:val="auto"/>
          <w:sz w:val="22"/>
        </w:rPr>
      </w:pPr>
      <w:r w:rsidRPr="003307AF">
        <w:rPr>
          <w:rFonts w:asciiTheme="minorHAnsi" w:hAnsiTheme="minorHAnsi"/>
          <w:color w:val="auto"/>
          <w:sz w:val="22"/>
        </w:rPr>
        <w:t xml:space="preserve">  </w:t>
      </w:r>
      <w:r w:rsidR="00911D58" w:rsidRPr="003307AF">
        <w:rPr>
          <w:rFonts w:asciiTheme="minorHAnsi" w:hAnsiTheme="minorHAnsi"/>
          <w:color w:val="auto"/>
          <w:sz w:val="22"/>
        </w:rPr>
        <w:t>Malá centra</w:t>
      </w:r>
    </w:p>
    <w:p w:rsidR="00151A9B" w:rsidRPr="007C0BE9" w:rsidRDefault="00911D58" w:rsidP="00CF2CAD">
      <w:pPr>
        <w:spacing w:before="120" w:after="0"/>
        <w:jc w:val="both"/>
      </w:pPr>
      <w:r>
        <w:t>V rámci PO 1 byla podpořena</w:t>
      </w:r>
      <w:r w:rsidR="00151A9B" w:rsidRPr="007C0BE9">
        <w:t xml:space="preserve"> 2 </w:t>
      </w:r>
      <w:r>
        <w:t>malá centra</w:t>
      </w:r>
      <w:r w:rsidR="0029275B">
        <w:t>. Ta</w:t>
      </w:r>
      <w:r w:rsidR="00151A9B" w:rsidRPr="007C0BE9">
        <w:t>to centra představují centra excelence, která svým dílem přispívají do výzkumu na mezinárodní úrovni a vykazují výsledky na špičkové úrovni.</w:t>
      </w:r>
    </w:p>
    <w:p w:rsidR="00151A9B" w:rsidRPr="007C0BE9" w:rsidRDefault="00151A9B" w:rsidP="00CF2CAD">
      <w:pPr>
        <w:spacing w:before="120" w:after="0"/>
        <w:jc w:val="both"/>
      </w:pPr>
      <w:r w:rsidRPr="007C0BE9">
        <w:t xml:space="preserve">V rámci PO 2 bylo podpořeno 40 </w:t>
      </w:r>
      <w:r w:rsidR="00911D58">
        <w:t>malých center</w:t>
      </w:r>
      <w:r w:rsidR="0029275B">
        <w:t>, která představují</w:t>
      </w:r>
      <w:r w:rsidRPr="007C0BE9">
        <w:t xml:space="preserve"> regionální </w:t>
      </w:r>
      <w:r w:rsidR="005F10D5">
        <w:t xml:space="preserve">výzkumná </w:t>
      </w:r>
      <w:r w:rsidRPr="007C0BE9">
        <w:t>centra. Tato centra mají za úkol plnit funkci relevantního výzkumného partnera pro spolupráci s aplikační sférou, včetně navazování partnerství s inovativními malými a středními podniky a klastry. Základním parametrem těchto center je adaptace a přenos know-how a to tak, aby docházelo ke zvýšení konkurenceschopnosti jednotlivých regionů ČR.</w:t>
      </w:r>
    </w:p>
    <w:p w:rsidR="00151A9B" w:rsidRPr="007C0BE9" w:rsidRDefault="00151A9B" w:rsidP="00CF2CAD">
      <w:pPr>
        <w:spacing w:before="120" w:after="0"/>
        <w:jc w:val="both"/>
        <w:rPr>
          <w:u w:val="single"/>
        </w:rPr>
      </w:pPr>
      <w:r w:rsidRPr="007C0BE9">
        <w:rPr>
          <w:u w:val="single"/>
        </w:rPr>
        <w:t>Realizace:</w:t>
      </w:r>
    </w:p>
    <w:p w:rsidR="00151A9B" w:rsidRPr="007C0BE9" w:rsidRDefault="00151A9B" w:rsidP="00CF2CAD">
      <w:pPr>
        <w:spacing w:before="120" w:after="0"/>
        <w:jc w:val="both"/>
      </w:pPr>
      <w:r w:rsidRPr="007C0BE9">
        <w:t xml:space="preserve">Realizace </w:t>
      </w:r>
      <w:r w:rsidR="00911D58">
        <w:t xml:space="preserve">malých center </w:t>
      </w:r>
      <w:r w:rsidRPr="007C0BE9">
        <w:t xml:space="preserve">je </w:t>
      </w:r>
      <w:r w:rsidR="00794C35">
        <w:t>uvedena v </w:t>
      </w:r>
      <w:r w:rsidR="00560D85">
        <w:t>T</w:t>
      </w:r>
      <w:r w:rsidR="00794C35">
        <w:t>abulce č. 2</w:t>
      </w:r>
      <w:r w:rsidRPr="007C0BE9">
        <w:t xml:space="preserve"> a je možno konstatovat, že centra jsou s mírnými odchylkami budována tak, jak bylo plánováno a schváleno</w:t>
      </w:r>
      <w:r w:rsidR="00560D85">
        <w:t>.</w:t>
      </w:r>
      <w:r w:rsidR="00794C35">
        <w:t xml:space="preserve"> </w:t>
      </w:r>
      <w:r w:rsidR="00560D85">
        <w:t>P</w:t>
      </w:r>
      <w:r w:rsidR="00794C35">
        <w:t xml:space="preserve">osuny v harmonogramu byly či jsou způsobeny obdobně novelou </w:t>
      </w:r>
      <w:r w:rsidR="00560D85">
        <w:t>Z</w:t>
      </w:r>
      <w:r w:rsidR="00794C35">
        <w:t>ákona o zadávání veřejných zakázek (7 projektů)</w:t>
      </w:r>
      <w:r w:rsidRPr="007C0BE9">
        <w:t xml:space="preserve">. Z pohledu personálního zajištění má většina projektů stabilní výzkumné a manažerské týmy. Tyto personální kapacity společně s více či méně unikátními technologiemi představují silné zázemí </w:t>
      </w:r>
      <w:r w:rsidR="0029275B">
        <w:t>pro aplikovaný výzkum</w:t>
      </w:r>
      <w:r w:rsidRPr="007C0BE9">
        <w:t xml:space="preserve"> v různých oblastech.</w:t>
      </w:r>
    </w:p>
    <w:p w:rsidR="00151A9B" w:rsidRPr="007C0BE9" w:rsidRDefault="00151A9B" w:rsidP="00CF2CAD">
      <w:pPr>
        <w:spacing w:before="120" w:after="0"/>
        <w:jc w:val="both"/>
        <w:rPr>
          <w:u w:val="single"/>
        </w:rPr>
      </w:pPr>
      <w:r w:rsidRPr="007C0BE9">
        <w:rPr>
          <w:u w:val="single"/>
        </w:rPr>
        <w:t xml:space="preserve">Ukončování: </w:t>
      </w:r>
    </w:p>
    <w:p w:rsidR="00151A9B" w:rsidRDefault="00911D58" w:rsidP="00CF2CAD">
      <w:pPr>
        <w:spacing w:before="120" w:after="0"/>
        <w:jc w:val="both"/>
      </w:pPr>
      <w:r>
        <w:t xml:space="preserve">Malých projektů </w:t>
      </w:r>
      <w:r w:rsidR="00151A9B" w:rsidRPr="007C0BE9">
        <w:t>bylo již ukon</w:t>
      </w:r>
      <w:r>
        <w:t>čeno 32, ostatní bud</w:t>
      </w:r>
      <w:r w:rsidR="0029275B">
        <w:t>ou ukončeny do poloviny, resp. konce r. 2015.</w:t>
      </w:r>
    </w:p>
    <w:p w:rsidR="005C37BC" w:rsidRPr="00450FB7" w:rsidRDefault="00450FB7" w:rsidP="00CF2CAD">
      <w:pPr>
        <w:pStyle w:val="Odstavecseseznamem"/>
        <w:numPr>
          <w:ilvl w:val="1"/>
          <w:numId w:val="17"/>
        </w:numPr>
        <w:jc w:val="both"/>
        <w:rPr>
          <w:b/>
        </w:rPr>
      </w:pPr>
      <w:r>
        <w:rPr>
          <w:b/>
        </w:rPr>
        <w:t xml:space="preserve"> </w:t>
      </w:r>
      <w:r w:rsidR="005C37BC" w:rsidRPr="00450FB7">
        <w:rPr>
          <w:b/>
        </w:rPr>
        <w:t xml:space="preserve">Resortní příslušnost </w:t>
      </w:r>
      <w:r w:rsidR="00560D85">
        <w:rPr>
          <w:b/>
        </w:rPr>
        <w:t>VaVpI-c</w:t>
      </w:r>
      <w:r w:rsidR="009320B8" w:rsidRPr="00450FB7">
        <w:rPr>
          <w:b/>
        </w:rPr>
        <w:t>enter</w:t>
      </w:r>
    </w:p>
    <w:p w:rsidR="009320B8" w:rsidRDefault="009320B8" w:rsidP="00CF2CAD">
      <w:pPr>
        <w:jc w:val="both"/>
      </w:pPr>
      <w:r>
        <w:t>Ačkoliv veškerá administrac</w:t>
      </w:r>
      <w:r w:rsidR="00560D85">
        <w:t>e související s podporou VaVpI-c</w:t>
      </w:r>
      <w:r>
        <w:t xml:space="preserve">enter podporovaných z prostředků </w:t>
      </w:r>
      <w:r w:rsidR="00560D85">
        <w:t>O</w:t>
      </w:r>
      <w:r>
        <w:t xml:space="preserve">peračního programu </w:t>
      </w:r>
      <w:r w:rsidR="00CB56C8">
        <w:t xml:space="preserve">Výzkum </w:t>
      </w:r>
      <w:r>
        <w:t>vývoj pro inovace byla</w:t>
      </w:r>
      <w:r w:rsidR="004E1E62">
        <w:t xml:space="preserve"> </w:t>
      </w:r>
      <w:r>
        <w:t>realizována z úrovně MŠMT a stejně tak má být řešena podpora udržitelnosti těchto center</w:t>
      </w:r>
      <w:r w:rsidR="00877F36">
        <w:t>;</w:t>
      </w:r>
      <w:r>
        <w:t xml:space="preserve"> jejich resortní příslušnost, jak uvádí následující obrázek</w:t>
      </w:r>
      <w:r w:rsidR="00877F36">
        <w:t>,</w:t>
      </w:r>
      <w:r>
        <w:t xml:space="preserve"> je různorodá a nespadá jen do kompetence MŠMT, ale i</w:t>
      </w:r>
      <w:r w:rsidR="000B7CBF">
        <w:t xml:space="preserve"> AV ČR a</w:t>
      </w:r>
      <w:r>
        <w:t xml:space="preserve"> dalších resortů.</w:t>
      </w:r>
    </w:p>
    <w:p w:rsidR="009320B8" w:rsidRPr="009320B8" w:rsidRDefault="00CF75F5" w:rsidP="00CF2CAD">
      <w:pPr>
        <w:keepNext/>
        <w:jc w:val="both"/>
      </w:pPr>
      <w:r>
        <w:lastRenderedPageBreak/>
        <w:t xml:space="preserve">Obr 1  </w:t>
      </w:r>
      <w:r w:rsidR="004201D2">
        <w:t>Rozdělení VaVpI-c</w:t>
      </w:r>
      <w:r w:rsidR="00294EAE">
        <w:t>enter podle poskytovatele institucionální podpory</w:t>
      </w:r>
    </w:p>
    <w:p w:rsidR="00877F36" w:rsidRPr="00877F36" w:rsidRDefault="005C37BC" w:rsidP="00CF2CAD">
      <w:pPr>
        <w:keepNext/>
        <w:jc w:val="both"/>
      </w:pPr>
      <w:r w:rsidRPr="00877F36">
        <w:rPr>
          <w:noProof/>
          <w:lang w:eastAsia="cs-CZ"/>
        </w:rPr>
        <w:drawing>
          <wp:inline distT="0" distB="0" distL="0" distR="0" wp14:anchorId="048A04D9" wp14:editId="3DE8A437">
            <wp:extent cx="4883150" cy="1892300"/>
            <wp:effectExtent l="0" t="0" r="12700" b="1270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C37BC" w:rsidRDefault="005C37BC" w:rsidP="00CF2CAD">
      <w:pPr>
        <w:jc w:val="both"/>
        <w:rPr>
          <w:b/>
        </w:rPr>
      </w:pPr>
      <w:r w:rsidRPr="00131ACE">
        <w:rPr>
          <w:b/>
          <w:noProof/>
          <w:lang w:eastAsia="cs-CZ"/>
        </w:rPr>
        <w:drawing>
          <wp:inline distT="0" distB="0" distL="0" distR="0" wp14:anchorId="20F0B257" wp14:editId="4CF67DB6">
            <wp:extent cx="4921858" cy="1876508"/>
            <wp:effectExtent l="0" t="0" r="12700" b="952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63386" w:rsidRDefault="00063386" w:rsidP="00CF2CAD">
      <w:pPr>
        <w:jc w:val="both"/>
        <w:rPr>
          <w:b/>
        </w:rPr>
      </w:pPr>
    </w:p>
    <w:p w:rsidR="00063386" w:rsidRDefault="00560D85" w:rsidP="00CF2CAD">
      <w:pPr>
        <w:pStyle w:val="Odstavecseseznamem"/>
        <w:numPr>
          <w:ilvl w:val="0"/>
          <w:numId w:val="5"/>
        </w:numPr>
        <w:jc w:val="both"/>
        <w:rPr>
          <w:b/>
          <w:sz w:val="24"/>
        </w:rPr>
      </w:pPr>
      <w:r>
        <w:rPr>
          <w:b/>
          <w:sz w:val="24"/>
        </w:rPr>
        <w:t>Udržitelnost VaVpI-c</w:t>
      </w:r>
      <w:r w:rsidR="00063386" w:rsidRPr="00063386">
        <w:rPr>
          <w:b/>
          <w:sz w:val="24"/>
        </w:rPr>
        <w:t>enter</w:t>
      </w:r>
    </w:p>
    <w:p w:rsidR="00843C36" w:rsidRDefault="00843C36" w:rsidP="00CF2CAD">
      <w:pPr>
        <w:jc w:val="both"/>
      </w:pPr>
      <w:r>
        <w:t>Atribut</w:t>
      </w:r>
      <w:r w:rsidR="000B7CBF">
        <w:t xml:space="preserve"> </w:t>
      </w:r>
      <w:r>
        <w:t xml:space="preserve">udržitelnosti předpokládá, že po </w:t>
      </w:r>
      <w:r w:rsidR="00560D85">
        <w:t>uvedení do provozu budou VaVpI-c</w:t>
      </w:r>
      <w:r>
        <w:t>entra plně provozuschopná ve smyslu zaměření uvedeného v každém jedno</w:t>
      </w:r>
      <w:r w:rsidR="000B7CBF">
        <w:t>tlivém projektu centra a že budou</w:t>
      </w:r>
      <w:r>
        <w:t xml:space="preserve"> plnit stanovené indikátory. Jinými slovy, že minimálně po pět let (podmínka financování z OP VaVpI) každé centrum bude </w:t>
      </w:r>
      <w:r w:rsidRPr="00F751E6">
        <w:rPr>
          <w:b/>
          <w:i/>
        </w:rPr>
        <w:t>schopno zabezpečit</w:t>
      </w:r>
      <w:r w:rsidRPr="00F751E6">
        <w:rPr>
          <w:i/>
        </w:rPr>
        <w:t>:</w:t>
      </w:r>
    </w:p>
    <w:p w:rsidR="00843C36" w:rsidRDefault="00843C36" w:rsidP="00CF2CAD">
      <w:pPr>
        <w:pStyle w:val="Odstavecseseznamem"/>
        <w:numPr>
          <w:ilvl w:val="0"/>
          <w:numId w:val="6"/>
        </w:numPr>
        <w:spacing w:before="0"/>
        <w:jc w:val="both"/>
      </w:pPr>
      <w:r>
        <w:t>své provozní náklady,</w:t>
      </w:r>
      <w:r w:rsidR="0029275B">
        <w:t xml:space="preserve"> přitom nedojde k odprodeji budov či jejich pronájmu k jinému účelu, než byl stanoven projektem,</w:t>
      </w:r>
    </w:p>
    <w:p w:rsidR="00843C36" w:rsidRDefault="00843C36" w:rsidP="00CF2CAD">
      <w:pPr>
        <w:pStyle w:val="Odstavecseseznamem"/>
        <w:numPr>
          <w:ilvl w:val="0"/>
          <w:numId w:val="6"/>
        </w:numPr>
        <w:spacing w:before="0"/>
        <w:jc w:val="both"/>
      </w:pPr>
      <w:r>
        <w:t>výzkumné aktivity stanovené projektem,</w:t>
      </w:r>
    </w:p>
    <w:p w:rsidR="00843C36" w:rsidRDefault="00843C36" w:rsidP="00CF2CAD">
      <w:pPr>
        <w:pStyle w:val="Odstavecseseznamem"/>
        <w:numPr>
          <w:ilvl w:val="0"/>
          <w:numId w:val="6"/>
        </w:numPr>
        <w:spacing w:before="0"/>
        <w:jc w:val="both"/>
      </w:pPr>
      <w:r>
        <w:t xml:space="preserve">plnění indikátorů </w:t>
      </w:r>
      <w:r w:rsidR="003E4337">
        <w:t xml:space="preserve">a milníků </w:t>
      </w:r>
      <w:r>
        <w:t>stanovených projektem (</w:t>
      </w:r>
      <w:r w:rsidR="007C0A07">
        <w:t>zejména počet výzkumníků</w:t>
      </w:r>
      <w:r>
        <w:t>)</w:t>
      </w:r>
      <w:r w:rsidR="00877F36">
        <w:t>.</w:t>
      </w:r>
    </w:p>
    <w:p w:rsidR="00843C36" w:rsidRDefault="00560D85" w:rsidP="00CF2CAD">
      <w:pPr>
        <w:jc w:val="both"/>
      </w:pPr>
      <w:r>
        <w:t>V průběhu konce října 2014</w:t>
      </w:r>
      <w:r w:rsidR="000B7CBF">
        <w:t xml:space="preserve"> až poloviny března 2015 proběhl</w:t>
      </w:r>
      <w:r w:rsidR="00843C36">
        <w:t xml:space="preserve"> v rámci pracovní skupiny zmocněnkyně pro udr</w:t>
      </w:r>
      <w:r w:rsidR="000B7CBF">
        <w:t>ži</w:t>
      </w:r>
      <w:r>
        <w:t>telnost monitoring všech VaVpI-c</w:t>
      </w:r>
      <w:r w:rsidR="00843C36">
        <w:t>enter na místě s</w:t>
      </w:r>
      <w:r w:rsidR="000B7CBF">
        <w:t> </w:t>
      </w:r>
      <w:r w:rsidR="00843C36">
        <w:t>cílem prověřit:</w:t>
      </w:r>
    </w:p>
    <w:p w:rsidR="00843C36" w:rsidRDefault="00843C36" w:rsidP="00CF2CAD">
      <w:pPr>
        <w:pStyle w:val="Odstavecseseznamem"/>
        <w:numPr>
          <w:ilvl w:val="0"/>
          <w:numId w:val="6"/>
        </w:numPr>
        <w:spacing w:before="120"/>
        <w:jc w:val="both"/>
      </w:pPr>
      <w:r>
        <w:t>stav centra z hlediska realizace (dostavěno, staví se, pravděpodobný termín uvedení do provozu, rizika dostavby apod.),</w:t>
      </w:r>
    </w:p>
    <w:p w:rsidR="00843C36" w:rsidRDefault="00843C36" w:rsidP="00CF2CAD">
      <w:pPr>
        <w:pStyle w:val="Odstavecseseznamem"/>
        <w:numPr>
          <w:ilvl w:val="0"/>
          <w:numId w:val="6"/>
        </w:numPr>
        <w:spacing w:before="120"/>
        <w:jc w:val="both"/>
      </w:pPr>
      <w:r>
        <w:t>stav výzkumných týmů a jejich aktivity (počet výzkumníků, získané výzkumné tuzemské a zahraniční projekty, dosavadní výstupy apod.),</w:t>
      </w:r>
    </w:p>
    <w:p w:rsidR="00CF75F5" w:rsidRPr="00843C36" w:rsidRDefault="00C12C01" w:rsidP="00DD5702">
      <w:pPr>
        <w:pStyle w:val="Odstavecseseznamem"/>
        <w:numPr>
          <w:ilvl w:val="0"/>
          <w:numId w:val="6"/>
        </w:numPr>
        <w:spacing w:before="120"/>
        <w:jc w:val="both"/>
      </w:pPr>
      <w:r>
        <w:t>zabezpečení udržitelnosti (reáln</w:t>
      </w:r>
      <w:r w:rsidR="00877F36">
        <w:t>ý</w:t>
      </w:r>
      <w:r>
        <w:t xml:space="preserve">/předpokládaný rozsah provozních nákladů a jejich zabezpečení z prostředků příjemce, smluvního výzkumu, tuzemských </w:t>
      </w:r>
      <w:r w:rsidR="003E4337">
        <w:t xml:space="preserve">a </w:t>
      </w:r>
      <w:r>
        <w:t>zahraničních grantů, požadavky na podporu z Národního programu udržitelnosti – NPU</w:t>
      </w:r>
      <w:r w:rsidR="003E4337">
        <w:t xml:space="preserve"> I, resp. NPU II</w:t>
      </w:r>
      <w:r>
        <w:t>)</w:t>
      </w:r>
      <w:r w:rsidR="00877F36">
        <w:t>.</w:t>
      </w:r>
    </w:p>
    <w:p w:rsidR="005C37BC" w:rsidRPr="00DD5702" w:rsidRDefault="00C12C01" w:rsidP="00DD5702">
      <w:pPr>
        <w:pStyle w:val="Odstavecseseznamem"/>
        <w:numPr>
          <w:ilvl w:val="1"/>
          <w:numId w:val="20"/>
        </w:numPr>
        <w:ind w:left="426"/>
        <w:jc w:val="both"/>
        <w:rPr>
          <w:b/>
        </w:rPr>
      </w:pPr>
      <w:r w:rsidRPr="00DD5702">
        <w:rPr>
          <w:b/>
        </w:rPr>
        <w:lastRenderedPageBreak/>
        <w:t>Závěry týkající se udržitelnosti</w:t>
      </w:r>
    </w:p>
    <w:p w:rsidR="000B7CBF" w:rsidRPr="000B7CBF" w:rsidRDefault="000B7CBF" w:rsidP="00CF2CAD">
      <w:pPr>
        <w:jc w:val="both"/>
      </w:pPr>
      <w:r>
        <w:t>Na základě výše uvedeného monitoringu a s přihlédnutím k dosud schváleným podporám z Národního programu udržitelnosti, MŠMT přijalo následujíc</w:t>
      </w:r>
      <w:r w:rsidR="00560D85">
        <w:t>í závěry k udržitelnosti VaVpI-c</w:t>
      </w:r>
      <w:r>
        <w:t>enter:</w:t>
      </w:r>
    </w:p>
    <w:p w:rsidR="00C12C01" w:rsidRPr="00C12C01" w:rsidRDefault="00C12C01" w:rsidP="00CF2CAD">
      <w:pPr>
        <w:pStyle w:val="Odstavecseseznamem"/>
        <w:numPr>
          <w:ilvl w:val="0"/>
          <w:numId w:val="7"/>
        </w:numPr>
        <w:jc w:val="both"/>
        <w:rPr>
          <w:b/>
          <w:i/>
        </w:rPr>
      </w:pPr>
      <w:r w:rsidRPr="00C12C01">
        <w:rPr>
          <w:b/>
          <w:i/>
        </w:rPr>
        <w:t>malá centra</w:t>
      </w:r>
      <w:r>
        <w:rPr>
          <w:b/>
          <w:i/>
        </w:rPr>
        <w:t xml:space="preserve"> </w:t>
      </w:r>
      <w:r>
        <w:t xml:space="preserve">– s vysokou mírou pravděpodobnosti lze předpokládat, že budou do konce programového období, tj. do konce roku 2015 všechna (tj. 42 center) uvedena do provozu a </w:t>
      </w:r>
      <w:r w:rsidRPr="000B7CBF">
        <w:rPr>
          <w:b/>
          <w:i/>
        </w:rPr>
        <w:t>neměly by být zásadní problémy s jejich udržitelností.</w:t>
      </w:r>
    </w:p>
    <w:p w:rsidR="00C12C01" w:rsidRDefault="00C12C01" w:rsidP="00CF2CAD">
      <w:pPr>
        <w:pStyle w:val="Odstavecseseznamem"/>
        <w:spacing w:before="120"/>
        <w:jc w:val="both"/>
      </w:pPr>
      <w:r>
        <w:t>Centra z hlediska rizikovosti lze rozdělit do dvou skupin</w:t>
      </w:r>
      <w:r w:rsidR="003E4337">
        <w:t xml:space="preserve"> (dle zjištění útvaru zmocněnce)</w:t>
      </w:r>
      <w:r>
        <w:t>:</w:t>
      </w:r>
    </w:p>
    <w:p w:rsidR="00C12C01" w:rsidRPr="00C12C01" w:rsidRDefault="00C12C01" w:rsidP="00CF2CAD">
      <w:pPr>
        <w:pStyle w:val="Odstavecseseznamem"/>
        <w:numPr>
          <w:ilvl w:val="0"/>
          <w:numId w:val="8"/>
        </w:numPr>
        <w:spacing w:before="120"/>
        <w:jc w:val="both"/>
        <w:rPr>
          <w:b/>
          <w:i/>
        </w:rPr>
      </w:pPr>
      <w:r>
        <w:t>A – nízké riziko, jde o centra s investičními náklady do cca 400 milionů, zpravidla u fakult či výzkumných ústavů</w:t>
      </w:r>
      <w:r w:rsidR="00AA0765">
        <w:t>,</w:t>
      </w:r>
      <w:r>
        <w:t xml:space="preserve"> a ty většinou odpovědně pečují o jejich provoz, f</w:t>
      </w:r>
      <w:r w:rsidR="000B7CBF">
        <w:t>inancování, výzkumné týmy apod.</w:t>
      </w:r>
    </w:p>
    <w:p w:rsidR="00770EAE" w:rsidRPr="00770EAE" w:rsidRDefault="00C12C01" w:rsidP="00CF2CAD">
      <w:pPr>
        <w:pStyle w:val="Odstavecseseznamem"/>
        <w:numPr>
          <w:ilvl w:val="0"/>
          <w:numId w:val="8"/>
        </w:numPr>
        <w:spacing w:before="120"/>
        <w:jc w:val="both"/>
        <w:rPr>
          <w:b/>
          <w:i/>
        </w:rPr>
      </w:pPr>
      <w:r>
        <w:t xml:space="preserve">B – střední riziko, jde o centra větší s investičními náklady </w:t>
      </w:r>
      <w:r w:rsidR="003E4337">
        <w:t xml:space="preserve">v rozmezí od 400 </w:t>
      </w:r>
      <w:r>
        <w:t xml:space="preserve">do 800 mil., nebo i nižších, která jsou v regionech mimo </w:t>
      </w:r>
      <w:r w:rsidR="00AA0765">
        <w:t>větší města a výzkumníci dojíždějí</w:t>
      </w:r>
      <w:r w:rsidR="00F60FEA">
        <w:t xml:space="preserve"> apod. </w:t>
      </w:r>
      <w:r w:rsidR="005F10D5">
        <w:t>Do této skupiny</w:t>
      </w:r>
      <w:r w:rsidR="00770EAE">
        <w:t xml:space="preserve"> jsou též zařazena dvě centra, která nefungují ve vlastních, nýbrž pronajatých prostorách a může u nich hrozit růst nákladů na p</w:t>
      </w:r>
      <w:r w:rsidR="005F10D5">
        <w:t>ronájem, popř. i výpověď.</w:t>
      </w:r>
      <w:r w:rsidR="00770EAE">
        <w:t xml:space="preserve"> </w:t>
      </w:r>
    </w:p>
    <w:p w:rsidR="00C12C01" w:rsidRPr="00F60FEA" w:rsidRDefault="00F60FEA" w:rsidP="00CF2CAD">
      <w:pPr>
        <w:pStyle w:val="Odstavecseseznamem"/>
        <w:spacing w:before="120"/>
        <w:ind w:left="1440"/>
        <w:jc w:val="both"/>
        <w:rPr>
          <w:b/>
          <w:i/>
        </w:rPr>
      </w:pPr>
      <w:r>
        <w:t xml:space="preserve">U těchto center jsou signalizovány drobné problémy s plněním některých indikátorů </w:t>
      </w:r>
      <w:r w:rsidR="00F07F1C">
        <w:t>(</w:t>
      </w:r>
      <w:r>
        <w:t>plný počet výzkumníků</w:t>
      </w:r>
      <w:r w:rsidR="00F07F1C">
        <w:t>).</w:t>
      </w:r>
      <w:r w:rsidR="00666E34">
        <w:t xml:space="preserve"> </w:t>
      </w:r>
      <w:r w:rsidR="00F07F1C">
        <w:t xml:space="preserve">Do </w:t>
      </w:r>
      <w:r w:rsidR="00666E34">
        <w:t>konce roku 2015 lze předpokládat, že tyto drobné nedostatky budou odstraněny</w:t>
      </w:r>
      <w:r w:rsidR="00280B58">
        <w:t>, jakmile budou malá centra dokončena</w:t>
      </w:r>
      <w:r w:rsidR="00666E34">
        <w:t xml:space="preserve">. Případný růst nákladů na pronájem může komplikovat výši provozních nákladů u dotčených dvou výzkumných center. </w:t>
      </w:r>
    </w:p>
    <w:p w:rsidR="00F60FEA" w:rsidRPr="00F60FEA" w:rsidRDefault="00F60FEA" w:rsidP="00CF2CAD">
      <w:pPr>
        <w:spacing w:before="120"/>
        <w:ind w:left="708"/>
        <w:jc w:val="both"/>
      </w:pPr>
      <w:r>
        <w:t xml:space="preserve">Všeobecně byl monitorován u většiny center nedostatek v plnění indikátoru </w:t>
      </w:r>
      <w:r w:rsidRPr="00F60FEA">
        <w:rPr>
          <w:b/>
        </w:rPr>
        <w:t>smluvní výzkum</w:t>
      </w:r>
      <w:r>
        <w:t xml:space="preserve">, </w:t>
      </w:r>
      <w:r w:rsidR="0029275B">
        <w:t xml:space="preserve">centra dosud byla schopna zabezpečit smluvní výzkum maximálně v rozsahu </w:t>
      </w:r>
      <w:r w:rsidR="0029275B" w:rsidRPr="00E71F54">
        <w:t>do 20 %</w:t>
      </w:r>
      <w:r w:rsidR="00E71F54">
        <w:t xml:space="preserve"> předpokládaných provozních nákladů</w:t>
      </w:r>
      <w:r w:rsidR="0029275B" w:rsidRPr="00E71F54">
        <w:t>.</w:t>
      </w:r>
    </w:p>
    <w:p w:rsidR="00C12C01" w:rsidRDefault="00F60FEA" w:rsidP="00CF2CAD">
      <w:pPr>
        <w:pStyle w:val="Odstavecseseznamem"/>
        <w:numPr>
          <w:ilvl w:val="0"/>
          <w:numId w:val="7"/>
        </w:numPr>
        <w:jc w:val="both"/>
      </w:pPr>
      <w:r>
        <w:rPr>
          <w:b/>
        </w:rPr>
        <w:t xml:space="preserve">velká centra  </w:t>
      </w:r>
      <w:r>
        <w:t xml:space="preserve">- všechna jsou v současnosti ještě ve stádiu výstavby a očekává se, že budou dostavěna do konce r. 2015. </w:t>
      </w:r>
      <w:r w:rsidR="00805A74">
        <w:t xml:space="preserve">Z hlediska rizikovosti jsou tato centra zařazena do skupiny C </w:t>
      </w:r>
      <w:r w:rsidR="00F07F1C">
        <w:t>(</w:t>
      </w:r>
      <w:r w:rsidR="00805A74">
        <w:t>velké riziko</w:t>
      </w:r>
      <w:r w:rsidR="00F07F1C">
        <w:t>)</w:t>
      </w:r>
      <w:r w:rsidR="00805A74">
        <w:t>, a to z </w:t>
      </w:r>
      <w:r w:rsidR="00AA0765">
        <w:t>důvodu velikosti investice od 1,</w:t>
      </w:r>
      <w:r w:rsidR="00805A74">
        <w:t>8 mld. do 6,5 mld. Kč, stále probíhají</w:t>
      </w:r>
      <w:r w:rsidR="00F07F1C">
        <w:t>cích</w:t>
      </w:r>
      <w:r w:rsidR="00805A74">
        <w:t xml:space="preserve"> dílčí</w:t>
      </w:r>
      <w:r w:rsidR="00F07F1C">
        <w:t>ch</w:t>
      </w:r>
      <w:r w:rsidR="00805A74">
        <w:t xml:space="preserve"> výběrov</w:t>
      </w:r>
      <w:r w:rsidR="00F07F1C">
        <w:t>ých</w:t>
      </w:r>
      <w:r w:rsidR="00805A74">
        <w:t xml:space="preserve"> řízení, perspektiv</w:t>
      </w:r>
      <w:r w:rsidR="00F07F1C">
        <w:t>y</w:t>
      </w:r>
      <w:r w:rsidR="00805A74">
        <w:t xml:space="preserve"> kolaudace center </w:t>
      </w:r>
      <w:r w:rsidR="00F07F1C">
        <w:t>v </w:t>
      </w:r>
      <w:r w:rsidR="00AA0765">
        <w:t>samém závěru roku.</w:t>
      </w:r>
      <w:r w:rsidR="00805A74">
        <w:t xml:space="preserve"> </w:t>
      </w:r>
      <w:r w:rsidR="00AA0765">
        <w:t>N</w:t>
      </w:r>
      <w:r w:rsidR="00F07F1C">
        <w:t xml:space="preserve">avíc </w:t>
      </w:r>
      <w:r w:rsidR="00805A74">
        <w:t>centra obtížně odhadují budoucí ve</w:t>
      </w:r>
      <w:r w:rsidR="003307AF">
        <w:t>likost provozních nákladů apod.</w:t>
      </w:r>
    </w:p>
    <w:p w:rsidR="003307AF" w:rsidRDefault="003307AF" w:rsidP="00CF2CAD">
      <w:pPr>
        <w:ind w:left="708"/>
        <w:jc w:val="both"/>
      </w:pPr>
    </w:p>
    <w:p w:rsidR="00DD5702" w:rsidRDefault="00DD5702" w:rsidP="00DD5702">
      <w:pPr>
        <w:pStyle w:val="Odstavecseseznamem"/>
        <w:numPr>
          <w:ilvl w:val="0"/>
          <w:numId w:val="5"/>
        </w:numPr>
        <w:jc w:val="both"/>
        <w:rPr>
          <w:b/>
          <w:sz w:val="24"/>
        </w:rPr>
      </w:pPr>
      <w:r>
        <w:rPr>
          <w:b/>
          <w:sz w:val="24"/>
        </w:rPr>
        <w:t>Financování udržitelnosti</w:t>
      </w:r>
    </w:p>
    <w:p w:rsidR="00F60FEA" w:rsidRDefault="00F34AA2" w:rsidP="00CF2CAD">
      <w:pPr>
        <w:spacing w:before="120"/>
        <w:jc w:val="both"/>
      </w:pPr>
      <w:r>
        <w:t xml:space="preserve">K financování udržitelnosti musí centra využít mix finančních zdrojů: vlastní prostředky jejich </w:t>
      </w:r>
      <w:r w:rsidR="00280B58">
        <w:t xml:space="preserve">příjemců </w:t>
      </w:r>
      <w:r>
        <w:t>(vysokých škol, ústavů AV apod.), prostředky ze smluvního výzkumu, tuzemských grantů (resortních</w:t>
      </w:r>
      <w:r w:rsidR="003307AF">
        <w:t>,</w:t>
      </w:r>
      <w:r>
        <w:t xml:space="preserve"> GAČR, TAČR), zahraničních grantů apod. </w:t>
      </w:r>
    </w:p>
    <w:p w:rsidR="009210AD" w:rsidRDefault="00F34AA2" w:rsidP="00CF2CAD">
      <w:pPr>
        <w:spacing w:before="120"/>
        <w:jc w:val="both"/>
      </w:pPr>
      <w:r>
        <w:t xml:space="preserve">Podpůrným nástrojem </w:t>
      </w:r>
      <w:r w:rsidR="004E1E62">
        <w:t xml:space="preserve">financování z úrovně MŠMT </w:t>
      </w:r>
      <w:r>
        <w:t>(doplňkovým, ne klíčovým) mají být pros</w:t>
      </w:r>
      <w:r w:rsidR="0029275B">
        <w:t>tředky z Národních programů</w:t>
      </w:r>
      <w:r>
        <w:t xml:space="preserve"> udržitelnosti I a II</w:t>
      </w:r>
      <w:r w:rsidR="003307AF">
        <w:t>.</w:t>
      </w:r>
    </w:p>
    <w:p w:rsidR="003307AF" w:rsidRDefault="003307AF" w:rsidP="00CF2CAD">
      <w:pPr>
        <w:spacing w:before="120"/>
        <w:jc w:val="both"/>
        <w:rPr>
          <w:b/>
        </w:rPr>
      </w:pPr>
    </w:p>
    <w:p w:rsidR="00CF75F5" w:rsidRDefault="00CF75F5" w:rsidP="00CF2CAD">
      <w:pPr>
        <w:spacing w:before="120"/>
        <w:jc w:val="both"/>
        <w:rPr>
          <w:b/>
        </w:rPr>
      </w:pPr>
    </w:p>
    <w:p w:rsidR="00AA0765" w:rsidRDefault="00AA0765" w:rsidP="00CF2CAD">
      <w:pPr>
        <w:spacing w:before="120"/>
        <w:jc w:val="both"/>
        <w:rPr>
          <w:b/>
        </w:rPr>
      </w:pPr>
    </w:p>
    <w:p w:rsidR="00CF75F5" w:rsidRDefault="00CF75F5" w:rsidP="00CF2CAD">
      <w:pPr>
        <w:spacing w:before="120"/>
        <w:jc w:val="both"/>
        <w:rPr>
          <w:b/>
        </w:rPr>
      </w:pPr>
    </w:p>
    <w:p w:rsidR="00F34AA2" w:rsidRDefault="00F34AA2" w:rsidP="00DD5702">
      <w:pPr>
        <w:pStyle w:val="Odstavecseseznamem"/>
        <w:numPr>
          <w:ilvl w:val="1"/>
          <w:numId w:val="22"/>
        </w:numPr>
        <w:spacing w:before="120"/>
        <w:ind w:left="426"/>
        <w:jc w:val="both"/>
        <w:rPr>
          <w:b/>
        </w:rPr>
      </w:pPr>
      <w:r w:rsidRPr="00DD5702">
        <w:rPr>
          <w:b/>
        </w:rPr>
        <w:lastRenderedPageBreak/>
        <w:t>Národní program udržitelnosti I</w:t>
      </w:r>
    </w:p>
    <w:p w:rsidR="00F34AA2" w:rsidRDefault="00F34AA2" w:rsidP="00CF2CAD">
      <w:pPr>
        <w:spacing w:before="120"/>
        <w:jc w:val="both"/>
      </w:pPr>
      <w:r>
        <w:t>Program</w:t>
      </w:r>
      <w:r w:rsidR="00C95110">
        <w:t xml:space="preserve"> je určen především na podporu c</w:t>
      </w:r>
      <w:r>
        <w:t>enter vybudovaných v 2. prioritní ose operačního programu, která byla zaměřena</w:t>
      </w:r>
      <w:r w:rsidR="003307AF">
        <w:t xml:space="preserve"> na centra regionálního rozvoje, tzn. malá centra.</w:t>
      </w:r>
      <w:r>
        <w:t xml:space="preserve"> Do programu však mají přístup i centra vybudovaná v rámci operačního programu Praha – Konkurenceschopnost.</w:t>
      </w:r>
    </w:p>
    <w:p w:rsidR="00F34AA2" w:rsidRDefault="00F34AA2" w:rsidP="00CF2CAD">
      <w:pPr>
        <w:spacing w:before="120"/>
        <w:jc w:val="both"/>
      </w:pPr>
      <w:r>
        <w:t>V současné době byly realizovány 3 veřejné soutěže v programu, 4. soutěž právě probíhá. Z programu je poskytována podpora na 40 projektů, z toho 30 projektů jsou VaVpI</w:t>
      </w:r>
      <w:r w:rsidR="00C95110">
        <w:t>-c</w:t>
      </w:r>
      <w:r w:rsidR="005F10D5">
        <w:t>entra</w:t>
      </w:r>
      <w:r>
        <w:t>. Do 4. soutěže bylo předloženo 11 návrhů projektů, z toho 5 návrhů VaVpI</w:t>
      </w:r>
      <w:r w:rsidR="00C95110">
        <w:t>-c</w:t>
      </w:r>
      <w:r w:rsidR="005F10D5">
        <w:t>enter</w:t>
      </w:r>
      <w:r>
        <w:t xml:space="preserve">. Předpokládá se ještě vyhlášení </w:t>
      </w:r>
      <w:r w:rsidR="003307AF">
        <w:t>další jedny či dvou</w:t>
      </w:r>
      <w:r>
        <w:t xml:space="preserve"> veřejných soutěží pro 7 VaVpI</w:t>
      </w:r>
      <w:r w:rsidR="00C95110">
        <w:t>-c</w:t>
      </w:r>
      <w:r w:rsidR="005F10D5">
        <w:t>enter</w:t>
      </w:r>
      <w:r>
        <w:t>, která se ještě soutěže v programu nezúčastnila.</w:t>
      </w:r>
    </w:p>
    <w:p w:rsidR="003307AF" w:rsidRDefault="003307AF" w:rsidP="00CF2CAD">
      <w:pPr>
        <w:spacing w:before="120"/>
        <w:jc w:val="both"/>
      </w:pPr>
      <w:r>
        <w:t xml:space="preserve">Přehled o dosud podpořených centrech a výši podpory je zřejmý z tabulky v příloze č. </w:t>
      </w:r>
      <w:r w:rsidR="00214386">
        <w:t>3.</w:t>
      </w:r>
      <w:r w:rsidR="004647EF">
        <w:t xml:space="preserve"> Z tabulky je zřejmé, že z prostředků MŠMT, subkapitoly výzkum, na podporu malých VaVpI-Center z NPU I šlo v r. 2015 cca 915 mil. Kč. a v r. 2016 půjde 1 060 mil. Kč (se započtením předpokládaných výsledků 4. výzvy</w:t>
      </w:r>
      <w:r w:rsidR="00530898">
        <w:t xml:space="preserve"> NPU I</w:t>
      </w:r>
      <w:r w:rsidR="004647EF">
        <w:t>, která bude zveřejněna 10. 6. 2015).</w:t>
      </w:r>
    </w:p>
    <w:p w:rsidR="00E66BCD" w:rsidRDefault="00E66BCD" w:rsidP="00CF2CAD">
      <w:pPr>
        <w:spacing w:before="120"/>
        <w:jc w:val="both"/>
      </w:pPr>
      <w:r>
        <w:t>Z výše uvedeného vyplývá</w:t>
      </w:r>
      <w:r w:rsidR="002F30F4">
        <w:t>, že</w:t>
      </w:r>
      <w:r>
        <w:t xml:space="preserve"> z prostředků MŠMT </w:t>
      </w:r>
      <w:r w:rsidRPr="004C31B8">
        <w:rPr>
          <w:b/>
          <w:i/>
        </w:rPr>
        <w:t>je a bude zafinancována udržitelnost malých center</w:t>
      </w:r>
      <w:r w:rsidR="004C31B8">
        <w:rPr>
          <w:b/>
          <w:i/>
        </w:rPr>
        <w:t xml:space="preserve"> </w:t>
      </w:r>
      <w:r w:rsidR="004C31B8">
        <w:t>v r. 2016</w:t>
      </w:r>
      <w:r w:rsidRPr="004C31B8">
        <w:rPr>
          <w:i/>
        </w:rPr>
        <w:t xml:space="preserve"> </w:t>
      </w:r>
      <w:r>
        <w:t>prakticky bez nároků na</w:t>
      </w:r>
      <w:r w:rsidR="002F30F4">
        <w:t xml:space="preserve"> další </w:t>
      </w:r>
      <w:r>
        <w:t>navýšení státního rozpočtu.</w:t>
      </w:r>
    </w:p>
    <w:p w:rsidR="005E6464" w:rsidRDefault="005E6464" w:rsidP="00CF2CAD">
      <w:pPr>
        <w:spacing w:before="120"/>
        <w:jc w:val="both"/>
        <w:rPr>
          <w:b/>
        </w:rPr>
      </w:pPr>
    </w:p>
    <w:p w:rsidR="00E66BCD" w:rsidRDefault="00DD5702" w:rsidP="00DD5702">
      <w:pPr>
        <w:pStyle w:val="Odstavecseseznamem"/>
        <w:numPr>
          <w:ilvl w:val="1"/>
          <w:numId w:val="22"/>
        </w:numPr>
        <w:spacing w:before="120"/>
        <w:ind w:left="426"/>
        <w:jc w:val="both"/>
        <w:rPr>
          <w:b/>
        </w:rPr>
      </w:pPr>
      <w:r>
        <w:rPr>
          <w:b/>
        </w:rPr>
        <w:t>Fi</w:t>
      </w:r>
      <w:r w:rsidR="00E66BCD" w:rsidRPr="00DD5702">
        <w:rPr>
          <w:b/>
        </w:rPr>
        <w:t>nancování udržitelnosti velkých center</w:t>
      </w:r>
    </w:p>
    <w:p w:rsidR="008075AC" w:rsidRDefault="008075AC" w:rsidP="00CF2CAD">
      <w:pPr>
        <w:spacing w:before="120"/>
        <w:jc w:val="both"/>
      </w:pPr>
      <w:r>
        <w:t>V tabulce č. 4 jsou vedena aktuální data týkající se fin</w:t>
      </w:r>
      <w:r w:rsidR="004201D2">
        <w:t>ancování provozu velkých VaVpI-c</w:t>
      </w:r>
      <w:r>
        <w:t xml:space="preserve">enter, </w:t>
      </w:r>
      <w:r w:rsidR="004236CC">
        <w:t>údaje</w:t>
      </w:r>
      <w:r>
        <w:t xml:space="preserve"> vycházejí z aktuálních konzultací s centry z konce března 2015. V tabulce č. 5 je provedena rekapitulace a </w:t>
      </w:r>
      <w:r w:rsidR="0039259E">
        <w:t>celkový součet prostředků, které</w:t>
      </w:r>
      <w:r>
        <w:t xml:space="preserve"> centra plánují obdržet z veřejných prostředků charakteru účelové podpory a z nich pak rozsah financí, o které budou usilovat z NPU II. V této souvislosti je třeba upřesnit, že účelové prostředk</w:t>
      </w:r>
      <w:r w:rsidR="0039259E">
        <w:t>y jsou širším pojmem, který zahrnuje jednak prostředky NPU (I nebo II), dále prostředky určené na podporu velkých výzkumných infrastruktur a dále prostředky z vysoutěžených projektů u národn</w:t>
      </w:r>
      <w:r w:rsidR="006F17F0">
        <w:t xml:space="preserve">ích grantových agentur GA ČR a </w:t>
      </w:r>
      <w:r w:rsidR="0039259E">
        <w:t xml:space="preserve">TA </w:t>
      </w:r>
      <w:r w:rsidR="004201D2">
        <w:t>ČR</w:t>
      </w:r>
      <w:r w:rsidR="0039259E">
        <w:t xml:space="preserve">. </w:t>
      </w:r>
    </w:p>
    <w:p w:rsidR="0039259E" w:rsidRDefault="0039259E" w:rsidP="00CF2CAD">
      <w:pPr>
        <w:spacing w:before="120"/>
        <w:jc w:val="both"/>
      </w:pPr>
      <w:r>
        <w:t>Z </w:t>
      </w:r>
      <w:r w:rsidR="00022E5A">
        <w:t>u</w:t>
      </w:r>
      <w:r>
        <w:t xml:space="preserve">vedených </w:t>
      </w:r>
      <w:r w:rsidR="004236CC">
        <w:t>údajů</w:t>
      </w:r>
      <w:r>
        <w:t xml:space="preserve"> v položce účelové prostředky je zřejmé, že řada center počítá s tím, že vedl</w:t>
      </w:r>
      <w:r w:rsidR="00022E5A">
        <w:t>e přihlášení se do výzvy NPU II</w:t>
      </w:r>
      <w:r>
        <w:t xml:space="preserve"> se přihlásí i do výzev podpory velkých infrastruktur, ve kterých čtyři velká centra též uspěla a samozřejmě budou usilovat i o podporu z grantových agentur, kde však úspěšnost projektů není vysoká a činí momentálně méně jak 20 %.</w:t>
      </w:r>
    </w:p>
    <w:p w:rsidR="0039259E" w:rsidRDefault="0039259E" w:rsidP="00CF2CAD">
      <w:pPr>
        <w:spacing w:before="120"/>
        <w:jc w:val="both"/>
      </w:pPr>
      <w:r>
        <w:t>S ohledem na výše uvedené, lze předpokládat, že klíčovým zdr</w:t>
      </w:r>
      <w:r w:rsidR="00022E5A">
        <w:t>ojem financování velkých VaVpI-c</w:t>
      </w:r>
      <w:r>
        <w:t xml:space="preserve">enter ve skupině účelových prostředků budou finanční zdroje MŠMT v subkapitole výzkum a jejich žádosti budou rozděleny jak do titulu podpory z národního programu udržitelnosti – NPU II, tak do titulu podpora velkých výzkumných infrastruktur. </w:t>
      </w:r>
    </w:p>
    <w:p w:rsidR="0039259E" w:rsidRPr="00E66BCD" w:rsidRDefault="0039259E" w:rsidP="00CF2CAD">
      <w:pPr>
        <w:spacing w:before="120"/>
        <w:jc w:val="both"/>
      </w:pPr>
      <w:r>
        <w:t xml:space="preserve">Z tabulky č. 5 je zřejmé, že celkový nárok na podporu </w:t>
      </w:r>
      <w:r w:rsidR="00022E5A">
        <w:t>VaVpI-c</w:t>
      </w:r>
      <w:r w:rsidR="00E351CC">
        <w:t>enter ze</w:t>
      </w:r>
      <w:r w:rsidR="00022E5A">
        <w:t xml:space="preserve"> strany velkých VaVpI-c</w:t>
      </w:r>
      <w:r>
        <w:t xml:space="preserve">enter (směrem k NPU </w:t>
      </w:r>
      <w:r w:rsidR="00E351CC">
        <w:t xml:space="preserve">II) </w:t>
      </w:r>
      <w:r>
        <w:t>lze odhadnout pro r. 2016 na částku</w:t>
      </w:r>
      <w:r w:rsidR="00E351CC">
        <w:t xml:space="preserve"> cca </w:t>
      </w:r>
      <w:r w:rsidR="00E1593A">
        <w:t xml:space="preserve">730 mil. Kč. </w:t>
      </w:r>
      <w:r w:rsidR="00E351CC">
        <w:t xml:space="preserve"> Navíc </w:t>
      </w:r>
      <w:r w:rsidR="00D803E9">
        <w:t xml:space="preserve">z tabulky vyplývá, </w:t>
      </w:r>
      <w:r w:rsidR="00022E5A">
        <w:t>že velká VaVpI-c</w:t>
      </w:r>
      <w:r w:rsidR="00E351CC">
        <w:t xml:space="preserve">entra počítají s účelovou podporou </w:t>
      </w:r>
      <w:r w:rsidR="00FD2CA7">
        <w:t>v podobě podpory</w:t>
      </w:r>
      <w:r w:rsidR="00022E5A">
        <w:t xml:space="preserve"> velkých infrastruktur</w:t>
      </w:r>
      <w:r w:rsidR="00022E5A">
        <w:rPr>
          <w:rFonts w:cstheme="minorHAnsi"/>
        </w:rPr>
        <w:t>;</w:t>
      </w:r>
      <w:r w:rsidR="00E351CC">
        <w:t xml:space="preserve"> tuto částku lze odhadnout v </w:t>
      </w:r>
      <w:r w:rsidR="00FD2CA7">
        <w:t>ř</w:t>
      </w:r>
      <w:r w:rsidR="00E351CC">
        <w:t xml:space="preserve">ádu </w:t>
      </w:r>
      <w:r w:rsidR="00E1593A">
        <w:t>350 –</w:t>
      </w:r>
      <w:r w:rsidR="00FD2CA7">
        <w:t xml:space="preserve"> 400 mil. Kč (v závislosti též na úspěšnosti</w:t>
      </w:r>
      <w:r w:rsidR="00D803E9">
        <w:t xml:space="preserve"> center v soutěžích </w:t>
      </w:r>
      <w:r w:rsidR="00FD2CA7">
        <w:t>v GA ČR a TA ČR).</w:t>
      </w:r>
      <w:r w:rsidR="00E1593A">
        <w:t xml:space="preserve"> V souhrnu lze předpoklá</w:t>
      </w:r>
      <w:r w:rsidR="00022E5A">
        <w:t>dat, že požadavky velkých VaVpI-c</w:t>
      </w:r>
      <w:r w:rsidR="00E1593A">
        <w:t>enter na podporu udržitelnosti</w:t>
      </w:r>
      <w:r w:rsidR="00FD2CA7">
        <w:t xml:space="preserve"> -</w:t>
      </w:r>
      <w:r w:rsidR="00E1593A">
        <w:t xml:space="preserve"> </w:t>
      </w:r>
      <w:r w:rsidR="00FD2CA7">
        <w:t>z titulu</w:t>
      </w:r>
      <w:r w:rsidR="00E1593A">
        <w:t xml:space="preserve"> účelové podpory ze subkapitoly výzkum rozpočtu MŠMT</w:t>
      </w:r>
      <w:r w:rsidR="00FD2CA7">
        <w:t xml:space="preserve"> -</w:t>
      </w:r>
      <w:r w:rsidR="00E1593A">
        <w:t xml:space="preserve"> budou činit cca 1,1 mld. Kč.</w:t>
      </w:r>
      <w:r>
        <w:t xml:space="preserve"> Tuto částku lze vnímat jako </w:t>
      </w:r>
      <w:r w:rsidR="00E26360">
        <w:t>ji</w:t>
      </w:r>
      <w:r w:rsidR="00FD2CA7">
        <w:t>s</w:t>
      </w:r>
      <w:r w:rsidR="00E26360">
        <w:t>tou podobu „nadpožadavku“</w:t>
      </w:r>
      <w:r w:rsidR="00FD2CA7">
        <w:t xml:space="preserve"> oproti </w:t>
      </w:r>
      <w:r w:rsidR="00E1593A">
        <w:t>dřívějším rozpočtům a i rozpočtu r. 2015</w:t>
      </w:r>
      <w:r w:rsidR="00E26360">
        <w:t xml:space="preserve">, neboť </w:t>
      </w:r>
      <w:r w:rsidR="00E1593A">
        <w:t xml:space="preserve">v této době centra nebyla vybudována a zprovozněna. </w:t>
      </w:r>
    </w:p>
    <w:p w:rsidR="00D803E9" w:rsidRDefault="00D803E9" w:rsidP="00CF2CAD">
      <w:pPr>
        <w:spacing w:before="120"/>
        <w:jc w:val="both"/>
        <w:rPr>
          <w:b/>
          <w:i/>
        </w:rPr>
      </w:pPr>
    </w:p>
    <w:p w:rsidR="00FD2CA7" w:rsidRPr="00530898" w:rsidRDefault="00FD2CA7" w:rsidP="00530898">
      <w:pPr>
        <w:spacing w:before="0" w:after="0"/>
        <w:jc w:val="both"/>
      </w:pPr>
      <w:r w:rsidRPr="00FD2CA7">
        <w:rPr>
          <w:b/>
          <w:i/>
        </w:rPr>
        <w:lastRenderedPageBreak/>
        <w:t>Tabulka č. 4</w:t>
      </w:r>
      <w:r w:rsidRPr="00FD2CA7">
        <w:rPr>
          <w:i/>
        </w:rPr>
        <w:t xml:space="preserve"> – </w:t>
      </w:r>
      <w:r w:rsidRPr="00530898">
        <w:t>Přehled financování prov</w:t>
      </w:r>
      <w:r w:rsidR="00022E5A">
        <w:t>ozu (provozních nákladů) VaVpI-c</w:t>
      </w:r>
      <w:r w:rsidRPr="00530898">
        <w:t>enter v r. 2016 a výhled financování po pětiletou dobu udržitelnosti tj, roky 2016-20. Údaje jsou v milionech korun.</w:t>
      </w:r>
    </w:p>
    <w:p w:rsidR="00FD2CA7" w:rsidRPr="00FD2CA7" w:rsidRDefault="00FD2CA7" w:rsidP="00530898">
      <w:pPr>
        <w:spacing w:before="0" w:after="0"/>
        <w:jc w:val="both"/>
        <w:rPr>
          <w:i/>
        </w:rPr>
      </w:pPr>
      <w:r w:rsidRPr="00FD2CA7">
        <w:rPr>
          <w:i/>
          <w:u w:val="single"/>
        </w:rPr>
        <w:t>Zdroj:</w:t>
      </w:r>
      <w:r w:rsidR="00022E5A">
        <w:rPr>
          <w:i/>
        </w:rPr>
        <w:t xml:space="preserve"> údaje VaVpI-c</w:t>
      </w:r>
      <w:r w:rsidRPr="00FD2CA7">
        <w:rPr>
          <w:i/>
        </w:rPr>
        <w:t>enter z konce března 2015, ověřované údaji poskytnutými centry v průběhu monitoringu.</w:t>
      </w:r>
    </w:p>
    <w:tbl>
      <w:tblPr>
        <w:tblStyle w:val="Mkatabulky1"/>
        <w:tblW w:w="9421" w:type="dxa"/>
        <w:jc w:val="center"/>
        <w:tblLook w:val="04A0" w:firstRow="1" w:lastRow="0" w:firstColumn="1" w:lastColumn="0" w:noHBand="0" w:noVBand="1"/>
      </w:tblPr>
      <w:tblGrid>
        <w:gridCol w:w="1886"/>
        <w:gridCol w:w="1869"/>
        <w:gridCol w:w="1866"/>
        <w:gridCol w:w="1915"/>
        <w:gridCol w:w="1885"/>
      </w:tblGrid>
      <w:tr w:rsidR="00031A7C" w:rsidRPr="00FD2CA7" w:rsidTr="00031A7C">
        <w:trPr>
          <w:trHeight w:val="273"/>
          <w:jc w:val="center"/>
        </w:trPr>
        <w:tc>
          <w:tcPr>
            <w:tcW w:w="1886" w:type="dxa"/>
          </w:tcPr>
          <w:p w:rsidR="00FD2CA7" w:rsidRPr="00FD2CA7" w:rsidRDefault="00022E5A" w:rsidP="00FD2CA7">
            <w:pPr>
              <w:spacing w:before="0" w:after="0" w:line="240" w:lineRule="atLeast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VaVpI-c</w:t>
            </w:r>
            <w:r w:rsidR="00FD2CA7" w:rsidRPr="00FD2CA7">
              <w:rPr>
                <w:rFonts w:ascii="Arial" w:eastAsia="Calibri" w:hAnsi="Arial" w:cs="Arial"/>
                <w:b/>
              </w:rPr>
              <w:t>entrum</w:t>
            </w:r>
          </w:p>
        </w:tc>
        <w:tc>
          <w:tcPr>
            <w:tcW w:w="1869" w:type="dxa"/>
            <w:shd w:val="clear" w:color="auto" w:fill="F2F2F2" w:themeFill="background1" w:themeFillShade="F2"/>
          </w:tcPr>
          <w:p w:rsidR="00FD2CA7" w:rsidRPr="00FD2CA7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FD2CA7">
              <w:rPr>
                <w:rFonts w:ascii="Arial" w:eastAsia="Calibri" w:hAnsi="Arial" w:cs="Arial"/>
                <w:b/>
              </w:rPr>
              <w:t>Finanční titul</w:t>
            </w:r>
          </w:p>
        </w:tc>
        <w:tc>
          <w:tcPr>
            <w:tcW w:w="1866" w:type="dxa"/>
            <w:shd w:val="clear" w:color="auto" w:fill="F2F2F2" w:themeFill="background1" w:themeFillShade="F2"/>
          </w:tcPr>
          <w:p w:rsidR="00FD2CA7" w:rsidRPr="00FD2CA7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FD2CA7">
              <w:rPr>
                <w:rFonts w:ascii="Arial" w:eastAsia="Calibri" w:hAnsi="Arial" w:cs="Arial"/>
                <w:b/>
              </w:rPr>
              <w:t>r. 2015</w:t>
            </w:r>
          </w:p>
        </w:tc>
        <w:tc>
          <w:tcPr>
            <w:tcW w:w="1915" w:type="dxa"/>
            <w:shd w:val="clear" w:color="auto" w:fill="F2F2F2" w:themeFill="background1" w:themeFillShade="F2"/>
          </w:tcPr>
          <w:p w:rsidR="00FD2CA7" w:rsidRPr="00FD2CA7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FD2CA7">
              <w:rPr>
                <w:rFonts w:ascii="Arial" w:eastAsia="Calibri" w:hAnsi="Arial" w:cs="Arial"/>
                <w:b/>
              </w:rPr>
              <w:t>r. 2016</w:t>
            </w:r>
          </w:p>
        </w:tc>
        <w:tc>
          <w:tcPr>
            <w:tcW w:w="1885" w:type="dxa"/>
            <w:shd w:val="clear" w:color="auto" w:fill="F2F2F2" w:themeFill="background1" w:themeFillShade="F2"/>
          </w:tcPr>
          <w:p w:rsidR="00FD2CA7" w:rsidRPr="00FD2CA7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b/>
              </w:rPr>
            </w:pPr>
            <w:r w:rsidRPr="00FD2CA7">
              <w:rPr>
                <w:rFonts w:ascii="Arial" w:eastAsia="Calibri" w:hAnsi="Arial" w:cs="Arial"/>
                <w:b/>
              </w:rPr>
              <w:t>plán 2016-2020</w:t>
            </w:r>
          </w:p>
        </w:tc>
      </w:tr>
      <w:tr w:rsidR="00FD2CA7" w:rsidRPr="00FD2CA7" w:rsidTr="00031A7C">
        <w:trPr>
          <w:trHeight w:val="113"/>
          <w:jc w:val="center"/>
        </w:trPr>
        <w:tc>
          <w:tcPr>
            <w:tcW w:w="1886" w:type="dxa"/>
            <w:vMerge w:val="restart"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9"/>
              </w:rPr>
            </w:pP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9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9"/>
              </w:rPr>
              <w:t xml:space="preserve">UDRŽITELNÁ ENERGETIKA (SUSEN) </w:t>
            </w: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9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9"/>
              </w:rPr>
              <w:t>Rež</w:t>
            </w: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9"/>
              </w:rPr>
            </w:pP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9"/>
              </w:rPr>
            </w:pP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Smluvní výzkum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36,5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46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251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Mezinárodní výzkum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10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31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157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Institucionální prostředky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7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26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105</w:t>
            </w:r>
          </w:p>
        </w:tc>
      </w:tr>
      <w:tr w:rsidR="00FD2CA7" w:rsidRPr="00FD2CA7" w:rsidTr="00031A7C">
        <w:trPr>
          <w:trHeight w:val="376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Účelové prostředky celkem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5,5</w:t>
            </w:r>
          </w:p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122</w:t>
            </w:r>
          </w:p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697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z nich NPU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0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100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542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Ostatní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3,6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tabs>
                <w:tab w:val="center" w:pos="791"/>
                <w:tab w:val="right" w:pos="1583"/>
              </w:tabs>
              <w:spacing w:before="0" w:after="0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25,8</w:t>
            </w:r>
          </w:p>
        </w:tc>
      </w:tr>
      <w:tr w:rsidR="00FD2CA7" w:rsidRPr="00FD2CA7" w:rsidTr="00D803E9">
        <w:trPr>
          <w:trHeight w:val="32"/>
          <w:jc w:val="center"/>
        </w:trPr>
        <w:tc>
          <w:tcPr>
            <w:tcW w:w="9421" w:type="dxa"/>
            <w:gridSpan w:val="5"/>
            <w:shd w:val="clear" w:color="auto" w:fill="A6A6A6" w:themeFill="background1" w:themeFillShade="A6"/>
          </w:tcPr>
          <w:p w:rsidR="00FD2CA7" w:rsidRPr="00FD2CA7" w:rsidRDefault="00FD2CA7" w:rsidP="00FD2CA7">
            <w:pPr>
              <w:tabs>
                <w:tab w:val="center" w:pos="791"/>
                <w:tab w:val="right" w:pos="1583"/>
              </w:tabs>
              <w:spacing w:before="0" w:after="0"/>
              <w:jc w:val="center"/>
              <w:rPr>
                <w:rFonts w:ascii="Arial" w:eastAsia="Calibri" w:hAnsi="Arial" w:cs="Arial"/>
                <w:sz w:val="4"/>
              </w:rPr>
            </w:pPr>
          </w:p>
        </w:tc>
      </w:tr>
      <w:tr w:rsidR="00FD2CA7" w:rsidRPr="00FD2CA7" w:rsidTr="00031A7C">
        <w:trPr>
          <w:trHeight w:val="225"/>
          <w:jc w:val="center"/>
        </w:trPr>
        <w:tc>
          <w:tcPr>
            <w:tcW w:w="1886" w:type="dxa"/>
            <w:vMerge w:val="restart"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9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9"/>
              </w:rPr>
              <w:t>BIOCEV -</w:t>
            </w: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9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9"/>
              </w:rPr>
              <w:t xml:space="preserve">Biotechnologické a biomedicínské centrum Akademie věd a Univerzity Karlovy </w:t>
            </w:r>
          </w:p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9"/>
              </w:rPr>
              <w:t>Vestec</w:t>
            </w: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Smluvní výzkum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 xml:space="preserve">4 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20,8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205,1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Mezinárodní výzkum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9,67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20,8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129,4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Institucionální prostředky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74,5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84.8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325.7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Účelové prostředky celkem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93,4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295.5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1 768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z nich NPU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0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69,8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474,8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9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Ostatní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39,2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>52,3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9"/>
              </w:rPr>
            </w:pPr>
            <w:r w:rsidRPr="004236CC">
              <w:rPr>
                <w:rFonts w:ascii="Arial" w:eastAsia="Calibri" w:hAnsi="Arial" w:cs="Arial"/>
                <w:sz w:val="18"/>
                <w:szCs w:val="19"/>
              </w:rPr>
              <w:t xml:space="preserve">311 </w:t>
            </w:r>
          </w:p>
        </w:tc>
      </w:tr>
      <w:tr w:rsidR="00FD2CA7" w:rsidRPr="00FD2CA7" w:rsidTr="00D803E9">
        <w:trPr>
          <w:trHeight w:val="32"/>
          <w:jc w:val="center"/>
        </w:trPr>
        <w:tc>
          <w:tcPr>
            <w:tcW w:w="9421" w:type="dxa"/>
            <w:gridSpan w:val="5"/>
            <w:shd w:val="clear" w:color="auto" w:fill="A6A6A6" w:themeFill="background1" w:themeFillShade="A6"/>
          </w:tcPr>
          <w:p w:rsidR="00FD2CA7" w:rsidRPr="00FD2CA7" w:rsidRDefault="00FD2CA7" w:rsidP="00FD2CA7">
            <w:pPr>
              <w:tabs>
                <w:tab w:val="center" w:pos="791"/>
                <w:tab w:val="right" w:pos="1583"/>
              </w:tabs>
              <w:spacing w:before="0" w:after="0"/>
              <w:jc w:val="center"/>
              <w:rPr>
                <w:rFonts w:ascii="Arial" w:eastAsia="Calibri" w:hAnsi="Arial" w:cs="Arial"/>
                <w:sz w:val="4"/>
              </w:rPr>
            </w:pPr>
          </w:p>
        </w:tc>
      </w:tr>
      <w:tr w:rsidR="00FD2CA7" w:rsidRPr="00FD2CA7" w:rsidTr="00031A7C">
        <w:trPr>
          <w:trHeight w:val="225"/>
          <w:jc w:val="center"/>
        </w:trPr>
        <w:tc>
          <w:tcPr>
            <w:tcW w:w="1886" w:type="dxa"/>
            <w:vMerge w:val="restart"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8"/>
              </w:rPr>
              <w:t>Centrum Excelence IT4Inovation</w:t>
            </w: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8"/>
              </w:rPr>
              <w:t>(superpočítač)</w:t>
            </w: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8"/>
              </w:rPr>
              <w:t>VŠB-TU Ostrava</w:t>
            </w:r>
          </w:p>
          <w:p w:rsidR="00FD2CA7" w:rsidRPr="004236CC" w:rsidRDefault="00FD2CA7" w:rsidP="00FD2CA7">
            <w:pPr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Smluvní výzkum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25,56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27,15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146,75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Mezinárodní výzkum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26,00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26,50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138,5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Institucionální prostředky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40,50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42,85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242,3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Účelové prostředky celkem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42,00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206,74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1495,9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z nich NPU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0,00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68,70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375,42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Ostatní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714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6,4</w:t>
            </w:r>
          </w:p>
        </w:tc>
      </w:tr>
      <w:tr w:rsidR="00FD2CA7" w:rsidRPr="00FD2CA7" w:rsidTr="00D803E9">
        <w:trPr>
          <w:trHeight w:val="32"/>
          <w:jc w:val="center"/>
        </w:trPr>
        <w:tc>
          <w:tcPr>
            <w:tcW w:w="9421" w:type="dxa"/>
            <w:gridSpan w:val="5"/>
            <w:shd w:val="clear" w:color="auto" w:fill="A6A6A6" w:themeFill="background1" w:themeFillShade="A6"/>
          </w:tcPr>
          <w:p w:rsidR="00FD2CA7" w:rsidRPr="00FD2CA7" w:rsidRDefault="00FD2CA7" w:rsidP="00FD2CA7">
            <w:pPr>
              <w:tabs>
                <w:tab w:val="center" w:pos="791"/>
                <w:tab w:val="right" w:pos="1583"/>
              </w:tabs>
              <w:spacing w:before="0" w:after="0"/>
              <w:jc w:val="center"/>
              <w:rPr>
                <w:rFonts w:ascii="Arial" w:eastAsia="Calibri" w:hAnsi="Arial" w:cs="Arial"/>
                <w:sz w:val="4"/>
              </w:rPr>
            </w:pPr>
          </w:p>
        </w:tc>
      </w:tr>
      <w:tr w:rsidR="00FD2CA7" w:rsidRPr="00FD2CA7" w:rsidTr="00031A7C">
        <w:trPr>
          <w:trHeight w:val="210"/>
          <w:jc w:val="center"/>
        </w:trPr>
        <w:tc>
          <w:tcPr>
            <w:tcW w:w="1886" w:type="dxa"/>
            <w:vMerge w:val="restart"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  <w:p w:rsidR="00FD2CA7" w:rsidRPr="004236CC" w:rsidRDefault="00FD2CA7" w:rsidP="00FD2CA7">
            <w:pPr>
              <w:shd w:val="clear" w:color="auto" w:fill="F2F2F2"/>
              <w:spacing w:before="0" w:after="0"/>
              <w:rPr>
                <w:rFonts w:ascii="Calibri" w:eastAsia="Calibri" w:hAnsi="Calibri" w:cs="Calibri"/>
                <w:sz w:val="18"/>
                <w:szCs w:val="18"/>
              </w:rPr>
            </w:pPr>
            <w:r w:rsidRPr="004236C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Fakultní nemocnice u sv. Anny v Brně – FNUSA – ICRC</w:t>
            </w:r>
          </w:p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  <w:r w:rsidRPr="004236C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Brno</w:t>
            </w: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Smluvní výzkum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13,6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36CC">
              <w:rPr>
                <w:rFonts w:ascii="Arial" w:hAnsi="Arial" w:cs="Arial"/>
                <w:sz w:val="18"/>
                <w:szCs w:val="18"/>
              </w:rPr>
              <w:t>23,7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127,7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Mezinárodní výzkum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40,7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54,3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296,7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Institucionální prostředky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6,1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8,8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77,5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Účelové prostředky celkem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340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320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1778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z nich NPU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209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921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Ostatní</w:t>
            </w:r>
          </w:p>
        </w:tc>
        <w:tc>
          <w:tcPr>
            <w:tcW w:w="1866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279,6</w:t>
            </w:r>
          </w:p>
        </w:tc>
        <w:tc>
          <w:tcPr>
            <w:tcW w:w="191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24,2</w:t>
            </w:r>
          </w:p>
        </w:tc>
        <w:tc>
          <w:tcPr>
            <w:tcW w:w="1885" w:type="dxa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354,8</w:t>
            </w:r>
          </w:p>
        </w:tc>
      </w:tr>
      <w:tr w:rsidR="00FD2CA7" w:rsidRPr="00FD2CA7" w:rsidTr="00D803E9">
        <w:trPr>
          <w:trHeight w:val="48"/>
          <w:jc w:val="center"/>
        </w:trPr>
        <w:tc>
          <w:tcPr>
            <w:tcW w:w="9421" w:type="dxa"/>
            <w:gridSpan w:val="5"/>
            <w:shd w:val="clear" w:color="auto" w:fill="A6A6A6" w:themeFill="background1" w:themeFillShade="A6"/>
          </w:tcPr>
          <w:p w:rsidR="00FD2CA7" w:rsidRPr="00FD2CA7" w:rsidRDefault="00FD2CA7" w:rsidP="00FD2CA7">
            <w:pPr>
              <w:tabs>
                <w:tab w:val="center" w:pos="791"/>
                <w:tab w:val="right" w:pos="1583"/>
              </w:tabs>
              <w:spacing w:before="0" w:after="0"/>
              <w:jc w:val="center"/>
              <w:rPr>
                <w:rFonts w:ascii="Arial" w:eastAsia="Calibri" w:hAnsi="Arial" w:cs="Arial"/>
                <w:sz w:val="4"/>
              </w:rPr>
            </w:pPr>
          </w:p>
        </w:tc>
      </w:tr>
      <w:tr w:rsidR="00FD2CA7" w:rsidRPr="00FD2CA7" w:rsidTr="00031A7C">
        <w:trPr>
          <w:trHeight w:val="210"/>
          <w:jc w:val="center"/>
        </w:trPr>
        <w:tc>
          <w:tcPr>
            <w:tcW w:w="1886" w:type="dxa"/>
            <w:vMerge w:val="restart"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  <w:p w:rsidR="00FD2CA7" w:rsidRPr="004236CC" w:rsidRDefault="00FD2CA7" w:rsidP="00FD2CA7">
            <w:pPr>
              <w:shd w:val="clear" w:color="auto" w:fill="F2F2F2"/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8"/>
              </w:rPr>
              <w:t xml:space="preserve">CEITEC-středoevropský technologický institut </w:t>
            </w:r>
          </w:p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8"/>
              </w:rPr>
              <w:t>Brno</w:t>
            </w: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Smluvní výzkum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81,8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Mezinárodní výzkum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452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Institucionální prostředky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87,5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578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Účelové prostředky celkem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2 075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z nich NPU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1 079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Ostatní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13,8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color w:val="000000"/>
                <w:sz w:val="18"/>
                <w:szCs w:val="18"/>
              </w:rPr>
              <w:t>70</w:t>
            </w:r>
          </w:p>
        </w:tc>
      </w:tr>
      <w:tr w:rsidR="00FD2CA7" w:rsidRPr="00FD2CA7" w:rsidTr="00D803E9">
        <w:trPr>
          <w:trHeight w:val="32"/>
          <w:jc w:val="center"/>
        </w:trPr>
        <w:tc>
          <w:tcPr>
            <w:tcW w:w="9421" w:type="dxa"/>
            <w:gridSpan w:val="5"/>
            <w:shd w:val="clear" w:color="auto" w:fill="A6A6A6" w:themeFill="background1" w:themeFillShade="A6"/>
          </w:tcPr>
          <w:p w:rsidR="00FD2CA7" w:rsidRPr="00FD2CA7" w:rsidRDefault="00FD2CA7" w:rsidP="00FD2CA7">
            <w:pPr>
              <w:tabs>
                <w:tab w:val="center" w:pos="791"/>
                <w:tab w:val="right" w:pos="1583"/>
              </w:tabs>
              <w:spacing w:before="0" w:after="0"/>
              <w:jc w:val="center"/>
              <w:rPr>
                <w:rFonts w:ascii="Arial" w:eastAsia="Calibri" w:hAnsi="Arial" w:cs="Arial"/>
                <w:sz w:val="4"/>
              </w:rPr>
            </w:pPr>
          </w:p>
        </w:tc>
      </w:tr>
      <w:tr w:rsidR="00FD2CA7" w:rsidRPr="00FD2CA7" w:rsidTr="00031A7C">
        <w:trPr>
          <w:trHeight w:val="225"/>
          <w:jc w:val="center"/>
        </w:trPr>
        <w:tc>
          <w:tcPr>
            <w:tcW w:w="1886" w:type="dxa"/>
            <w:vMerge w:val="restart"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  <w:p w:rsidR="00FD2CA7" w:rsidRPr="004236CC" w:rsidRDefault="00FD2CA7" w:rsidP="00FD2CA7">
            <w:pPr>
              <w:shd w:val="clear" w:color="auto" w:fill="F2F2F2"/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8"/>
                <w:shd w:val="clear" w:color="auto" w:fill="F2F2F2"/>
              </w:rPr>
            </w:pPr>
            <w:r w:rsidRPr="004236CC">
              <w:rPr>
                <w:rFonts w:ascii="Calibri" w:eastAsia="Calibri" w:hAnsi="Calibri"/>
                <w:b/>
                <w:sz w:val="18"/>
                <w:szCs w:val="18"/>
              </w:rPr>
              <w:t>ELI: EXTREME LIGHT INFRASTRUCTURE Dolní Břežan</w:t>
            </w:r>
            <w:r w:rsidRPr="004236CC">
              <w:rPr>
                <w:rFonts w:ascii="Calibri" w:eastAsia="Calibri" w:hAnsi="Calibri"/>
                <w:b/>
                <w:sz w:val="18"/>
                <w:szCs w:val="18"/>
                <w:shd w:val="clear" w:color="auto" w:fill="F2F2F2"/>
              </w:rPr>
              <w:t>y</w:t>
            </w:r>
          </w:p>
          <w:p w:rsidR="00FD2CA7" w:rsidRPr="004236CC" w:rsidRDefault="00FD2CA7" w:rsidP="00FD2CA7">
            <w:pPr>
              <w:shd w:val="clear" w:color="auto" w:fill="F2F2F2"/>
              <w:spacing w:before="0" w:after="0" w:line="240" w:lineRule="atLeast"/>
              <w:rPr>
                <w:rFonts w:ascii="Calibri" w:eastAsia="Calibri" w:hAnsi="Calibri"/>
                <w:b/>
                <w:sz w:val="18"/>
                <w:szCs w:val="18"/>
                <w:shd w:val="clear" w:color="auto" w:fill="F2F2F2"/>
              </w:rPr>
            </w:pPr>
          </w:p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Smluvní výzkum</w:t>
            </w:r>
          </w:p>
        </w:tc>
        <w:tc>
          <w:tcPr>
            <w:tcW w:w="1866" w:type="dxa"/>
            <w:vAlign w:val="bottom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885" w:type="dxa"/>
            <w:vAlign w:val="bottom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 xml:space="preserve">39 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Mezinárodní výzkum</w:t>
            </w:r>
          </w:p>
        </w:tc>
        <w:tc>
          <w:tcPr>
            <w:tcW w:w="1866" w:type="dxa"/>
            <w:vAlign w:val="bottom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17,3</w:t>
            </w:r>
          </w:p>
        </w:tc>
        <w:tc>
          <w:tcPr>
            <w:tcW w:w="1885" w:type="dxa"/>
            <w:vAlign w:val="bottom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91,3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Institucionální prostředky</w:t>
            </w:r>
          </w:p>
        </w:tc>
        <w:tc>
          <w:tcPr>
            <w:tcW w:w="1866" w:type="dxa"/>
            <w:vAlign w:val="bottom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 xml:space="preserve">3 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5,76</w:t>
            </w:r>
          </w:p>
        </w:tc>
        <w:tc>
          <w:tcPr>
            <w:tcW w:w="1885" w:type="dxa"/>
            <w:vAlign w:val="bottom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121,97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Účelové prostředky celkem</w:t>
            </w:r>
          </w:p>
        </w:tc>
        <w:tc>
          <w:tcPr>
            <w:tcW w:w="1866" w:type="dxa"/>
            <w:vAlign w:val="bottom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 xml:space="preserve">60 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204,2</w:t>
            </w:r>
          </w:p>
        </w:tc>
        <w:tc>
          <w:tcPr>
            <w:tcW w:w="1885" w:type="dxa"/>
            <w:vAlign w:val="bottom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1 641</w:t>
            </w:r>
          </w:p>
        </w:tc>
      </w:tr>
      <w:tr w:rsidR="00FD2CA7" w:rsidRPr="00FD2CA7" w:rsidTr="00031A7C">
        <w:trPr>
          <w:trHeight w:val="139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z nich NPU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0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80,5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689,9</w:t>
            </w:r>
          </w:p>
        </w:tc>
      </w:tr>
      <w:tr w:rsidR="00FD2CA7" w:rsidRPr="00FD2CA7" w:rsidTr="00031A7C">
        <w:trPr>
          <w:trHeight w:val="77"/>
          <w:jc w:val="center"/>
        </w:trPr>
        <w:tc>
          <w:tcPr>
            <w:tcW w:w="1886" w:type="dxa"/>
            <w:vMerge/>
            <w:shd w:val="clear" w:color="auto" w:fill="F2F2F2" w:themeFill="background1" w:themeFillShade="F2"/>
          </w:tcPr>
          <w:p w:rsidR="00FD2CA7" w:rsidRPr="004236CC" w:rsidRDefault="00FD2CA7" w:rsidP="00FD2CA7">
            <w:pPr>
              <w:spacing w:before="0" w:after="0"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9" w:type="dxa"/>
          </w:tcPr>
          <w:p w:rsidR="00FD2CA7" w:rsidRPr="004236CC" w:rsidRDefault="00FD2CA7" w:rsidP="00FD2CA7">
            <w:pPr>
              <w:spacing w:before="0" w:after="0" w:line="240" w:lineRule="atLeast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Ostatní</w:t>
            </w:r>
          </w:p>
        </w:tc>
        <w:tc>
          <w:tcPr>
            <w:tcW w:w="1866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 xml:space="preserve">60 </w:t>
            </w:r>
          </w:p>
        </w:tc>
        <w:tc>
          <w:tcPr>
            <w:tcW w:w="191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>123,7</w:t>
            </w:r>
          </w:p>
        </w:tc>
        <w:tc>
          <w:tcPr>
            <w:tcW w:w="1885" w:type="dxa"/>
            <w:vAlign w:val="center"/>
          </w:tcPr>
          <w:p w:rsidR="00FD2CA7" w:rsidRPr="004236CC" w:rsidRDefault="00FD2CA7" w:rsidP="00FD2CA7">
            <w:pPr>
              <w:spacing w:before="0" w:after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4236CC">
              <w:rPr>
                <w:rFonts w:ascii="Arial" w:eastAsia="Calibri" w:hAnsi="Arial" w:cs="Arial"/>
                <w:sz w:val="18"/>
                <w:szCs w:val="18"/>
              </w:rPr>
              <w:t xml:space="preserve">951 </w:t>
            </w:r>
          </w:p>
        </w:tc>
      </w:tr>
    </w:tbl>
    <w:p w:rsidR="00031A7C" w:rsidRPr="00D803E9" w:rsidRDefault="00D803E9" w:rsidP="00CF2CAD">
      <w:pPr>
        <w:spacing w:before="120"/>
        <w:jc w:val="both"/>
        <w:rPr>
          <w:rFonts w:cstheme="minorHAnsi"/>
        </w:rPr>
      </w:pPr>
      <w:r w:rsidRPr="00562229">
        <w:rPr>
          <w:rFonts w:cstheme="minorHAnsi"/>
        </w:rPr>
        <w:lastRenderedPageBreak/>
        <w:t xml:space="preserve">Tabulka č. 5  </w:t>
      </w:r>
      <w:r>
        <w:rPr>
          <w:rFonts w:cstheme="minorHAnsi"/>
        </w:rPr>
        <w:t xml:space="preserve"> </w:t>
      </w:r>
      <w:r w:rsidR="00022E5A">
        <w:rPr>
          <w:rFonts w:cstheme="minorHAnsi"/>
        </w:rPr>
        <w:t>Rekapitulace požadavků VaVpI-c</w:t>
      </w:r>
      <w:r w:rsidRPr="00562229">
        <w:rPr>
          <w:rFonts w:cstheme="minorHAnsi"/>
        </w:rPr>
        <w:t>enter na účelo</w:t>
      </w:r>
      <w:r>
        <w:rPr>
          <w:rFonts w:cstheme="minorHAnsi"/>
        </w:rPr>
        <w:t>vou podporu a NPU II (v m</w:t>
      </w:r>
      <w:r w:rsidR="00530898">
        <w:rPr>
          <w:rFonts w:cstheme="minorHAnsi"/>
        </w:rPr>
        <w:t>il. Kč)</w:t>
      </w:r>
    </w:p>
    <w:tbl>
      <w:tblPr>
        <w:tblpPr w:leftFromText="141" w:rightFromText="141" w:vertAnchor="page" w:horzAnchor="margin" w:tblpXSpec="center" w:tblpY="2139"/>
        <w:tblW w:w="8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276"/>
        <w:gridCol w:w="1276"/>
        <w:gridCol w:w="1417"/>
        <w:gridCol w:w="1134"/>
        <w:gridCol w:w="1134"/>
      </w:tblGrid>
      <w:tr w:rsidR="004236CC" w:rsidRPr="00031A7C" w:rsidTr="00D803E9">
        <w:trPr>
          <w:trHeight w:val="300"/>
        </w:trPr>
        <w:tc>
          <w:tcPr>
            <w:tcW w:w="1913" w:type="dxa"/>
            <w:shd w:val="clear" w:color="auto" w:fill="auto"/>
            <w:noWrap/>
            <w:vAlign w:val="bottom"/>
          </w:tcPr>
          <w:p w:rsidR="004236CC" w:rsidRPr="00031A7C" w:rsidRDefault="00022E5A" w:rsidP="00D803E9">
            <w:pPr>
              <w:spacing w:before="0" w:after="0" w:line="240" w:lineRule="auto"/>
              <w:rPr>
                <w:rFonts w:ascii="Calibri" w:eastAsia="Times New Roman" w:hAnsi="Calibri" w:cs="Calibri"/>
                <w:b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VaVpI-c</w:t>
            </w:r>
            <w:r w:rsidR="004236CC" w:rsidRPr="00031A7C">
              <w:rPr>
                <w:rFonts w:ascii="Calibri" w:eastAsia="Times New Roman" w:hAnsi="Calibri" w:cs="Calibri"/>
                <w:b/>
                <w:color w:val="000000"/>
                <w:lang w:eastAsia="cs-CZ"/>
              </w:rPr>
              <w:t>entrum</w:t>
            </w:r>
          </w:p>
          <w:p w:rsidR="004236CC" w:rsidRPr="00031A7C" w:rsidRDefault="004236CC" w:rsidP="00D803E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236C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Účelové prostředky</w:t>
            </w:r>
          </w:p>
          <w:p w:rsidR="004236CC" w:rsidRPr="00031A7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r. 2015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4236C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 xml:space="preserve">Účelové prostředky </w:t>
            </w:r>
          </w:p>
          <w:p w:rsidR="004236CC" w:rsidRPr="00031A7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 xml:space="preserve"> r. 2016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236CC" w:rsidRPr="00031A7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Účelové prostředky</w:t>
            </w:r>
          </w:p>
          <w:p w:rsidR="004236CC" w:rsidRPr="00031A7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2016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 xml:space="preserve"> </w:t>
            </w: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 xml:space="preserve"> 20</w:t>
            </w: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236CC" w:rsidRPr="00031A7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NPU II</w:t>
            </w:r>
          </w:p>
          <w:p w:rsidR="004236CC" w:rsidRPr="00031A7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2016</w:t>
            </w:r>
          </w:p>
          <w:p w:rsidR="004236CC" w:rsidRPr="00031A7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236CC" w:rsidRPr="00031A7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NPU II</w:t>
            </w:r>
          </w:p>
          <w:p w:rsidR="004236CC" w:rsidRPr="00031A7C" w:rsidRDefault="004236CC" w:rsidP="00D803E9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  <w:t>2016-20</w:t>
            </w:r>
          </w:p>
          <w:p w:rsidR="004236CC" w:rsidRPr="00031A7C" w:rsidRDefault="004236CC" w:rsidP="00D803E9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lang w:eastAsia="cs-CZ"/>
              </w:rPr>
            </w:pPr>
          </w:p>
        </w:tc>
      </w:tr>
      <w:tr w:rsidR="004236CC" w:rsidRPr="00031A7C" w:rsidTr="00D803E9">
        <w:trPr>
          <w:trHeight w:val="300"/>
        </w:trPr>
        <w:tc>
          <w:tcPr>
            <w:tcW w:w="1913" w:type="dxa"/>
            <w:shd w:val="clear" w:color="auto" w:fill="auto"/>
            <w:noWrap/>
            <w:vAlign w:val="bottom"/>
            <w:hideMark/>
          </w:tcPr>
          <w:p w:rsidR="004236CC" w:rsidRPr="00031A7C" w:rsidRDefault="004236CC" w:rsidP="00D803E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A7C">
              <w:rPr>
                <w:rFonts w:ascii="Calibri" w:eastAsia="Times New Roman" w:hAnsi="Calibri" w:cs="Calibri"/>
                <w:color w:val="000000"/>
                <w:lang w:eastAsia="cs-CZ"/>
              </w:rPr>
              <w:t>SUSEN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697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542</w:t>
            </w:r>
          </w:p>
        </w:tc>
      </w:tr>
      <w:tr w:rsidR="004236CC" w:rsidRPr="00031A7C" w:rsidTr="00D803E9">
        <w:trPr>
          <w:trHeight w:val="315"/>
        </w:trPr>
        <w:tc>
          <w:tcPr>
            <w:tcW w:w="1913" w:type="dxa"/>
            <w:shd w:val="clear" w:color="auto" w:fill="auto"/>
            <w:noWrap/>
            <w:vAlign w:val="bottom"/>
            <w:hideMark/>
          </w:tcPr>
          <w:p w:rsidR="004236CC" w:rsidRPr="00031A7C" w:rsidRDefault="004236CC" w:rsidP="00D803E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A7C">
              <w:rPr>
                <w:rFonts w:ascii="Calibri" w:eastAsia="Times New Roman" w:hAnsi="Calibri" w:cs="Calibri"/>
                <w:color w:val="000000"/>
                <w:lang w:eastAsia="cs-CZ"/>
              </w:rPr>
              <w:t>BIOCEV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93,4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295.5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1 768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69,8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474,8</w:t>
            </w:r>
          </w:p>
        </w:tc>
      </w:tr>
      <w:tr w:rsidR="004236CC" w:rsidRPr="00031A7C" w:rsidTr="00D803E9">
        <w:trPr>
          <w:trHeight w:val="315"/>
        </w:trPr>
        <w:tc>
          <w:tcPr>
            <w:tcW w:w="1913" w:type="dxa"/>
            <w:shd w:val="clear" w:color="auto" w:fill="auto"/>
            <w:noWrap/>
            <w:vAlign w:val="bottom"/>
            <w:hideMark/>
          </w:tcPr>
          <w:p w:rsidR="004236CC" w:rsidRPr="00031A7C" w:rsidRDefault="004236CC" w:rsidP="00D803E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A7C">
              <w:rPr>
                <w:rFonts w:ascii="Calibri" w:eastAsia="Times New Roman" w:hAnsi="Calibri" w:cs="Calibri"/>
                <w:color w:val="000000"/>
                <w:lang w:eastAsia="cs-CZ"/>
              </w:rPr>
              <w:t>IT4Inovation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206,7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1495,9</w:t>
            </w:r>
          </w:p>
        </w:tc>
        <w:tc>
          <w:tcPr>
            <w:tcW w:w="1134" w:type="dxa"/>
            <w:shd w:val="clear" w:color="auto" w:fill="auto"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68,7</w:t>
            </w:r>
          </w:p>
        </w:tc>
        <w:tc>
          <w:tcPr>
            <w:tcW w:w="1134" w:type="dxa"/>
            <w:shd w:val="clear" w:color="auto" w:fill="auto"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375,4</w:t>
            </w:r>
          </w:p>
        </w:tc>
      </w:tr>
      <w:tr w:rsidR="004236CC" w:rsidRPr="00031A7C" w:rsidTr="00D803E9">
        <w:trPr>
          <w:trHeight w:val="315"/>
        </w:trPr>
        <w:tc>
          <w:tcPr>
            <w:tcW w:w="1913" w:type="dxa"/>
            <w:shd w:val="clear" w:color="auto" w:fill="auto"/>
            <w:noWrap/>
            <w:vAlign w:val="bottom"/>
            <w:hideMark/>
          </w:tcPr>
          <w:p w:rsidR="004236CC" w:rsidRPr="00031A7C" w:rsidRDefault="004236CC" w:rsidP="00D803E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A7C">
              <w:rPr>
                <w:rFonts w:ascii="Calibri" w:eastAsia="Times New Roman" w:hAnsi="Calibri" w:cs="Calibri"/>
                <w:color w:val="000000"/>
                <w:lang w:eastAsia="cs-CZ"/>
              </w:rPr>
              <w:t>ICRC sv. Anna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340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1778</w:t>
            </w:r>
          </w:p>
        </w:tc>
        <w:tc>
          <w:tcPr>
            <w:tcW w:w="1134" w:type="dxa"/>
            <w:shd w:val="clear" w:color="auto" w:fill="auto"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209</w:t>
            </w:r>
          </w:p>
        </w:tc>
        <w:tc>
          <w:tcPr>
            <w:tcW w:w="1134" w:type="dxa"/>
            <w:shd w:val="clear" w:color="auto" w:fill="auto"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921</w:t>
            </w:r>
          </w:p>
        </w:tc>
      </w:tr>
      <w:tr w:rsidR="004236CC" w:rsidRPr="00031A7C" w:rsidTr="00D803E9">
        <w:trPr>
          <w:trHeight w:val="315"/>
        </w:trPr>
        <w:tc>
          <w:tcPr>
            <w:tcW w:w="1913" w:type="dxa"/>
            <w:shd w:val="clear" w:color="auto" w:fill="auto"/>
            <w:noWrap/>
            <w:vAlign w:val="bottom"/>
            <w:hideMark/>
          </w:tcPr>
          <w:p w:rsidR="004236CC" w:rsidRPr="00031A7C" w:rsidRDefault="004236CC" w:rsidP="00D803E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A7C">
              <w:rPr>
                <w:rFonts w:ascii="Calibri" w:eastAsia="Times New Roman" w:hAnsi="Calibri" w:cs="Calibri"/>
                <w:color w:val="000000"/>
                <w:lang w:eastAsia="cs-CZ"/>
              </w:rPr>
              <w:t>CEITEC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368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478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2 075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203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1 079</w:t>
            </w:r>
          </w:p>
        </w:tc>
      </w:tr>
      <w:tr w:rsidR="004236CC" w:rsidRPr="00031A7C" w:rsidTr="00D803E9">
        <w:trPr>
          <w:trHeight w:val="315"/>
        </w:trPr>
        <w:tc>
          <w:tcPr>
            <w:tcW w:w="1913" w:type="dxa"/>
            <w:shd w:val="clear" w:color="auto" w:fill="auto"/>
            <w:noWrap/>
            <w:vAlign w:val="bottom"/>
            <w:hideMark/>
          </w:tcPr>
          <w:p w:rsidR="004236CC" w:rsidRPr="00031A7C" w:rsidRDefault="004236CC" w:rsidP="00D803E9">
            <w:pPr>
              <w:spacing w:before="0"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1A7C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ELI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204,2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1 641</w:t>
            </w:r>
          </w:p>
        </w:tc>
        <w:tc>
          <w:tcPr>
            <w:tcW w:w="1134" w:type="dxa"/>
            <w:shd w:val="clear" w:color="auto" w:fill="auto"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80,5</w:t>
            </w:r>
          </w:p>
        </w:tc>
        <w:tc>
          <w:tcPr>
            <w:tcW w:w="1134" w:type="dxa"/>
            <w:shd w:val="clear" w:color="auto" w:fill="auto"/>
            <w:hideMark/>
          </w:tcPr>
          <w:p w:rsidR="004236CC" w:rsidRPr="00031A7C" w:rsidRDefault="004236CC" w:rsidP="00D803E9">
            <w:pPr>
              <w:spacing w:before="0" w:after="0"/>
              <w:jc w:val="right"/>
              <w:rPr>
                <w:rFonts w:ascii="Times New Roman" w:eastAsia="Calibri" w:hAnsi="Times New Roman" w:cs="Times New Roman"/>
              </w:rPr>
            </w:pPr>
            <w:r w:rsidRPr="00031A7C">
              <w:rPr>
                <w:rFonts w:ascii="Times New Roman" w:eastAsia="Calibri" w:hAnsi="Times New Roman" w:cs="Times New Roman"/>
              </w:rPr>
              <w:t>689,9</w:t>
            </w:r>
          </w:p>
        </w:tc>
      </w:tr>
      <w:tr w:rsidR="004236CC" w:rsidRPr="00031A7C" w:rsidTr="00D803E9">
        <w:trPr>
          <w:trHeight w:val="300"/>
        </w:trPr>
        <w:tc>
          <w:tcPr>
            <w:tcW w:w="1913" w:type="dxa"/>
            <w:shd w:val="clear" w:color="auto" w:fill="D9D9D9" w:themeFill="background1" w:themeFillShade="D9"/>
            <w:noWrap/>
            <w:vAlign w:val="bottom"/>
            <w:hideMark/>
          </w:tcPr>
          <w:p w:rsidR="004236CC" w:rsidRPr="00031A7C" w:rsidRDefault="004236CC" w:rsidP="00D803E9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</w:pPr>
            <w:r w:rsidRPr="00031A7C">
              <w:rPr>
                <w:rFonts w:ascii="Arial" w:eastAsia="Times New Roman" w:hAnsi="Arial" w:cs="Arial"/>
                <w:color w:val="000000"/>
                <w:sz w:val="20"/>
                <w:lang w:eastAsia="cs-CZ"/>
              </w:rPr>
              <w:t>Celkem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120" w:after="0"/>
              <w:jc w:val="right"/>
              <w:rPr>
                <w:rFonts w:ascii="Arial" w:eastAsia="Calibri" w:hAnsi="Arial" w:cs="Arial"/>
                <w:sz w:val="20"/>
              </w:rPr>
            </w:pPr>
            <w:r w:rsidRPr="00031A7C">
              <w:rPr>
                <w:rFonts w:ascii="Arial" w:eastAsia="Calibri" w:hAnsi="Arial" w:cs="Arial"/>
                <w:sz w:val="20"/>
              </w:rPr>
              <w:t>908,9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hideMark/>
          </w:tcPr>
          <w:p w:rsidR="004236CC" w:rsidRPr="00031A7C" w:rsidRDefault="004236CC" w:rsidP="00D803E9">
            <w:pPr>
              <w:spacing w:before="120" w:after="0"/>
              <w:jc w:val="right"/>
              <w:rPr>
                <w:rFonts w:ascii="Arial" w:eastAsia="Calibri" w:hAnsi="Arial" w:cs="Arial"/>
                <w:b/>
                <w:sz w:val="20"/>
              </w:rPr>
            </w:pPr>
            <w:r w:rsidRPr="00031A7C">
              <w:rPr>
                <w:rFonts w:ascii="Arial" w:eastAsia="Calibri" w:hAnsi="Arial" w:cs="Arial"/>
                <w:b/>
                <w:sz w:val="20"/>
              </w:rPr>
              <w:t>1330,9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120" w:after="0"/>
              <w:jc w:val="right"/>
              <w:rPr>
                <w:rFonts w:ascii="Arial" w:eastAsia="Calibri" w:hAnsi="Arial" w:cs="Arial"/>
                <w:sz w:val="20"/>
              </w:rPr>
            </w:pPr>
            <w:r w:rsidRPr="00031A7C">
              <w:rPr>
                <w:rFonts w:ascii="Arial" w:eastAsia="Calibri" w:hAnsi="Arial" w:cs="Arial"/>
                <w:sz w:val="20"/>
              </w:rPr>
              <w:t>9454,9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hideMark/>
          </w:tcPr>
          <w:p w:rsidR="004236CC" w:rsidRPr="00031A7C" w:rsidRDefault="004236CC" w:rsidP="00D803E9">
            <w:pPr>
              <w:spacing w:before="120" w:after="0"/>
              <w:jc w:val="right"/>
              <w:rPr>
                <w:rFonts w:ascii="Arial" w:eastAsia="Calibri" w:hAnsi="Arial" w:cs="Arial"/>
                <w:b/>
                <w:sz w:val="20"/>
              </w:rPr>
            </w:pPr>
            <w:r w:rsidRPr="00031A7C">
              <w:rPr>
                <w:rFonts w:ascii="Arial" w:eastAsia="Calibri" w:hAnsi="Arial" w:cs="Arial"/>
                <w:b/>
                <w:sz w:val="20"/>
              </w:rPr>
              <w:t>731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236CC" w:rsidRPr="00031A7C" w:rsidRDefault="004236CC" w:rsidP="00D803E9">
            <w:pPr>
              <w:spacing w:before="120" w:after="0"/>
              <w:jc w:val="right"/>
              <w:rPr>
                <w:rFonts w:ascii="Arial" w:eastAsia="Calibri" w:hAnsi="Arial" w:cs="Arial"/>
                <w:sz w:val="20"/>
              </w:rPr>
            </w:pPr>
            <w:r w:rsidRPr="00031A7C">
              <w:rPr>
                <w:rFonts w:ascii="Arial" w:eastAsia="Calibri" w:hAnsi="Arial" w:cs="Arial"/>
                <w:sz w:val="20"/>
              </w:rPr>
              <w:t>4082,1</w:t>
            </w:r>
          </w:p>
        </w:tc>
      </w:tr>
    </w:tbl>
    <w:p w:rsidR="00214386" w:rsidRDefault="00214386" w:rsidP="00CF2CAD">
      <w:pPr>
        <w:spacing w:before="120"/>
        <w:jc w:val="both"/>
        <w:rPr>
          <w:u w:val="single"/>
        </w:rPr>
      </w:pPr>
    </w:p>
    <w:p w:rsidR="00F60FEA" w:rsidRPr="002F30F4" w:rsidRDefault="00F60FEA" w:rsidP="00CF2CAD">
      <w:pPr>
        <w:spacing w:before="120"/>
        <w:jc w:val="both"/>
        <w:rPr>
          <w:u w:val="single"/>
        </w:rPr>
      </w:pPr>
      <w:r w:rsidRPr="002F30F4">
        <w:rPr>
          <w:u w:val="single"/>
        </w:rPr>
        <w:t>Nároky na rozpočet:</w:t>
      </w:r>
    </w:p>
    <w:p w:rsidR="00F60FEA" w:rsidRDefault="00F60FEA" w:rsidP="00CF2CAD">
      <w:pPr>
        <w:pStyle w:val="Odstavecseseznamem"/>
        <w:numPr>
          <w:ilvl w:val="0"/>
          <w:numId w:val="7"/>
        </w:numPr>
        <w:spacing w:before="120"/>
        <w:jc w:val="both"/>
      </w:pPr>
      <w:r>
        <w:t xml:space="preserve">r. 2015 </w:t>
      </w:r>
      <w:r w:rsidR="00805A74">
        <w:t>–</w:t>
      </w:r>
      <w:r>
        <w:t xml:space="preserve"> </w:t>
      </w:r>
      <w:r w:rsidR="008F10AB">
        <w:t>ve všeobecné pokladní s</w:t>
      </w:r>
      <w:r w:rsidR="00805A74">
        <w:t>právě je rezervováno 600 mil. Kč pro podporu udržitelnosti center, z těchto zdrojů pro udržitelnost by MŠMT potřebovalo minimálně 400 mil. Kč</w:t>
      </w:r>
      <w:r w:rsidR="005F10D5">
        <w:t>,</w:t>
      </w:r>
    </w:p>
    <w:p w:rsidR="004C31B8" w:rsidRPr="004E0CC6" w:rsidRDefault="00805A74" w:rsidP="00CF2CAD">
      <w:pPr>
        <w:pStyle w:val="Odstavecseseznamem"/>
        <w:numPr>
          <w:ilvl w:val="0"/>
          <w:numId w:val="7"/>
        </w:numPr>
        <w:spacing w:before="120"/>
        <w:jc w:val="both"/>
        <w:rPr>
          <w:b/>
        </w:rPr>
      </w:pPr>
      <w:r w:rsidRPr="004E0CC6">
        <w:rPr>
          <w:b/>
        </w:rPr>
        <w:t xml:space="preserve">r. 2016  - za předpokladu naplnění předcházejícího bodu </w:t>
      </w:r>
      <w:r w:rsidR="002F30F4" w:rsidRPr="004E0CC6">
        <w:rPr>
          <w:b/>
        </w:rPr>
        <w:t>MŠMT</w:t>
      </w:r>
      <w:r w:rsidRPr="004E0CC6">
        <w:rPr>
          <w:b/>
        </w:rPr>
        <w:t xml:space="preserve"> nárok</w:t>
      </w:r>
      <w:r w:rsidR="002F30F4" w:rsidRPr="004E0CC6">
        <w:rPr>
          <w:b/>
        </w:rPr>
        <w:t xml:space="preserve">uje </w:t>
      </w:r>
      <w:r w:rsidRPr="004E0CC6">
        <w:rPr>
          <w:b/>
        </w:rPr>
        <w:t xml:space="preserve"> </w:t>
      </w:r>
      <w:r w:rsidRPr="00280B58">
        <w:rPr>
          <w:b/>
          <w:i/>
        </w:rPr>
        <w:t>nadpožadavky</w:t>
      </w:r>
      <w:r w:rsidR="004C31B8" w:rsidRPr="004E0CC6">
        <w:rPr>
          <w:b/>
        </w:rPr>
        <w:t xml:space="preserve"> </w:t>
      </w:r>
      <w:r w:rsidRPr="004E0CC6">
        <w:rPr>
          <w:b/>
        </w:rPr>
        <w:t xml:space="preserve">při projednávání návrhu </w:t>
      </w:r>
      <w:r w:rsidR="002F30F4" w:rsidRPr="004E0CC6">
        <w:rPr>
          <w:b/>
        </w:rPr>
        <w:t>rozpočtu</w:t>
      </w:r>
      <w:r w:rsidRPr="004E0CC6">
        <w:rPr>
          <w:b/>
        </w:rPr>
        <w:t xml:space="preserve"> na r. 20</w:t>
      </w:r>
      <w:r w:rsidR="008F10AB" w:rsidRPr="004E0CC6">
        <w:rPr>
          <w:b/>
        </w:rPr>
        <w:t>16</w:t>
      </w:r>
      <w:r w:rsidR="00031A7C">
        <w:rPr>
          <w:b/>
        </w:rPr>
        <w:t xml:space="preserve"> s úřadem místopředsedy vlády 70</w:t>
      </w:r>
      <w:r w:rsidR="008F10AB" w:rsidRPr="004E0CC6">
        <w:rPr>
          <w:b/>
        </w:rPr>
        <w:t>0 mil. Kč pro udrž</w:t>
      </w:r>
      <w:r w:rsidR="00C95110">
        <w:rPr>
          <w:b/>
        </w:rPr>
        <w:t>itelnost zejména velkých VaVpI-c</w:t>
      </w:r>
      <w:r w:rsidR="008F10AB" w:rsidRPr="004E0CC6">
        <w:rPr>
          <w:b/>
        </w:rPr>
        <w:t>enter.</w:t>
      </w:r>
    </w:p>
    <w:p w:rsidR="008F10AB" w:rsidRDefault="008F10AB" w:rsidP="00CF2CAD">
      <w:pPr>
        <w:pStyle w:val="Odstavecseseznamem"/>
        <w:spacing w:before="120"/>
        <w:jc w:val="both"/>
      </w:pPr>
    </w:p>
    <w:p w:rsidR="004C31B8" w:rsidRPr="00DD5702" w:rsidRDefault="004C31B8" w:rsidP="00DD5702">
      <w:pPr>
        <w:pStyle w:val="Odstavecseseznamem"/>
        <w:numPr>
          <w:ilvl w:val="1"/>
          <w:numId w:val="22"/>
        </w:numPr>
        <w:spacing w:before="120"/>
        <w:ind w:left="426"/>
        <w:jc w:val="both"/>
        <w:rPr>
          <w:b/>
        </w:rPr>
      </w:pPr>
      <w:r w:rsidRPr="00DD5702">
        <w:rPr>
          <w:b/>
        </w:rPr>
        <w:t xml:space="preserve">Financování udržitelnosti </w:t>
      </w:r>
      <w:r w:rsidR="00C95110">
        <w:rPr>
          <w:b/>
        </w:rPr>
        <w:t>VaVpI-c</w:t>
      </w:r>
      <w:r w:rsidRPr="00DD5702">
        <w:rPr>
          <w:b/>
        </w:rPr>
        <w:t>enter v letech 2017-2020</w:t>
      </w:r>
    </w:p>
    <w:p w:rsidR="004C31B8" w:rsidRDefault="004C31B8" w:rsidP="00CF2CAD">
      <w:pPr>
        <w:spacing w:before="120"/>
        <w:jc w:val="both"/>
      </w:pPr>
      <w:r>
        <w:t>Jak bylo uvedeno výše, fina</w:t>
      </w:r>
      <w:r w:rsidR="00C95110">
        <w:t xml:space="preserve">nční zabezpečení provozu VaVpI-center </w:t>
      </w:r>
      <w:r>
        <w:t>musí být realizováno vícezdrojově, tzn., že se na něm budou podílet:</w:t>
      </w:r>
    </w:p>
    <w:p w:rsidR="004C31B8" w:rsidRDefault="006556FE" w:rsidP="00CF2CAD">
      <w:pPr>
        <w:pStyle w:val="Odstavecseseznamem"/>
        <w:numPr>
          <w:ilvl w:val="0"/>
          <w:numId w:val="6"/>
        </w:numPr>
        <w:spacing w:before="0"/>
        <w:jc w:val="both"/>
      </w:pPr>
      <w:r>
        <w:t>finanční prostředky vlastníků center,</w:t>
      </w:r>
    </w:p>
    <w:p w:rsidR="006556FE" w:rsidRDefault="006556FE" w:rsidP="00CF2CAD">
      <w:pPr>
        <w:pStyle w:val="Odstavecseseznamem"/>
        <w:numPr>
          <w:ilvl w:val="0"/>
          <w:numId w:val="6"/>
        </w:numPr>
        <w:spacing w:before="0"/>
        <w:jc w:val="both"/>
      </w:pPr>
      <w:r>
        <w:t>finanční prostředky ze smluvního výzkumu,</w:t>
      </w:r>
    </w:p>
    <w:p w:rsidR="006556FE" w:rsidRDefault="006556FE" w:rsidP="00CF2CAD">
      <w:pPr>
        <w:pStyle w:val="Odstavecseseznamem"/>
        <w:numPr>
          <w:ilvl w:val="0"/>
          <w:numId w:val="6"/>
        </w:numPr>
        <w:spacing w:before="0"/>
        <w:jc w:val="both"/>
      </w:pPr>
      <w:r>
        <w:t>vysoutěžené finanční prostředky z</w:t>
      </w:r>
      <w:r w:rsidR="00022E5A">
        <w:t> </w:t>
      </w:r>
      <w:r>
        <w:t>GA</w:t>
      </w:r>
      <w:r w:rsidR="00022E5A">
        <w:t xml:space="preserve"> </w:t>
      </w:r>
      <w:r>
        <w:t>ČR, TA</w:t>
      </w:r>
      <w:r w:rsidR="00022E5A">
        <w:t xml:space="preserve"> </w:t>
      </w:r>
      <w:r>
        <w:t>ČR, resortního výzkumu,</w:t>
      </w:r>
    </w:p>
    <w:p w:rsidR="006556FE" w:rsidRDefault="006556FE" w:rsidP="00CF2CAD">
      <w:pPr>
        <w:pStyle w:val="Odstavecseseznamem"/>
        <w:numPr>
          <w:ilvl w:val="0"/>
          <w:numId w:val="6"/>
        </w:numPr>
        <w:spacing w:before="0"/>
        <w:jc w:val="both"/>
      </w:pPr>
      <w:r>
        <w:t>finanční prostředky ze zahraničních grantů,</w:t>
      </w:r>
    </w:p>
    <w:p w:rsidR="006556FE" w:rsidRDefault="006556FE" w:rsidP="00CF2CAD">
      <w:pPr>
        <w:pStyle w:val="Odstavecseseznamem"/>
        <w:numPr>
          <w:ilvl w:val="0"/>
          <w:numId w:val="6"/>
        </w:numPr>
        <w:spacing w:before="0"/>
        <w:jc w:val="both"/>
      </w:pPr>
      <w:r>
        <w:t>finanční prostředky určené na podporu velkých infrastruktur</w:t>
      </w:r>
      <w:r w:rsidR="005A67D0">
        <w:t xml:space="preserve"> (poskytovatel MŠMT)</w:t>
      </w:r>
      <w:r>
        <w:t>,</w:t>
      </w:r>
    </w:p>
    <w:p w:rsidR="006556FE" w:rsidRDefault="006556FE" w:rsidP="00CF2CAD">
      <w:pPr>
        <w:pStyle w:val="Odstavecseseznamem"/>
        <w:numPr>
          <w:ilvl w:val="0"/>
          <w:numId w:val="6"/>
        </w:numPr>
        <w:spacing w:before="0"/>
        <w:jc w:val="both"/>
      </w:pPr>
      <w:r>
        <w:t>finanční prostředky z Národních programů udržitelnosti</w:t>
      </w:r>
      <w:r w:rsidR="005A67D0">
        <w:t xml:space="preserve"> (poskytovatel MŠMT)</w:t>
      </w:r>
      <w:r w:rsidR="00C95110">
        <w:t>.</w:t>
      </w:r>
    </w:p>
    <w:p w:rsidR="005A67D0" w:rsidRPr="00214386" w:rsidRDefault="00214386" w:rsidP="00CF2CAD">
      <w:pPr>
        <w:spacing w:before="120"/>
        <w:jc w:val="both"/>
      </w:pPr>
      <w:r>
        <w:t>Okrajově ve smyslu rozvoje či obnovy přís</w:t>
      </w:r>
      <w:r w:rsidR="00C95110">
        <w:t>trojového vybavení mohou VaVpI-c</w:t>
      </w:r>
      <w:r>
        <w:t xml:space="preserve">entra počítat i s prostředky z nového operačního programu. </w:t>
      </w:r>
    </w:p>
    <w:p w:rsidR="005A67D0" w:rsidRDefault="005A67D0" w:rsidP="00CF2CAD">
      <w:pPr>
        <w:spacing w:before="0"/>
        <w:jc w:val="both"/>
      </w:pPr>
      <w:r>
        <w:t>Predikce vývoje</w:t>
      </w:r>
      <w:r w:rsidR="006D1A96">
        <w:t xml:space="preserve"> a podílu</w:t>
      </w:r>
      <w:r>
        <w:t xml:space="preserve"> jednotlivých výše uved</w:t>
      </w:r>
      <w:r w:rsidR="00AE4D11">
        <w:t>ených zdrojů</w:t>
      </w:r>
      <w:r w:rsidR="006D1A96">
        <w:t xml:space="preserve"> na</w:t>
      </w:r>
      <w:r w:rsidR="00C95110">
        <w:t xml:space="preserve"> financování VaVpI-c</w:t>
      </w:r>
      <w:r>
        <w:t xml:space="preserve">enter </w:t>
      </w:r>
      <w:r w:rsidR="00214386">
        <w:t xml:space="preserve">zvláště s časovým horizontem tří až pěti let </w:t>
      </w:r>
      <w:r w:rsidR="00FB1DA3">
        <w:t xml:space="preserve">závisí </w:t>
      </w:r>
      <w:r>
        <w:t xml:space="preserve">na celé řadě faktorů: kvalitě výzkumu daného centra, úspěšnosti při hledání komerčních partnerů a jejich ochotě platit na konto smluvního výzkumu, úspěšnosti ve výzvách u grantových agentur, úspěšnosti výzkumných týmů a projektů v rámci podpory velkých infrastruktur. </w:t>
      </w:r>
    </w:p>
    <w:p w:rsidR="004C31B8" w:rsidRDefault="00AE4D11" w:rsidP="00CF2CAD">
      <w:pPr>
        <w:spacing w:before="0"/>
        <w:jc w:val="both"/>
      </w:pPr>
      <w:r>
        <w:t>Jistou neznámou je i termín zprovoznění dvou fázovaných výzkumných center a jejich nastupující požadavky na podporu udržitelnosti.</w:t>
      </w:r>
    </w:p>
    <w:p w:rsidR="006D1A96" w:rsidRDefault="006D1A96" w:rsidP="00CF2CAD">
      <w:pPr>
        <w:spacing w:before="0"/>
        <w:jc w:val="both"/>
      </w:pPr>
      <w:r>
        <w:t xml:space="preserve">Nicméně lze předpokládat, že hlavními žadateli na podporu udržitelnosti </w:t>
      </w:r>
      <w:r w:rsidR="001404DB">
        <w:t>z </w:t>
      </w:r>
      <w:r>
        <w:t xml:space="preserve">prostředků MŠMT budou zejména velká centra a podpora v podobě prostředků z Národních programů udržitelnosti, popř. i </w:t>
      </w:r>
      <w:r>
        <w:lastRenderedPageBreak/>
        <w:t>z programu podpory velkých v</w:t>
      </w:r>
      <w:r w:rsidR="00C95110">
        <w:t xml:space="preserve">ýzkumných infrastruktur. Výši podpory lze predikovat </w:t>
      </w:r>
      <w:r>
        <w:t>v letech 2017-2020 každoročně v rozsahu cca 1</w:t>
      </w:r>
      <w:r w:rsidR="008F10AB">
        <w:t>,1</w:t>
      </w:r>
      <w:r w:rsidR="00FB1DA3">
        <w:t xml:space="preserve"> </w:t>
      </w:r>
      <w:r w:rsidR="00F54B9D">
        <w:t xml:space="preserve">-1,2 </w:t>
      </w:r>
      <w:r>
        <w:t xml:space="preserve">mld. Kč. </w:t>
      </w:r>
    </w:p>
    <w:p w:rsidR="005E6464" w:rsidRPr="00DD5702" w:rsidRDefault="00DD5702" w:rsidP="00DD5702">
      <w:pPr>
        <w:pStyle w:val="Odstavecseseznamem"/>
        <w:numPr>
          <w:ilvl w:val="0"/>
          <w:numId w:val="5"/>
        </w:numPr>
        <w:jc w:val="both"/>
        <w:rPr>
          <w:b/>
          <w:sz w:val="24"/>
        </w:rPr>
      </w:pPr>
      <w:r>
        <w:rPr>
          <w:b/>
          <w:sz w:val="24"/>
        </w:rPr>
        <w:t>Z</w:t>
      </w:r>
      <w:r w:rsidR="00C95110">
        <w:rPr>
          <w:b/>
          <w:sz w:val="24"/>
        </w:rPr>
        <w:t>ávěry z monitoringu VaVpI-c</w:t>
      </w:r>
      <w:r w:rsidR="00770EAE" w:rsidRPr="00DD5702">
        <w:rPr>
          <w:b/>
          <w:sz w:val="24"/>
        </w:rPr>
        <w:t>enter</w:t>
      </w:r>
    </w:p>
    <w:p w:rsidR="004C060E" w:rsidRDefault="004C060E" w:rsidP="00CF2CAD">
      <w:pPr>
        <w:jc w:val="both"/>
      </w:pPr>
      <w:r>
        <w:t>Monitoring VaVpI</w:t>
      </w:r>
      <w:r w:rsidR="00C95110">
        <w:t>-</w:t>
      </w:r>
      <w:r>
        <w:t xml:space="preserve">center potvrdil, že </w:t>
      </w:r>
      <w:r w:rsidR="00BB3880">
        <w:t>VaVpI</w:t>
      </w:r>
      <w:r w:rsidR="00603AE7">
        <w:t>-</w:t>
      </w:r>
      <w:r w:rsidR="00BB3880">
        <w:t>centra</w:t>
      </w:r>
      <w:r w:rsidR="00D264EB">
        <w:t>,</w:t>
      </w:r>
      <w:r w:rsidR="00BB3880">
        <w:t xml:space="preserve"> tak jak jsou již zprovozněna, dokončována či budou dokončena</w:t>
      </w:r>
      <w:r w:rsidR="00C95110">
        <w:t>,</w:t>
      </w:r>
      <w:r w:rsidR="00BB3880">
        <w:t xml:space="preserve"> jsou z pohledu udržitelnosti životaschopná a minimálně v r.</w:t>
      </w:r>
      <w:r w:rsidR="00D264EB">
        <w:t xml:space="preserve"> 2016 a 2017 by neměla</w:t>
      </w:r>
      <w:r w:rsidR="00BB3880">
        <w:t xml:space="preserve"> mít problémy s financováním svého provozu a též s</w:t>
      </w:r>
      <w:r w:rsidR="00F15753">
        <w:t> předpokládanými výzkumnými výkony, včetně plnění klíčového indikátoru – počtu výzkumných pracovníků.</w:t>
      </w:r>
    </w:p>
    <w:p w:rsidR="00FB1DA3" w:rsidRDefault="00F15753" w:rsidP="00CF2CAD">
      <w:pPr>
        <w:jc w:val="both"/>
      </w:pPr>
      <w:r>
        <w:t>Jak bylo uvedeno výše</w:t>
      </w:r>
      <w:r w:rsidR="00D264EB">
        <w:t xml:space="preserve">, </w:t>
      </w:r>
      <w:r>
        <w:t>zvýšené riziko je u dostavby velkých VaVpI</w:t>
      </w:r>
      <w:r w:rsidR="00092EA0">
        <w:t>-</w:t>
      </w:r>
      <w:r>
        <w:t>center, zejména v důsledku dokončení jejich výstavby a uvedení do provozu v samém závěru r. 2015 a s tím související</w:t>
      </w:r>
      <w:r w:rsidR="00D264EB">
        <w:t>ho</w:t>
      </w:r>
      <w:r>
        <w:t xml:space="preserve"> plyn</w:t>
      </w:r>
      <w:r w:rsidR="00D264EB">
        <w:t xml:space="preserve">ulého </w:t>
      </w:r>
      <w:r>
        <w:t>náběh</w:t>
      </w:r>
      <w:r w:rsidR="00D264EB">
        <w:t xml:space="preserve">u </w:t>
      </w:r>
      <w:r>
        <w:t xml:space="preserve">plného rutinního výzkumného provozu od r. 2016. </w:t>
      </w:r>
    </w:p>
    <w:p w:rsidR="00F15753" w:rsidRPr="00D264EB" w:rsidRDefault="00D264EB" w:rsidP="00CF2CAD">
      <w:pPr>
        <w:jc w:val="both"/>
      </w:pPr>
      <w:r>
        <w:t xml:space="preserve">Závěry z monitoringu zmocněnkyně pro udržitelnost výzkumných center </w:t>
      </w:r>
      <w:r w:rsidR="003B5420">
        <w:t xml:space="preserve">však </w:t>
      </w:r>
      <w:r>
        <w:t xml:space="preserve">jednoznačně konstatují, že v současnosti </w:t>
      </w:r>
      <w:r w:rsidRPr="00D264EB">
        <w:rPr>
          <w:b/>
          <w:i/>
        </w:rPr>
        <w:t xml:space="preserve">nejsou na pořadu dne úvahy o zavírání výzkumných center. </w:t>
      </w:r>
    </w:p>
    <w:p w:rsidR="00770EAE" w:rsidRDefault="00092EA0" w:rsidP="00CF2CAD">
      <w:pPr>
        <w:jc w:val="both"/>
      </w:pPr>
      <w:r>
        <w:t>V</w:t>
      </w:r>
      <w:r w:rsidR="00770EAE">
        <w:t>ě</w:t>
      </w:r>
      <w:r>
        <w:t>tšina stávajících vedoucích VaVpI-center se intenzivně zabývá</w:t>
      </w:r>
      <w:r w:rsidR="00770EAE">
        <w:t xml:space="preserve"> problematikou výstavby, resp. zprovoznění center, dokonce tak daleko, že jejich náplní, byť se často jedná o špičkové vědce, je úsilí </w:t>
      </w:r>
      <w:r w:rsidR="00FB1DA3">
        <w:t xml:space="preserve">o dokončení a zprovoznění center a </w:t>
      </w:r>
      <w:r w:rsidR="00770EAE" w:rsidRPr="00FB1DA3">
        <w:rPr>
          <w:i/>
        </w:rPr>
        <w:t>zabezpečení finančních prostředků</w:t>
      </w:r>
      <w:r w:rsidR="00FB1DA3">
        <w:rPr>
          <w:i/>
        </w:rPr>
        <w:t xml:space="preserve"> k jejich náběhu.</w:t>
      </w:r>
      <w:r w:rsidR="00770EAE">
        <w:t xml:space="preserve"> </w:t>
      </w:r>
    </w:p>
    <w:p w:rsidR="00666E34" w:rsidRDefault="00666E34" w:rsidP="00CF2CAD">
      <w:pPr>
        <w:jc w:val="both"/>
      </w:pPr>
      <w:r>
        <w:t>Četným rysem dosavadního f</w:t>
      </w:r>
      <w:r w:rsidR="00FB1DA3">
        <w:t>ungování výzkumných center je i ta</w:t>
      </w:r>
      <w:r>
        <w:t xml:space="preserve"> skutečnost, že zaměstnávají řadu výzkumníků na </w:t>
      </w:r>
      <w:r w:rsidRPr="00666E34">
        <w:rPr>
          <w:b/>
          <w:i/>
        </w:rPr>
        <w:t>částečný pracovní úvazek</w:t>
      </w:r>
      <w:r>
        <w:t xml:space="preserve"> (kmenově působí na fakultě apod.). V jistém rozsahu je tento stav žádoucí a s</w:t>
      </w:r>
      <w:r w:rsidR="00025914">
        <w:t>l</w:t>
      </w:r>
      <w:r>
        <w:t>ouží k přenosu výzkumných poznatků mezi výzkumem a akademickou sférou.  Na druhé straně pro stabilitu výzkumných týmů je vhodnější</w:t>
      </w:r>
      <w:r w:rsidR="00422505">
        <w:t>,</w:t>
      </w:r>
      <w:r>
        <w:t xml:space="preserve"> pokud jádro výzkumníků tvoří kvalitní výzkumníci, kteří pracují na plný úvazek. </w:t>
      </w:r>
    </w:p>
    <w:p w:rsidR="00422505" w:rsidRDefault="004236CC" w:rsidP="00CF2CAD">
      <w:pPr>
        <w:jc w:val="both"/>
      </w:pPr>
      <w:r>
        <w:t>C</w:t>
      </w:r>
      <w:r w:rsidR="00422505">
        <w:t>estou posílení kvality výzkumných týmů může být připravovaná výzva</w:t>
      </w:r>
      <w:r w:rsidR="00025914">
        <w:t xml:space="preserve"> na MŠM</w:t>
      </w:r>
      <w:r w:rsidR="001404DB">
        <w:t>T</w:t>
      </w:r>
      <w:r w:rsidR="00422505">
        <w:t>, která by měla být zveřejněna mezi prvními ještě v r.</w:t>
      </w:r>
      <w:r w:rsidR="00025914">
        <w:t xml:space="preserve"> 2015</w:t>
      </w:r>
      <w:r w:rsidR="00FB1DA3">
        <w:t xml:space="preserve"> z nového </w:t>
      </w:r>
      <w:r w:rsidR="00092EA0">
        <w:t>O</w:t>
      </w:r>
      <w:r w:rsidR="00FB1DA3">
        <w:t>peračního programu V</w:t>
      </w:r>
      <w:r w:rsidR="00422505">
        <w:t>ýzkum, vývoj, vzdělávání (OP VVV)</w:t>
      </w:r>
      <w:r w:rsidR="00322D25">
        <w:t>.</w:t>
      </w:r>
      <w:r w:rsidR="00422505">
        <w:t xml:space="preserve"> </w:t>
      </w:r>
    </w:p>
    <w:p w:rsidR="004236CC" w:rsidRDefault="004236CC" w:rsidP="00CF2CAD">
      <w:pPr>
        <w:jc w:val="both"/>
      </w:pPr>
    </w:p>
    <w:p w:rsidR="00016A7A" w:rsidRPr="00DD5702" w:rsidRDefault="00016A7A" w:rsidP="00DD5702">
      <w:pPr>
        <w:pStyle w:val="Odstavecseseznamem"/>
        <w:numPr>
          <w:ilvl w:val="0"/>
          <w:numId w:val="5"/>
        </w:numPr>
        <w:jc w:val="both"/>
        <w:rPr>
          <w:b/>
          <w:sz w:val="24"/>
        </w:rPr>
      </w:pPr>
      <w:r w:rsidRPr="00DD5702">
        <w:rPr>
          <w:b/>
        </w:rPr>
        <w:t>Místo VaVpI-</w:t>
      </w:r>
      <w:r w:rsidR="00092EA0">
        <w:rPr>
          <w:b/>
        </w:rPr>
        <w:t>c</w:t>
      </w:r>
      <w:r w:rsidRPr="00DD5702">
        <w:rPr>
          <w:b/>
        </w:rPr>
        <w:t>enter v</w:t>
      </w:r>
      <w:r w:rsidR="00F54B9D" w:rsidRPr="00DD5702">
        <w:rPr>
          <w:b/>
        </w:rPr>
        <w:t>e</w:t>
      </w:r>
      <w:r w:rsidRPr="00DD5702">
        <w:rPr>
          <w:b/>
        </w:rPr>
        <w:t xml:space="preserve"> </w:t>
      </w:r>
      <w:r w:rsidR="004E0CC6" w:rsidRPr="00DD5702">
        <w:rPr>
          <w:b/>
        </w:rPr>
        <w:t>výzkumu</w:t>
      </w:r>
      <w:r w:rsidR="00F54B9D" w:rsidRPr="00DD5702">
        <w:rPr>
          <w:b/>
        </w:rPr>
        <w:t xml:space="preserve"> v ČR</w:t>
      </w:r>
    </w:p>
    <w:p w:rsidR="00770EAE" w:rsidRDefault="00016A7A" w:rsidP="00CF2CAD">
      <w:pPr>
        <w:jc w:val="both"/>
      </w:pPr>
      <w:r>
        <w:t>VaVpI-</w:t>
      </w:r>
      <w:r w:rsidR="00092EA0">
        <w:t>c</w:t>
      </w:r>
      <w:r>
        <w:t xml:space="preserve">entra jak regionálního, tak excelentního </w:t>
      </w:r>
      <w:r w:rsidR="00A35A34">
        <w:t>charakteru byla budována s</w:t>
      </w:r>
      <w:r w:rsidR="003B0DCA">
        <w:t xml:space="preserve"> výrazným </w:t>
      </w:r>
      <w:r>
        <w:t xml:space="preserve">přispěním prostředků </w:t>
      </w:r>
      <w:r w:rsidR="00A35A34">
        <w:t xml:space="preserve">z </w:t>
      </w:r>
      <w:r w:rsidR="00092EA0">
        <w:t>O</w:t>
      </w:r>
      <w:r>
        <w:t>peračního programu Výzkum a vývo</w:t>
      </w:r>
      <w:r w:rsidR="003B0DCA">
        <w:t>j pro inovace. Do jisté míry byla</w:t>
      </w:r>
      <w:r>
        <w:t xml:space="preserve"> </w:t>
      </w:r>
      <w:r w:rsidR="00A35A34">
        <w:t xml:space="preserve">a jsou </w:t>
      </w:r>
      <w:r>
        <w:t xml:space="preserve">výzkumnou a akademickou komunitou vnímána jako jakási </w:t>
      </w:r>
      <w:r w:rsidRPr="003B0DCA">
        <w:rPr>
          <w:b/>
          <w:i/>
        </w:rPr>
        <w:t>nadstavba</w:t>
      </w:r>
      <w:r>
        <w:t xml:space="preserve"> </w:t>
      </w:r>
      <w:r w:rsidRPr="00FB1DA3">
        <w:t>(</w:t>
      </w:r>
      <w:r>
        <w:t>něco navíc, něco se zvláštním postavením a statusem) vůči dosavadním výzkumným strukturám</w:t>
      </w:r>
      <w:r w:rsidR="00092EA0">
        <w:t>. T</w:t>
      </w:r>
      <w:r>
        <w:t xml:space="preserve">ento pohled </w:t>
      </w:r>
      <w:r w:rsidR="00092EA0">
        <w:t>je</w:t>
      </w:r>
      <w:r w:rsidR="00A20F98">
        <w:t xml:space="preserve"> </w:t>
      </w:r>
      <w:r w:rsidR="00A35A34">
        <w:t>oprávněný</w:t>
      </w:r>
      <w:r w:rsidR="00092EA0">
        <w:t xml:space="preserve"> - </w:t>
      </w:r>
      <w:r w:rsidR="00A35A34">
        <w:t>centra</w:t>
      </w:r>
      <w:r w:rsidR="004526DC">
        <w:t xml:space="preserve"> </w:t>
      </w:r>
      <w:r w:rsidR="00A35A34">
        <w:t>byla financována z</w:t>
      </w:r>
      <w:r w:rsidR="00650A86">
        <w:t> prostředků operačního programu</w:t>
      </w:r>
      <w:r w:rsidR="00A35A34">
        <w:t xml:space="preserve"> a </w:t>
      </w:r>
      <w:r w:rsidR="003B0DCA">
        <w:t xml:space="preserve">kromě kofinancování </w:t>
      </w:r>
      <w:r w:rsidR="00A35A34">
        <w:t xml:space="preserve">vážněji nezatěžovala rozpočet na výzkum. </w:t>
      </w:r>
      <w:r w:rsidR="00A20F98">
        <w:t>Toto</w:t>
      </w:r>
      <w:r w:rsidR="003B0DCA">
        <w:t xml:space="preserve"> jejich specifické postavení </w:t>
      </w:r>
      <w:r w:rsidR="00A20F98">
        <w:t xml:space="preserve">se částečně </w:t>
      </w:r>
      <w:r w:rsidR="003B0DCA">
        <w:t xml:space="preserve">zachovává i po pětiletou dobu udržitelnosti, kdy se stát zavázal finančně přispívat na </w:t>
      </w:r>
      <w:r w:rsidR="00A20F98">
        <w:t>zabezpečení jejich udržitelnosti.</w:t>
      </w:r>
      <w:r w:rsidR="003B0DCA">
        <w:t xml:space="preserve"> </w:t>
      </w:r>
    </w:p>
    <w:p w:rsidR="00F54B9D" w:rsidRDefault="00A35A34" w:rsidP="00CF2CAD">
      <w:pPr>
        <w:jc w:val="both"/>
      </w:pPr>
      <w:r>
        <w:t xml:space="preserve">Do budoucna je však třeba vnímat tato centra jako standardní výzkumná pracoviště, která </w:t>
      </w:r>
      <w:r w:rsidR="00A20F98">
        <w:t xml:space="preserve">již nyní mají a po uplynutí pětileté lhůty udržitelnosti budou mít zcela </w:t>
      </w:r>
      <w:r w:rsidR="00A20F98" w:rsidRPr="002D7641">
        <w:rPr>
          <w:b/>
          <w:i/>
        </w:rPr>
        <w:t>rovnocennou pozici</w:t>
      </w:r>
      <w:r w:rsidR="00A20F98">
        <w:t xml:space="preserve"> mezi výzkumnými organizacemi, tzn., že mají a budou mít stejná práva a povinnosti jako jiné výzkumné organizace</w:t>
      </w:r>
      <w:r w:rsidR="00092EA0">
        <w:t xml:space="preserve"> (</w:t>
      </w:r>
      <w:r w:rsidR="00F54B9D">
        <w:t>očekává</w:t>
      </w:r>
      <w:r w:rsidR="00092EA0">
        <w:t xml:space="preserve"> se</w:t>
      </w:r>
      <w:r w:rsidR="00F54B9D">
        <w:t>, že VaVpI-centra jsou efektivně řízené VaV instituce se špičkovým zázemím a vědci)</w:t>
      </w:r>
      <w:r w:rsidR="00A20F98">
        <w:t xml:space="preserve">. </w:t>
      </w:r>
    </w:p>
    <w:p w:rsidR="00770EAE" w:rsidRDefault="00A20F98" w:rsidP="00CF2CAD">
      <w:pPr>
        <w:jc w:val="both"/>
      </w:pPr>
      <w:r>
        <w:lastRenderedPageBreak/>
        <w:t xml:space="preserve">Je pak na </w:t>
      </w:r>
      <w:r w:rsidR="00F54B9D">
        <w:t>mateřských organizacích</w:t>
      </w:r>
      <w:r w:rsidR="00092EA0">
        <w:t xml:space="preserve"> center, aby je začlenily</w:t>
      </w:r>
      <w:r>
        <w:t xml:space="preserve"> do svých výzkumných struktur a pravidel jejich řízení. Jejich výjimečnost by měla být zachována zejména v jejich kvalitních výstupech. </w:t>
      </w:r>
    </w:p>
    <w:p w:rsidR="005C37BC" w:rsidRDefault="00092EA0" w:rsidP="00CF2CAD">
      <w:pPr>
        <w:jc w:val="both"/>
        <w:rPr>
          <w:b/>
        </w:rPr>
      </w:pPr>
      <w:r>
        <w:t>Jinými slovy řečeno, VaVpI-c</w:t>
      </w:r>
      <w:r w:rsidR="00A20F98">
        <w:t xml:space="preserve">entra jsou a do budoucna budou nedílnou součástí výzkumného prostoru v ČR, budou se moci ucházet jako kdokoliv jiný o tuzemské a zahraniční granty, budou, resp. by měly generovat kvalitní výstupy, se kterými </w:t>
      </w:r>
      <w:r w:rsidR="002D7641">
        <w:t xml:space="preserve">musí </w:t>
      </w:r>
      <w:r w:rsidR="00A20F98">
        <w:t xml:space="preserve">zbývající výzkumné organizace počítat. </w:t>
      </w:r>
      <w:r w:rsidR="002D7641">
        <w:t>Na druhé straně po uplynutí pětileté lhůty udržitelnosti nemohou již počítat s nějakou nadstandardní podporou své výzkumné činnosti a během této doby vytvářet podmínky pro standardní financování svého fungování jako jiná výzkumná organizace.</w:t>
      </w:r>
    </w:p>
    <w:p w:rsidR="005C37BC" w:rsidRPr="007C0BE9" w:rsidRDefault="005C37BC" w:rsidP="00CF2CAD">
      <w:pPr>
        <w:spacing w:before="120" w:after="0"/>
        <w:jc w:val="both"/>
        <w:sectPr w:rsidR="005C37BC" w:rsidRPr="007C0BE9" w:rsidSect="00FD543A">
          <w:footerReference w:type="default" r:id="rId11"/>
          <w:pgSz w:w="11906" w:h="16838"/>
          <w:pgMar w:top="1418" w:right="1418" w:bottom="624" w:left="1418" w:header="709" w:footer="709" w:gutter="0"/>
          <w:cols w:space="708"/>
          <w:docGrid w:linePitch="360"/>
        </w:sectPr>
      </w:pPr>
    </w:p>
    <w:p w:rsidR="00151A9B" w:rsidRPr="007C0BE9" w:rsidRDefault="00151A9B" w:rsidP="00CF2CAD">
      <w:pPr>
        <w:pStyle w:val="Titulek"/>
        <w:keepNext/>
        <w:jc w:val="both"/>
        <w:rPr>
          <w:color w:val="auto"/>
          <w:sz w:val="20"/>
          <w:szCs w:val="20"/>
        </w:rPr>
      </w:pPr>
      <w:r w:rsidRPr="00A4047E">
        <w:rPr>
          <w:color w:val="auto"/>
          <w:sz w:val="20"/>
          <w:szCs w:val="20"/>
        </w:rPr>
        <w:lastRenderedPageBreak/>
        <w:t>Příloha č. 1: Kompletní seznam projektů PO 1 a 2, vč. stavu financí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3589"/>
        <w:gridCol w:w="1034"/>
        <w:gridCol w:w="1034"/>
        <w:gridCol w:w="382"/>
        <w:gridCol w:w="1034"/>
        <w:gridCol w:w="367"/>
        <w:gridCol w:w="798"/>
      </w:tblGrid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Registrační číslo</w:t>
            </w:r>
          </w:p>
        </w:tc>
        <w:tc>
          <w:tcPr>
            <w:tcW w:w="2232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Název projektu</w:t>
            </w:r>
          </w:p>
        </w:tc>
        <w:tc>
          <w:tcPr>
            <w:tcW w:w="509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Přiznaná dotace dle</w:t>
            </w:r>
          </w:p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RoPD a Dodatků</w:t>
            </w:r>
          </w:p>
        </w:tc>
        <w:tc>
          <w:tcPr>
            <w:tcW w:w="509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Částka schváleného</w:t>
            </w:r>
          </w:p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předfinancování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509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Částka schváleného</w:t>
            </w:r>
          </w:p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vyúčtování</w:t>
            </w:r>
          </w:p>
        </w:tc>
        <w:tc>
          <w:tcPr>
            <w:tcW w:w="166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%</w:t>
            </w:r>
          </w:p>
        </w:tc>
        <w:tc>
          <w:tcPr>
            <w:tcW w:w="407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Datum ukončení</w:t>
            </w:r>
          </w:p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realizace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CZ.1.05/2.1.00/03.0096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rozvoje strojírenského výzkumu Liberec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738 047 583,00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734 734 393,57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99,55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733 515 186,59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99,39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31. 12. 2012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CZ.1.05/1.1.00/02.0060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excelence Telč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236 012 738,00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231 826 509,52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98,23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229 447 838,35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97,22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CZ.1.05/2.1.00/01.0001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CETOCOEN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536 100 808,91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490 460 014,51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91,49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490 460 014,51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91,49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CZ.1.05/2.1.00/01.0002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NETME Centre (Nové technologie pro strojírenství)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763 836 377,20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754 311 233,77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98,75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739 811 151,56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96,85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CZ.1.05/2.1.00/01.0005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pro nanomateriály, pokročilé technologie a inovace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654 854 567,00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645 411 259,31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98,56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645 411 259,31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98,56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CZ.1.05/2.1.00/01.0006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pro aplikovanou mikrobiologii a imunologii ve veterinární medicíně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364 721 975,00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359 571 992,40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98,59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359 267 444,90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98,50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CZ.1.05/2.1.00/01.0007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regionu Haná pro biotechnologický a zemědělský výzkum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807 845 190,00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806 927 481,82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99,89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806 428 411,81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99,82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CZ.1.05/2.1.00/01.0012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Centra materiálového výzkumu na FCH VUT v Brně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232 772 000,00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232 148 949,62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99,73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232 031 569,73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99,68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CZ.1.05/2.1.00/01.0014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výzkumu a využití obnovitelných zdrojů energie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260 166 439,00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258 250 733,35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99,26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258 008 208,33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99,17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CZ.1.05/2.1.00/01.0017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4B6DE9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Aplikační a vývojové laboratoře pokročilých mikrotechnologií a nanotechnologií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431 922 797,00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429 966 333,00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99,55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425 478 750,08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98,51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CZ.1.05/2.1.00/01.0024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Jihočeské výzkumné centrum akvakultury a biodiverzity hydrocenóz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253 244 139,00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231 558 233,56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91,44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231 214 078,61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91,30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CZ.1.05/2.1.00/01.0040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Regionální materiálově technologické výzkumné centrum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680 107 000,00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665 754 443,40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97,89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665 745 629,15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97,89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CZ.1.05/2.1.00/03.0072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senzorických, informačních a komunikačních systémů (SIX)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293 781 336,00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291 657 546,60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99,28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290 597 298,31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98,92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CZ.1.05/2.1.00/03.0079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Regionální centrum speciální optiky a optoelektronických systémů "TOPTEC"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175 877 613,00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175 615 907,09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99,85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174 941 663,49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99,47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CZ.1.05/2.1.00/03.0100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Institut environmentálních technologií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265 203 808,09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264 541 344,41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99,75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260 727 132,75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98,31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CZ.1.05/2.1.00/03.0125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Pořízení technologie pro Centrum vozidel udržitelné mobility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195 667 200,00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193 409 217,86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98,85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192 823 853,27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98,55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31. 12. 2013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CZ.1.05/2.1.00/01.0030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Biomedicína pro regionální rozvoj a lidské zdroje.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860 866 751,50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845 067 684,90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98,16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845 067 684,90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98,16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31. 3. 2014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CZ.1.05/2.1.00/01.0036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Inovace pro efektivitu a životní prostředí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155 881 516,00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155 790 487,86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99,94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155 751 630,24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99,92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31. 3. 2014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CZ.1.05/2.1.00/03.0058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Regionální centrum pokročilých technologií a materiálů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500 347 051,00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499 848 638,09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99,90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496 847 310,52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99,30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30. 9. 2014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CZ.1.05/2.1.00/03.0089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bezpečnostních, informačních a pokročilých technologií (CEBIA-Tech)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174 474 015,00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171 721 282,76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98,42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169 371 626,30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97,08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30. 9. 2014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CZ.1.05/1.1.00/02.0073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CzechGlobe - Centrum pro studium dopadů globální změny klimatu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647 927 885,00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647 814 891,95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99,98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643 836 570,18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99,37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CZ.1.05/1.1.00/02.0090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NTIS - Nové technologie pro informační společnost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758 466 211,04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714 819 073,20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94,25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576 846 149,45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76,05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CZ.1.05/2.1.00/03.0064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Dopravní VaV centrum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463 130 480,00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451 485 971,09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97,49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417 281 880,33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90,10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CZ.1.05/2.1.00/03.0069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ENET - Energetické jednotky pro využití netradičních zdrojů energie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316 600 707,00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312 902 573,69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98,83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274 478 314,23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86,70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CZ.1.05/2.1.00/03.0077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Západočeské materiálově metalurgické centrum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349 484 175,00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349 354 959,00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99,96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346 083 481,36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99,03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CZ.1.05/2.1.00/03.0082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Institut čistých technologií těžby a užití energetických surovin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294 544 180,00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294 479 796,64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99,98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280 892 109,01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95,37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CZ.1.05/2.1.00/03.0084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Membránové inovační centrum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366 877 715,00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366 832 913,84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99,99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284 310 656,93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77,49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CZ.1.05/2.1.00/03.0086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Regionální VAV centrum pro nízkonákladové plazmové a nanotechnologické povrchové úpravy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214 068 156,00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214 067 645,00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100,00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188 379 102,30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88,00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CZ.1.05/2.1.00/03.0088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nových technologií a materiálů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323 976 132,00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323 508 766,07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99,86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289 450 137,53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89,34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CZ.1.05/2.1.00/03.0097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AdMaS - Pokročilé stavební materiály, konstrukce a technologie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791 309 025,90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715 707 956,02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90,45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502 842 811,74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63,55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CZ.1.05/2.1.00/03.0101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Regionální centrum aplikované molekulární onkologie (RECAMO)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299 490 652,00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273 690 633,77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91,39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233 953 229,30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78,12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CZ.1.05/2.1.00/03.0110</w:t>
            </w:r>
          </w:p>
        </w:tc>
        <w:tc>
          <w:tcPr>
            <w:tcW w:w="2232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řasových biotechnologií Třeboň (Algatech)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133 220 578,00 Kč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130 414 153,98 Kč</w:t>
            </w:r>
          </w:p>
        </w:tc>
        <w:tc>
          <w:tcPr>
            <w:tcW w:w="174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97,89</w:t>
            </w:r>
          </w:p>
        </w:tc>
        <w:tc>
          <w:tcPr>
            <w:tcW w:w="509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124 322 981,31 Kč</w:t>
            </w:r>
          </w:p>
        </w:tc>
        <w:tc>
          <w:tcPr>
            <w:tcW w:w="166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93,32</w:t>
            </w:r>
          </w:p>
        </w:tc>
        <w:tc>
          <w:tcPr>
            <w:tcW w:w="407" w:type="pct"/>
            <w:shd w:val="clear" w:color="auto" w:fill="D6E3BC" w:themeFill="accent3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31. 12. 2014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CZ.1.05/2.1.00/03.0111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polymerních systémů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713 751 708,94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619 890 091,95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86,85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578 146 379,23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81,00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30. 4. 2015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CZ.1.05/2.1.00/03.0076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Biomedicínské centrum Lékařské fakulty v Plzni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408 075 325,00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357 327 860,76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87,56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268 653 113,42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65,83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30. 6. 2015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CZ.1.05/2.1.00/03.0093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Regionální technologický institut - RTI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435 308 378,00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289 147 239,08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66,42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142 222 548,28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32,67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30. 6. 2015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CZ.1.05/2.1.00/01.0027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HiLASE: Nové lasery pro průmysl a výzkum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799 954 045,16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745 570 829,14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93,20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512 042 411,41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64,01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31. 8. 2015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CZ.1.05/2.1.00/03.0091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Univerzitní centrum energeticky efektivních budov (UCEEB)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672 020 806,00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650 989 151,45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96,87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515 259 054,14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76,67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31. 10. 2015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lastRenderedPageBreak/>
              <w:t>CZ.1.05/1.1.00/02.0061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ELI: EXTREME LIGHT INFRASTRUCTURE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6 800 575 902,00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3 932 502 557,93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57,83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3 035 565 275,09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44,64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CZ.1.05/1.1.00/02.0068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CEITEC - středoevropský technologický institut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5 246 000 000,00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4 367 062 067,69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83,25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3 001 726 433,37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57,22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CZ.1.05/1.1.00/02.0070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Centrum excelence IT4Innovations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1 692 512 441,00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1 245 605 700,84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73,60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715 189 185,45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42,26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CZ.1.05/1.1.00/02.0109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Biotechnologické a biomedicínské centrum Akademie věd a Univerzity Karlovy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2 305 086 161,00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1 142 150 589,71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49,55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582 642 822,42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25,28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CZ.1.05/1.1.00/02.0123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Fakultní nemocnice u sv. Anny v Brně - Mezinárodní centrum klinického výzkumu (FNUSA - ICRC)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2 365 000 000,00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1 314 354 639,43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55,58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1 056 950 066,10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44,69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CZ.1.05/2.1.00/03.0071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Unipetrol výzkumně vzdělávací centrum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591 723 111,00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505 970 047,75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85,51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401 733 800,04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67,89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CZ.1.05/2.1.00/03.0078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Národní ústav duševního zdraví (NUDZ)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971 000 000,00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760 242 767,00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78,29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351 101 901,35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36,16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CZ.1.05/2.1.00/03.0094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Regionální inovační centrum elektrotechniky (RICE)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625 000 000,00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313 185 776,51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50,11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176 469 008,68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28,24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CZ.1.05/2.1.00/03.0108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UDRŽITELNÁ ENERGETIKA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2 450 696 000,00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1 081 863 178,96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44,15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659 289 111,28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26,90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CZ.1.05/2.1.00/03.0116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Ovocnářský výzkumný institut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567 213 018,00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536 379 786,50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94,56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389 530 918,75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68,67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CZ.1.05/2.1.00/03.0124</w:t>
            </w:r>
          </w:p>
        </w:tc>
        <w:tc>
          <w:tcPr>
            <w:tcW w:w="2232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ExAM Experimental Animal Models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174 556 094,00 Kč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138 570 142,00 Kč</w:t>
            </w:r>
          </w:p>
        </w:tc>
        <w:tc>
          <w:tcPr>
            <w:tcW w:w="174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79,38</w:t>
            </w:r>
          </w:p>
        </w:tc>
        <w:tc>
          <w:tcPr>
            <w:tcW w:w="509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80 249 545,92 Kč</w:t>
            </w:r>
          </w:p>
        </w:tc>
        <w:tc>
          <w:tcPr>
            <w:tcW w:w="166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  <w:t>45,97</w:t>
            </w:r>
          </w:p>
        </w:tc>
        <w:tc>
          <w:tcPr>
            <w:tcW w:w="407" w:type="pct"/>
            <w:shd w:val="clear" w:color="auto" w:fill="E5B8B7" w:themeFill="accent2" w:themeFillTint="66"/>
            <w:noWrap/>
            <w:vAlign w:val="center"/>
            <w:hideMark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  <w:t>31. 12. 2015</w:t>
            </w:r>
          </w:p>
        </w:tc>
      </w:tr>
      <w:tr w:rsidR="004B6DE9" w:rsidRPr="007C0BE9" w:rsidTr="00151A9B">
        <w:trPr>
          <w:trHeight w:val="315"/>
        </w:trPr>
        <w:tc>
          <w:tcPr>
            <w:tcW w:w="495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</w:p>
        </w:tc>
        <w:tc>
          <w:tcPr>
            <w:tcW w:w="2232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sz w:val="14"/>
                <w:szCs w:val="14"/>
                <w:lang w:eastAsia="cs-CZ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  <w:t>40 359 299 791,74 Kč</w:t>
            </w:r>
          </w:p>
        </w:tc>
        <w:tc>
          <w:tcPr>
            <w:tcW w:w="509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  <w:t>31 234 465 448,35 Kč</w:t>
            </w:r>
          </w:p>
        </w:tc>
        <w:tc>
          <w:tcPr>
            <w:tcW w:w="174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  <w:t>77,39</w:t>
            </w:r>
          </w:p>
        </w:tc>
        <w:tc>
          <w:tcPr>
            <w:tcW w:w="509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  <w:t>25 032 396 741,31 Kč</w:t>
            </w:r>
          </w:p>
        </w:tc>
        <w:tc>
          <w:tcPr>
            <w:tcW w:w="166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b/>
                <w:sz w:val="16"/>
                <w:szCs w:val="16"/>
                <w:lang w:eastAsia="cs-CZ"/>
              </w:rPr>
              <w:t>62,02</w:t>
            </w:r>
          </w:p>
        </w:tc>
        <w:tc>
          <w:tcPr>
            <w:tcW w:w="407" w:type="pct"/>
            <w:shd w:val="clear" w:color="auto" w:fill="auto"/>
            <w:noWrap/>
            <w:vAlign w:val="center"/>
          </w:tcPr>
          <w:p w:rsidR="00151A9B" w:rsidRPr="007C0BE9" w:rsidRDefault="00151A9B" w:rsidP="00CF2CAD">
            <w:pPr>
              <w:spacing w:before="0" w:after="0" w:line="240" w:lineRule="auto"/>
              <w:jc w:val="both"/>
              <w:rPr>
                <w:rFonts w:ascii="Arial Narrow" w:eastAsia="Times New Roman" w:hAnsi="Arial Narrow" w:cs="Times New Roman"/>
                <w:sz w:val="14"/>
                <w:szCs w:val="14"/>
                <w:lang w:eastAsia="cs-CZ"/>
              </w:rPr>
            </w:pPr>
          </w:p>
        </w:tc>
      </w:tr>
    </w:tbl>
    <w:p w:rsidR="004B6DE9" w:rsidRDefault="004B6DE9" w:rsidP="00CF2CAD">
      <w:pPr>
        <w:pStyle w:val="Titulek"/>
        <w:keepNext/>
        <w:jc w:val="both"/>
        <w:rPr>
          <w:color w:val="auto"/>
          <w:sz w:val="20"/>
          <w:szCs w:val="20"/>
        </w:rPr>
      </w:pPr>
    </w:p>
    <w:p w:rsidR="00151A9B" w:rsidRPr="007C0BE9" w:rsidRDefault="00151A9B" w:rsidP="00CF2CAD">
      <w:pPr>
        <w:pStyle w:val="Titulek"/>
        <w:keepNext/>
        <w:jc w:val="both"/>
        <w:rPr>
          <w:color w:val="auto"/>
          <w:sz w:val="20"/>
          <w:szCs w:val="20"/>
        </w:rPr>
      </w:pPr>
      <w:r w:rsidRPr="007C0BE9">
        <w:rPr>
          <w:color w:val="auto"/>
          <w:sz w:val="20"/>
          <w:szCs w:val="20"/>
        </w:rPr>
        <w:t>Příloha č. 2: Prodloužení realizace u projektů PO 1 a 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4677"/>
        <w:gridCol w:w="1276"/>
        <w:gridCol w:w="1559"/>
      </w:tblGrid>
      <w:tr w:rsidR="00151A9B" w:rsidRPr="007C0BE9" w:rsidTr="00151A9B">
        <w:tc>
          <w:tcPr>
            <w:tcW w:w="6345" w:type="dxa"/>
            <w:gridSpan w:val="2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>Projekty PO 1 a 2, u kterých byla prodloužena realizace v rámci výzvy:</w:t>
            </w:r>
          </w:p>
        </w:tc>
        <w:tc>
          <w:tcPr>
            <w:tcW w:w="1276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cs-CZ"/>
              </w:rPr>
              <w:t>Původní termín:</w:t>
            </w:r>
          </w:p>
        </w:tc>
        <w:tc>
          <w:tcPr>
            <w:tcW w:w="1559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cs-CZ"/>
              </w:rPr>
              <w:t>Nový termín:</w:t>
            </w:r>
          </w:p>
        </w:tc>
      </w:tr>
      <w:tr w:rsidR="00151A9B" w:rsidRPr="007C0BE9" w:rsidTr="00151A9B">
        <w:tc>
          <w:tcPr>
            <w:tcW w:w="1668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CZ.1.05/1.1.00/02.0073</w:t>
            </w:r>
          </w:p>
        </w:tc>
        <w:tc>
          <w:tcPr>
            <w:tcW w:w="4677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CzechGlobe – Centrum pro studium dopadů globální změny klimatu</w:t>
            </w:r>
          </w:p>
        </w:tc>
        <w:tc>
          <w:tcPr>
            <w:tcW w:w="1276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30. 4. 2014</w:t>
            </w:r>
          </w:p>
        </w:tc>
        <w:tc>
          <w:tcPr>
            <w:tcW w:w="1559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31. 12. 2014</w:t>
            </w:r>
          </w:p>
        </w:tc>
      </w:tr>
      <w:tr w:rsidR="00151A9B" w:rsidRPr="007C0BE9" w:rsidTr="00151A9B">
        <w:tc>
          <w:tcPr>
            <w:tcW w:w="1668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CZ.1.05/2.1.00/03.0097</w:t>
            </w:r>
          </w:p>
        </w:tc>
        <w:tc>
          <w:tcPr>
            <w:tcW w:w="4677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AdMaS – Pokročilé stavební materiály, konstrukce a technologie</w:t>
            </w:r>
          </w:p>
        </w:tc>
        <w:tc>
          <w:tcPr>
            <w:tcW w:w="1276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30. 6. 2014</w:t>
            </w:r>
          </w:p>
        </w:tc>
        <w:tc>
          <w:tcPr>
            <w:tcW w:w="1559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31. 12. 2014</w:t>
            </w:r>
          </w:p>
        </w:tc>
      </w:tr>
      <w:tr w:rsidR="00151A9B" w:rsidRPr="007C0BE9" w:rsidTr="00151A9B">
        <w:tc>
          <w:tcPr>
            <w:tcW w:w="6345" w:type="dxa"/>
            <w:gridSpan w:val="2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  <w:t xml:space="preserve">Projekty PO 1 a 2, jejichž realizace byla prodloužena za výzvu: </w:t>
            </w:r>
          </w:p>
        </w:tc>
        <w:tc>
          <w:tcPr>
            <w:tcW w:w="1276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cs-CZ"/>
              </w:rPr>
              <w:t>Původní termín:</w:t>
            </w:r>
          </w:p>
        </w:tc>
        <w:tc>
          <w:tcPr>
            <w:tcW w:w="1559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cs-CZ"/>
              </w:rPr>
              <w:t>Nový termín:</w:t>
            </w:r>
          </w:p>
        </w:tc>
      </w:tr>
      <w:tr w:rsidR="00151A9B" w:rsidRPr="007C0BE9" w:rsidTr="00151A9B">
        <w:tc>
          <w:tcPr>
            <w:tcW w:w="1668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CZ.1.05/2.1.00/03.0111</w:t>
            </w:r>
          </w:p>
        </w:tc>
        <w:tc>
          <w:tcPr>
            <w:tcW w:w="4677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Centrum polymerních systémů</w:t>
            </w:r>
          </w:p>
        </w:tc>
        <w:tc>
          <w:tcPr>
            <w:tcW w:w="1276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31. 8. 2014</w:t>
            </w:r>
          </w:p>
        </w:tc>
        <w:tc>
          <w:tcPr>
            <w:tcW w:w="1559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30. 4. 2015</w:t>
            </w:r>
          </w:p>
        </w:tc>
      </w:tr>
      <w:tr w:rsidR="00151A9B" w:rsidRPr="007C0BE9" w:rsidTr="00151A9B">
        <w:tc>
          <w:tcPr>
            <w:tcW w:w="1668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CZ.1.05/2.1.00/03.0093</w:t>
            </w:r>
          </w:p>
        </w:tc>
        <w:tc>
          <w:tcPr>
            <w:tcW w:w="4677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Regionální technologický institut - RTI</w:t>
            </w:r>
          </w:p>
        </w:tc>
        <w:tc>
          <w:tcPr>
            <w:tcW w:w="1276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30. 6. 2014</w:t>
            </w:r>
          </w:p>
        </w:tc>
        <w:tc>
          <w:tcPr>
            <w:tcW w:w="1559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30. 6. 2015</w:t>
            </w:r>
          </w:p>
        </w:tc>
      </w:tr>
      <w:tr w:rsidR="00151A9B" w:rsidRPr="007C0BE9" w:rsidTr="00151A9B">
        <w:tc>
          <w:tcPr>
            <w:tcW w:w="1668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CZ.1.05/2.1.00/03.0091</w:t>
            </w:r>
          </w:p>
        </w:tc>
        <w:tc>
          <w:tcPr>
            <w:tcW w:w="4677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Univerzitní centrum energeticky efektivních budov (UCEEB)</w:t>
            </w:r>
          </w:p>
        </w:tc>
        <w:tc>
          <w:tcPr>
            <w:tcW w:w="1276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31. 12. 2014</w:t>
            </w:r>
          </w:p>
        </w:tc>
        <w:tc>
          <w:tcPr>
            <w:tcW w:w="1559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31. 10. 2015</w:t>
            </w:r>
          </w:p>
        </w:tc>
      </w:tr>
      <w:tr w:rsidR="00151A9B" w:rsidRPr="007C0BE9" w:rsidTr="00151A9B">
        <w:tc>
          <w:tcPr>
            <w:tcW w:w="1668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CZ.1.05/2.1.00/03.0071</w:t>
            </w:r>
          </w:p>
        </w:tc>
        <w:tc>
          <w:tcPr>
            <w:tcW w:w="4677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Unipetrol výzkumně vzdělávací centrum</w:t>
            </w:r>
          </w:p>
        </w:tc>
        <w:tc>
          <w:tcPr>
            <w:tcW w:w="1276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31. 12. 2014</w:t>
            </w:r>
          </w:p>
        </w:tc>
        <w:tc>
          <w:tcPr>
            <w:tcW w:w="1559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31. 12. 2015</w:t>
            </w:r>
          </w:p>
        </w:tc>
      </w:tr>
      <w:tr w:rsidR="00151A9B" w:rsidRPr="007C0BE9" w:rsidTr="00151A9B">
        <w:tc>
          <w:tcPr>
            <w:tcW w:w="1668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CZ.1.05/2.1.00/03.0094</w:t>
            </w:r>
          </w:p>
        </w:tc>
        <w:tc>
          <w:tcPr>
            <w:tcW w:w="4677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ahoma"/>
                <w:sz w:val="16"/>
                <w:szCs w:val="16"/>
                <w:lang w:eastAsia="cs-CZ"/>
              </w:rPr>
              <w:t>Regionální inovační centrum elektrotechniky (RICE)</w:t>
            </w:r>
          </w:p>
        </w:tc>
        <w:tc>
          <w:tcPr>
            <w:tcW w:w="1276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31. 12. 2014</w:t>
            </w:r>
          </w:p>
        </w:tc>
        <w:tc>
          <w:tcPr>
            <w:tcW w:w="1559" w:type="dxa"/>
            <w:vAlign w:val="center"/>
          </w:tcPr>
          <w:p w:rsidR="00151A9B" w:rsidRPr="007C0BE9" w:rsidRDefault="00151A9B" w:rsidP="00CF2CAD">
            <w:pPr>
              <w:spacing w:before="120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</w:pPr>
            <w:r w:rsidRPr="007C0BE9">
              <w:rPr>
                <w:rFonts w:ascii="Arial Narrow" w:eastAsia="Times New Roman" w:hAnsi="Arial Narrow" w:cs="Times New Roman"/>
                <w:sz w:val="16"/>
                <w:szCs w:val="16"/>
                <w:lang w:eastAsia="cs-CZ"/>
              </w:rPr>
              <w:t>31. 12. 2015</w:t>
            </w:r>
          </w:p>
        </w:tc>
      </w:tr>
    </w:tbl>
    <w:p w:rsidR="006E7FFC" w:rsidRDefault="006E7FFC" w:rsidP="00CF2CAD">
      <w:pPr>
        <w:jc w:val="both"/>
        <w:rPr>
          <w:b/>
        </w:rPr>
      </w:pPr>
    </w:p>
    <w:p w:rsidR="00A4047E" w:rsidRDefault="006E7FFC" w:rsidP="00CF2CAD">
      <w:pPr>
        <w:jc w:val="both"/>
        <w:rPr>
          <w:b/>
        </w:rPr>
      </w:pPr>
      <w:r>
        <w:rPr>
          <w:b/>
        </w:rPr>
        <w:t xml:space="preserve"> </w:t>
      </w:r>
    </w:p>
    <w:p w:rsidR="00AF360F" w:rsidRDefault="00A4047E">
      <w:pPr>
        <w:spacing w:before="0" w:after="200"/>
        <w:rPr>
          <w:b/>
        </w:rPr>
        <w:sectPr w:rsidR="00AF360F" w:rsidSect="0097631E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rPr>
          <w:b/>
        </w:rPr>
        <w:br w:type="page"/>
      </w:r>
    </w:p>
    <w:p w:rsidR="00A4047E" w:rsidRDefault="00A4047E" w:rsidP="00A4047E">
      <w:pPr>
        <w:pStyle w:val="Titulek"/>
        <w:keepNext/>
        <w:jc w:val="both"/>
        <w:rPr>
          <w:color w:val="auto"/>
          <w:sz w:val="20"/>
          <w:szCs w:val="20"/>
        </w:rPr>
      </w:pPr>
      <w:r w:rsidRPr="00A4047E">
        <w:rPr>
          <w:color w:val="auto"/>
          <w:sz w:val="20"/>
          <w:szCs w:val="20"/>
        </w:rPr>
        <w:lastRenderedPageBreak/>
        <w:t xml:space="preserve">Příloha č. </w:t>
      </w:r>
      <w:r>
        <w:rPr>
          <w:color w:val="auto"/>
          <w:sz w:val="20"/>
          <w:szCs w:val="20"/>
        </w:rPr>
        <w:t>3a</w:t>
      </w:r>
      <w:r w:rsidRPr="00A4047E">
        <w:rPr>
          <w:color w:val="auto"/>
          <w:sz w:val="20"/>
          <w:szCs w:val="20"/>
        </w:rPr>
        <w:t>: Podpora projektů center vybudovaných z OP VaVpI v Národním programu udržitelnosti I</w:t>
      </w:r>
    </w:p>
    <w:p w:rsidR="00A4047E" w:rsidRPr="00A4047E" w:rsidRDefault="00A4047E" w:rsidP="00A4047E">
      <w:pPr>
        <w:pStyle w:val="Titulek"/>
        <w:keepNext/>
        <w:spacing w:before="0"/>
        <w:jc w:val="both"/>
        <w:rPr>
          <w:color w:val="auto"/>
          <w:sz w:val="20"/>
          <w:szCs w:val="20"/>
        </w:rPr>
      </w:pPr>
      <w:r w:rsidRPr="00A4047E">
        <w:rPr>
          <w:color w:val="auto"/>
          <w:sz w:val="20"/>
          <w:szCs w:val="20"/>
        </w:rPr>
        <w:t>První veřejná soutě</w:t>
      </w:r>
      <w:r>
        <w:rPr>
          <w:color w:val="auto"/>
          <w:sz w:val="20"/>
          <w:szCs w:val="20"/>
        </w:rPr>
        <w:t>ž</w:t>
      </w:r>
    </w:p>
    <w:p w:rsidR="00A4047E" w:rsidRPr="00A4047E" w:rsidRDefault="00A4047E" w:rsidP="00A4047E">
      <w:r w:rsidRPr="00D803E9">
        <w:rPr>
          <w:noProof/>
          <w:sz w:val="56"/>
          <w:lang w:eastAsia="cs-CZ"/>
        </w:rPr>
        <w:drawing>
          <wp:inline distT="0" distB="0" distL="0" distR="0" wp14:anchorId="23C965AF" wp14:editId="004EC265">
            <wp:extent cx="9040483" cy="4692769"/>
            <wp:effectExtent l="0" t="0" r="889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818" cy="4701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47E" w:rsidRDefault="00A4047E" w:rsidP="00A4047E"/>
    <w:p w:rsidR="00A4047E" w:rsidRDefault="00A4047E" w:rsidP="00A4047E">
      <w:pPr>
        <w:pStyle w:val="Titulek"/>
        <w:keepNext/>
        <w:jc w:val="both"/>
        <w:rPr>
          <w:color w:val="auto"/>
          <w:sz w:val="20"/>
          <w:szCs w:val="20"/>
        </w:rPr>
      </w:pPr>
      <w:r w:rsidRPr="00A4047E">
        <w:rPr>
          <w:color w:val="auto"/>
          <w:sz w:val="20"/>
          <w:szCs w:val="20"/>
        </w:rPr>
        <w:t xml:space="preserve">Příloha č. </w:t>
      </w:r>
      <w:r>
        <w:rPr>
          <w:color w:val="auto"/>
          <w:sz w:val="20"/>
          <w:szCs w:val="20"/>
        </w:rPr>
        <w:t>3b</w:t>
      </w:r>
      <w:r w:rsidRPr="00A4047E">
        <w:rPr>
          <w:color w:val="auto"/>
          <w:sz w:val="20"/>
          <w:szCs w:val="20"/>
        </w:rPr>
        <w:t>: Podpora projektů center vybudovaných z OP VaVpI v Národním programu udržitelnosti I</w:t>
      </w:r>
    </w:p>
    <w:p w:rsidR="00A4047E" w:rsidRPr="00A4047E" w:rsidRDefault="00A4047E" w:rsidP="00A4047E">
      <w:pPr>
        <w:pStyle w:val="Titulek"/>
        <w:keepNext/>
        <w:spacing w:before="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Druhá</w:t>
      </w:r>
      <w:r w:rsidRPr="00A4047E">
        <w:rPr>
          <w:color w:val="auto"/>
          <w:sz w:val="20"/>
          <w:szCs w:val="20"/>
        </w:rPr>
        <w:t xml:space="preserve"> veřejná soutě</w:t>
      </w:r>
      <w:r>
        <w:rPr>
          <w:color w:val="auto"/>
          <w:sz w:val="20"/>
          <w:szCs w:val="20"/>
        </w:rPr>
        <w:t>ž</w:t>
      </w:r>
    </w:p>
    <w:p w:rsidR="00A4047E" w:rsidRDefault="00A4047E" w:rsidP="00A4047E">
      <w:r w:rsidRPr="00A4047E">
        <w:rPr>
          <w:noProof/>
          <w:lang w:eastAsia="cs-CZ"/>
        </w:rPr>
        <w:drawing>
          <wp:inline distT="0" distB="0" distL="0" distR="0" wp14:anchorId="68844BAB" wp14:editId="3657DB0E">
            <wp:extent cx="8798080" cy="3830128"/>
            <wp:effectExtent l="0" t="0" r="317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3850" cy="382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1A8" w:rsidRDefault="00D871A8" w:rsidP="00A4047E"/>
    <w:p w:rsidR="00AF360F" w:rsidRDefault="00AF360F" w:rsidP="00A4047E"/>
    <w:p w:rsidR="00A4047E" w:rsidRDefault="00A4047E" w:rsidP="00A4047E">
      <w:pPr>
        <w:pStyle w:val="Titulek"/>
        <w:keepNext/>
        <w:jc w:val="both"/>
        <w:rPr>
          <w:color w:val="auto"/>
          <w:sz w:val="20"/>
          <w:szCs w:val="20"/>
        </w:rPr>
      </w:pPr>
      <w:r w:rsidRPr="00A4047E">
        <w:rPr>
          <w:color w:val="auto"/>
          <w:sz w:val="20"/>
          <w:szCs w:val="20"/>
        </w:rPr>
        <w:lastRenderedPageBreak/>
        <w:t xml:space="preserve">Příloha č. </w:t>
      </w:r>
      <w:r>
        <w:rPr>
          <w:color w:val="auto"/>
          <w:sz w:val="20"/>
          <w:szCs w:val="20"/>
        </w:rPr>
        <w:t>3</w:t>
      </w:r>
      <w:r w:rsidR="009D103B">
        <w:rPr>
          <w:color w:val="auto"/>
          <w:sz w:val="20"/>
          <w:szCs w:val="20"/>
        </w:rPr>
        <w:t>c</w:t>
      </w:r>
      <w:r w:rsidRPr="00A4047E">
        <w:rPr>
          <w:color w:val="auto"/>
          <w:sz w:val="20"/>
          <w:szCs w:val="20"/>
        </w:rPr>
        <w:t>: Podpora projektů center vybudovaných z OP VaVpI v Národním programu udržitelnosti I</w:t>
      </w:r>
    </w:p>
    <w:p w:rsidR="00A4047E" w:rsidRDefault="00A4047E" w:rsidP="00A4047E">
      <w:pPr>
        <w:pStyle w:val="Titulek"/>
        <w:keepNext/>
        <w:spacing w:before="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Třetí</w:t>
      </w:r>
      <w:r w:rsidRPr="00A4047E">
        <w:rPr>
          <w:color w:val="auto"/>
          <w:sz w:val="20"/>
          <w:szCs w:val="20"/>
        </w:rPr>
        <w:t xml:space="preserve"> veřejná soutě</w:t>
      </w:r>
      <w:r>
        <w:rPr>
          <w:color w:val="auto"/>
          <w:sz w:val="20"/>
          <w:szCs w:val="20"/>
        </w:rPr>
        <w:t>ž</w:t>
      </w:r>
    </w:p>
    <w:p w:rsidR="00AF360F" w:rsidRDefault="00A4047E" w:rsidP="00A4047E">
      <w:pPr>
        <w:sectPr w:rsidR="00AF360F" w:rsidSect="00AF360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A4047E">
        <w:rPr>
          <w:noProof/>
          <w:lang w:eastAsia="cs-CZ"/>
        </w:rPr>
        <w:drawing>
          <wp:inline distT="0" distB="0" distL="0" distR="0" wp14:anchorId="637B7A95" wp14:editId="131A7F72">
            <wp:extent cx="8496227" cy="5003321"/>
            <wp:effectExtent l="0" t="0" r="635" b="698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227" cy="5003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FFA" w:rsidRDefault="00912FFA" w:rsidP="00912FFA">
      <w:pPr>
        <w:pStyle w:val="Titulek"/>
        <w:keepNext/>
        <w:jc w:val="both"/>
        <w:rPr>
          <w:color w:val="auto"/>
          <w:sz w:val="20"/>
          <w:szCs w:val="20"/>
        </w:rPr>
      </w:pPr>
      <w:r w:rsidRPr="00A4047E">
        <w:rPr>
          <w:color w:val="auto"/>
          <w:sz w:val="20"/>
          <w:szCs w:val="20"/>
        </w:rPr>
        <w:lastRenderedPageBreak/>
        <w:t xml:space="preserve">Příloha č. </w:t>
      </w:r>
      <w:r>
        <w:rPr>
          <w:color w:val="auto"/>
          <w:sz w:val="20"/>
          <w:szCs w:val="20"/>
        </w:rPr>
        <w:t>4</w:t>
      </w:r>
      <w:r w:rsidRPr="00A4047E">
        <w:rPr>
          <w:color w:val="auto"/>
          <w:sz w:val="20"/>
          <w:szCs w:val="20"/>
        </w:rPr>
        <w:t xml:space="preserve">: </w:t>
      </w:r>
      <w:r>
        <w:rPr>
          <w:color w:val="auto"/>
          <w:sz w:val="20"/>
          <w:szCs w:val="20"/>
        </w:rPr>
        <w:t>Rekapitulace</w:t>
      </w:r>
    </w:p>
    <w:p w:rsidR="00912FFA" w:rsidRDefault="00912FFA" w:rsidP="00A4047E"/>
    <w:p w:rsidR="00912FFA" w:rsidRDefault="00912FFA" w:rsidP="00A4047E"/>
    <w:p w:rsidR="00912FFA" w:rsidRDefault="00912FFA" w:rsidP="00A4047E"/>
    <w:p w:rsidR="004647EF" w:rsidRDefault="004647EF" w:rsidP="00A4047E"/>
    <w:tbl>
      <w:tblPr>
        <w:tblpPr w:leftFromText="141" w:rightFromText="141" w:vertAnchor="page" w:horzAnchor="margin" w:tblpXSpec="center" w:tblpY="682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51"/>
        <w:gridCol w:w="944"/>
        <w:gridCol w:w="944"/>
        <w:gridCol w:w="945"/>
        <w:gridCol w:w="945"/>
        <w:gridCol w:w="945"/>
        <w:gridCol w:w="945"/>
        <w:gridCol w:w="1052"/>
        <w:gridCol w:w="1329"/>
      </w:tblGrid>
      <w:tr w:rsidR="00912FFA" w:rsidRPr="00D871A8" w:rsidTr="00912FFA">
        <w:trPr>
          <w:trHeight w:val="560"/>
          <w:jc w:val="center"/>
        </w:trPr>
        <w:tc>
          <w:tcPr>
            <w:tcW w:w="9234" w:type="dxa"/>
            <w:gridSpan w:val="9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Default="00912FFA" w:rsidP="001B0D3E">
            <w:pPr>
              <w:spacing w:before="0" w:after="0" w:line="240" w:lineRule="auto"/>
              <w:jc w:val="center"/>
              <w:textAlignment w:val="bottom"/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 xml:space="preserve">Podpora z NPU I (v </w:t>
            </w: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>mil.</w:t>
            </w: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 xml:space="preserve"> Kč)</w:t>
            </w: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 xml:space="preserve"> – 1. výzva podpořeno 14 VaVpI-center – </w:t>
            </w:r>
          </w:p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>zveřejněna 1.8.2013</w:t>
            </w:r>
          </w:p>
        </w:tc>
      </w:tr>
      <w:tr w:rsidR="00912FFA" w:rsidRPr="00D871A8" w:rsidTr="00912FFA">
        <w:trPr>
          <w:trHeight w:val="617"/>
          <w:jc w:val="center"/>
        </w:trPr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 2013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2014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2015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2016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2017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2018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 2020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Celkem </w:t>
            </w:r>
          </w:p>
        </w:tc>
      </w:tr>
      <w:tr w:rsidR="00912FFA" w:rsidRPr="00D871A8" w:rsidTr="00912FFA">
        <w:trPr>
          <w:trHeight w:val="553"/>
          <w:jc w:val="center"/>
        </w:trPr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48 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512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471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426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401 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362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0" w:type="auto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D871A8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2 220 </w:t>
            </w:r>
          </w:p>
        </w:tc>
      </w:tr>
    </w:tbl>
    <w:p w:rsidR="004647EF" w:rsidRDefault="004647EF" w:rsidP="00A4047E"/>
    <w:p w:rsidR="00912FFA" w:rsidRDefault="00912FFA" w:rsidP="00A4047E"/>
    <w:p w:rsidR="00912FFA" w:rsidRDefault="00912FFA" w:rsidP="00A4047E"/>
    <w:p w:rsidR="00912FFA" w:rsidRDefault="00912FFA" w:rsidP="00A4047E"/>
    <w:p w:rsidR="00912FFA" w:rsidRDefault="00912FFA" w:rsidP="00A4047E"/>
    <w:tbl>
      <w:tblPr>
        <w:tblW w:w="93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09"/>
        <w:gridCol w:w="1009"/>
        <w:gridCol w:w="1054"/>
        <w:gridCol w:w="1054"/>
        <w:gridCol w:w="1054"/>
        <w:gridCol w:w="1054"/>
        <w:gridCol w:w="1054"/>
        <w:gridCol w:w="1009"/>
        <w:gridCol w:w="1013"/>
      </w:tblGrid>
      <w:tr w:rsidR="00AF360F" w:rsidRPr="00D871A8" w:rsidTr="00132481">
        <w:trPr>
          <w:trHeight w:val="357"/>
          <w:jc w:val="center"/>
        </w:trPr>
        <w:tc>
          <w:tcPr>
            <w:tcW w:w="9310" w:type="dxa"/>
            <w:gridSpan w:val="9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360F" w:rsidRDefault="00AF360F" w:rsidP="00132481">
            <w:pPr>
              <w:spacing w:before="0" w:after="0" w:line="240" w:lineRule="auto"/>
              <w:jc w:val="center"/>
              <w:textAlignment w:val="bottom"/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>Podpora z NPU I (v mil</w:t>
            </w: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>. Kč)</w:t>
            </w: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 xml:space="preserve"> -2. výzva podpořeno 4 VaVpI-center – </w:t>
            </w:r>
          </w:p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>zveřejněna 3. 3. 2014</w:t>
            </w:r>
          </w:p>
        </w:tc>
      </w:tr>
      <w:tr w:rsidR="00AF360F" w:rsidRPr="00D871A8" w:rsidTr="00912FFA">
        <w:trPr>
          <w:trHeight w:val="769"/>
          <w:jc w:val="center"/>
        </w:trPr>
        <w:tc>
          <w:tcPr>
            <w:tcW w:w="100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 2013</w:t>
            </w:r>
          </w:p>
        </w:tc>
        <w:tc>
          <w:tcPr>
            <w:tcW w:w="100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2014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2015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2016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2017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2018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100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 2020</w:t>
            </w:r>
          </w:p>
        </w:tc>
        <w:tc>
          <w:tcPr>
            <w:tcW w:w="1013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Celkem </w:t>
            </w:r>
          </w:p>
        </w:tc>
      </w:tr>
      <w:tr w:rsidR="00AF360F" w:rsidRPr="00D871A8" w:rsidTr="00912FFA">
        <w:trPr>
          <w:trHeight w:val="540"/>
          <w:jc w:val="center"/>
        </w:trPr>
        <w:tc>
          <w:tcPr>
            <w:tcW w:w="100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00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57 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167 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   1</w:t>
            </w: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25 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120 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117 </w:t>
            </w:r>
          </w:p>
        </w:tc>
        <w:tc>
          <w:tcPr>
            <w:tcW w:w="1054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66 </w:t>
            </w:r>
          </w:p>
        </w:tc>
        <w:tc>
          <w:tcPr>
            <w:tcW w:w="100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013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F360F" w:rsidRPr="00D871A8" w:rsidRDefault="00AF360F" w:rsidP="00132481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D871A8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655 </w:t>
            </w:r>
          </w:p>
        </w:tc>
      </w:tr>
    </w:tbl>
    <w:p w:rsidR="00AF360F" w:rsidRDefault="00AF360F" w:rsidP="00AF360F">
      <w:pPr>
        <w:spacing w:before="0" w:after="200"/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95"/>
        <w:gridCol w:w="995"/>
        <w:gridCol w:w="1039"/>
        <w:gridCol w:w="1039"/>
        <w:gridCol w:w="1039"/>
        <w:gridCol w:w="1039"/>
        <w:gridCol w:w="1039"/>
        <w:gridCol w:w="995"/>
        <w:gridCol w:w="995"/>
      </w:tblGrid>
      <w:tr w:rsidR="00912FFA" w:rsidRPr="004647EF" w:rsidTr="001B0D3E">
        <w:trPr>
          <w:trHeight w:val="75"/>
        </w:trPr>
        <w:tc>
          <w:tcPr>
            <w:tcW w:w="9174" w:type="dxa"/>
            <w:gridSpan w:val="9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12FFA" w:rsidRDefault="00912FFA" w:rsidP="001B0D3E">
            <w:pPr>
              <w:spacing w:before="0" w:after="0" w:line="76" w:lineRule="atLeast"/>
              <w:jc w:val="center"/>
              <w:textAlignment w:val="bottom"/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>Podpora z NPU I (v mil</w:t>
            </w: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>. Kč)</w:t>
            </w: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 xml:space="preserve">  - 3. výzva podpořeno 4 VaVpI-center – </w:t>
            </w:r>
          </w:p>
          <w:p w:rsidR="00912FFA" w:rsidRPr="004647EF" w:rsidRDefault="00912FFA" w:rsidP="001B0D3E">
            <w:pPr>
              <w:spacing w:before="0" w:after="0" w:line="76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val="pl-PL" w:eastAsia="cs-CZ"/>
              </w:rPr>
              <w:t>zveřejněna 1. 11. 2014</w:t>
            </w:r>
          </w:p>
        </w:tc>
      </w:tr>
      <w:tr w:rsidR="00912FFA" w:rsidRPr="004647EF" w:rsidTr="001B0D3E">
        <w:trPr>
          <w:trHeight w:val="873"/>
        </w:trPr>
        <w:tc>
          <w:tcPr>
            <w:tcW w:w="995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 2013</w:t>
            </w:r>
          </w:p>
        </w:tc>
        <w:tc>
          <w:tcPr>
            <w:tcW w:w="995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2014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2015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2016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2017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2018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995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 2020</w:t>
            </w:r>
          </w:p>
        </w:tc>
        <w:tc>
          <w:tcPr>
            <w:tcW w:w="995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Celkem </w:t>
            </w:r>
          </w:p>
        </w:tc>
      </w:tr>
      <w:tr w:rsidR="00912FFA" w:rsidRPr="004647EF" w:rsidTr="001B0D3E">
        <w:trPr>
          <w:trHeight w:val="546"/>
        </w:trPr>
        <w:tc>
          <w:tcPr>
            <w:tcW w:w="995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995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277 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280 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285 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289 </w:t>
            </w:r>
          </w:p>
        </w:tc>
        <w:tc>
          <w:tcPr>
            <w:tcW w:w="1039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289 </w:t>
            </w:r>
          </w:p>
        </w:tc>
        <w:tc>
          <w:tcPr>
            <w:tcW w:w="995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995" w:type="dxa"/>
            <w:shd w:val="clear" w:color="auto" w:fill="E8F0F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12FFA" w:rsidRPr="004647EF" w:rsidRDefault="00912FFA" w:rsidP="001B0D3E">
            <w:pPr>
              <w:spacing w:before="0"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4647EF">
              <w:rPr>
                <w:rFonts w:ascii="Lucida Sans Unicode" w:eastAsia="Times New Roman" w:hAnsi="Lucida Sans Unicode" w:cs="Lucida Sans Unicode"/>
                <w:color w:val="000000"/>
                <w:kern w:val="24"/>
                <w:sz w:val="24"/>
                <w:szCs w:val="24"/>
                <w:lang w:eastAsia="cs-CZ"/>
              </w:rPr>
              <w:t xml:space="preserve">1 422 </w:t>
            </w:r>
          </w:p>
        </w:tc>
      </w:tr>
    </w:tbl>
    <w:p w:rsidR="00D871A8" w:rsidRDefault="00D871A8">
      <w:pPr>
        <w:spacing w:before="0" w:after="200"/>
      </w:pPr>
    </w:p>
    <w:sectPr w:rsidR="00D871A8" w:rsidSect="00AF360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DF6" w:rsidRDefault="00794DF6" w:rsidP="0059667C">
      <w:pPr>
        <w:spacing w:after="0" w:line="240" w:lineRule="auto"/>
      </w:pPr>
      <w:r>
        <w:separator/>
      </w:r>
    </w:p>
  </w:endnote>
  <w:endnote w:type="continuationSeparator" w:id="0">
    <w:p w:rsidR="00794DF6" w:rsidRDefault="00794DF6" w:rsidP="00596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488620"/>
      <w:docPartObj>
        <w:docPartGallery w:val="Page Numbers (Bottom of Page)"/>
        <w:docPartUnique/>
      </w:docPartObj>
    </w:sdtPr>
    <w:sdtEndPr/>
    <w:sdtContent>
      <w:p w:rsidR="00F80CB1" w:rsidRDefault="00F80CB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F71">
          <w:rPr>
            <w:noProof/>
          </w:rPr>
          <w:t>2</w:t>
        </w:r>
        <w:r>
          <w:fldChar w:fldCharType="end"/>
        </w:r>
      </w:p>
    </w:sdtContent>
  </w:sdt>
  <w:p w:rsidR="00F80CB1" w:rsidRDefault="00F80C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DF6" w:rsidRDefault="00794DF6" w:rsidP="0059667C">
      <w:pPr>
        <w:spacing w:after="0" w:line="240" w:lineRule="auto"/>
      </w:pPr>
      <w:r>
        <w:separator/>
      </w:r>
    </w:p>
  </w:footnote>
  <w:footnote w:type="continuationSeparator" w:id="0">
    <w:p w:rsidR="00794DF6" w:rsidRDefault="00794DF6" w:rsidP="0059667C">
      <w:pPr>
        <w:spacing w:after="0" w:line="240" w:lineRule="auto"/>
      </w:pPr>
      <w:r>
        <w:continuationSeparator/>
      </w:r>
    </w:p>
  </w:footnote>
  <w:footnote w:id="1">
    <w:p w:rsidR="00F80CB1" w:rsidRDefault="00F80CB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333F6">
        <w:rPr>
          <w:i/>
          <w:iCs/>
        </w:rPr>
        <w:t>NAŘÍZENÍ RADY (ES) č. 1083/2006 ze dne 11. července 2006 o obecných ustanoveních o Evropském fondu pro regionální rozvoj, Evropském sociálním fondu a Fondu soudržnosti a o zrušení nařízení (ES) č. 1260/1999</w:t>
      </w:r>
      <w:r>
        <w:rPr>
          <w:i/>
          <w:iCs/>
        </w:rPr>
        <w:t>.</w:t>
      </w:r>
    </w:p>
  </w:footnote>
  <w:footnote w:id="2">
    <w:p w:rsidR="00F80CB1" w:rsidRPr="009457A7" w:rsidRDefault="00F80CB1" w:rsidP="00A94603">
      <w:pPr>
        <w:spacing w:before="120"/>
        <w:jc w:val="both"/>
        <w:rPr>
          <w:i/>
          <w:iCs/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9457A7">
        <w:rPr>
          <w:i/>
          <w:iCs/>
          <w:sz w:val="20"/>
          <w:szCs w:val="20"/>
        </w:rPr>
        <w:t>Usnesením vlády ČR ze dne 19. června 2012 č. 444, resp. 445.</w:t>
      </w:r>
    </w:p>
    <w:p w:rsidR="00F80CB1" w:rsidRDefault="00F80CB1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514"/>
    <w:multiLevelType w:val="hybridMultilevel"/>
    <w:tmpl w:val="1BB09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F29E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1BA5892"/>
    <w:multiLevelType w:val="hybridMultilevel"/>
    <w:tmpl w:val="3C68C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C1CEB"/>
    <w:multiLevelType w:val="hybridMultilevel"/>
    <w:tmpl w:val="256E3F2C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31554C"/>
    <w:multiLevelType w:val="hybridMultilevel"/>
    <w:tmpl w:val="1A50D8D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E44345"/>
    <w:multiLevelType w:val="hybridMultilevel"/>
    <w:tmpl w:val="C6346F32"/>
    <w:lvl w:ilvl="0" w:tplc="51F6C3A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D0405"/>
    <w:multiLevelType w:val="multilevel"/>
    <w:tmpl w:val="36D012F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279F3D51"/>
    <w:multiLevelType w:val="hybridMultilevel"/>
    <w:tmpl w:val="3E5CB82C"/>
    <w:lvl w:ilvl="0" w:tplc="F51E0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3835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747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3E76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26D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6CD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F23C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585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6C53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A8979B8"/>
    <w:multiLevelType w:val="hybridMultilevel"/>
    <w:tmpl w:val="CA1878AC"/>
    <w:lvl w:ilvl="0" w:tplc="CF5A4A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5A3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928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04F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7E7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26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20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9E1D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762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ADB3C30"/>
    <w:multiLevelType w:val="hybridMultilevel"/>
    <w:tmpl w:val="91DE74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72328"/>
    <w:multiLevelType w:val="multilevel"/>
    <w:tmpl w:val="F4E23C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6A56271"/>
    <w:multiLevelType w:val="multilevel"/>
    <w:tmpl w:val="EAA67F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6F7333C"/>
    <w:multiLevelType w:val="multilevel"/>
    <w:tmpl w:val="7A2A3A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4260FE5"/>
    <w:multiLevelType w:val="hybridMultilevel"/>
    <w:tmpl w:val="016E3E9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6AE2B27"/>
    <w:multiLevelType w:val="hybridMultilevel"/>
    <w:tmpl w:val="97680D90"/>
    <w:lvl w:ilvl="0" w:tplc="8CC27CC4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>
    <w:nsid w:val="597765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6B44A21"/>
    <w:multiLevelType w:val="multilevel"/>
    <w:tmpl w:val="9EC8F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B637E1E"/>
    <w:multiLevelType w:val="hybridMultilevel"/>
    <w:tmpl w:val="54F24F9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72DA78A0"/>
    <w:multiLevelType w:val="hybridMultilevel"/>
    <w:tmpl w:val="BA1EA63E"/>
    <w:lvl w:ilvl="0" w:tplc="8CC27CC4">
      <w:start w:val="1"/>
      <w:numFmt w:val="bullet"/>
      <w:lvlText w:val="-"/>
      <w:lvlJc w:val="left"/>
      <w:pPr>
        <w:ind w:left="768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>
    <w:nsid w:val="74176102"/>
    <w:multiLevelType w:val="multilevel"/>
    <w:tmpl w:val="8514C3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77AE1F05"/>
    <w:multiLevelType w:val="hybridMultilevel"/>
    <w:tmpl w:val="629687A4"/>
    <w:lvl w:ilvl="0" w:tplc="1A7EC61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CC25F1"/>
    <w:multiLevelType w:val="hybridMultilevel"/>
    <w:tmpl w:val="B0DEB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1"/>
  </w:num>
  <w:num w:numId="4">
    <w:abstractNumId w:val="2"/>
  </w:num>
  <w:num w:numId="5">
    <w:abstractNumId w:val="16"/>
  </w:num>
  <w:num w:numId="6">
    <w:abstractNumId w:val="20"/>
  </w:num>
  <w:num w:numId="7">
    <w:abstractNumId w:val="0"/>
  </w:num>
  <w:num w:numId="8">
    <w:abstractNumId w:val="13"/>
  </w:num>
  <w:num w:numId="9">
    <w:abstractNumId w:val="4"/>
  </w:num>
  <w:num w:numId="10">
    <w:abstractNumId w:val="12"/>
  </w:num>
  <w:num w:numId="11">
    <w:abstractNumId w:val="17"/>
  </w:num>
  <w:num w:numId="12">
    <w:abstractNumId w:val="15"/>
  </w:num>
  <w:num w:numId="13">
    <w:abstractNumId w:val="14"/>
  </w:num>
  <w:num w:numId="14">
    <w:abstractNumId w:val="3"/>
  </w:num>
  <w:num w:numId="15">
    <w:abstractNumId w:val="18"/>
  </w:num>
  <w:num w:numId="16">
    <w:abstractNumId w:val="19"/>
  </w:num>
  <w:num w:numId="17">
    <w:abstractNumId w:val="10"/>
  </w:num>
  <w:num w:numId="18">
    <w:abstractNumId w:val="9"/>
  </w:num>
  <w:num w:numId="19">
    <w:abstractNumId w:val="5"/>
  </w:num>
  <w:num w:numId="20">
    <w:abstractNumId w:val="6"/>
  </w:num>
  <w:num w:numId="21">
    <w:abstractNumId w:val="1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67C"/>
    <w:rsid w:val="00016A7A"/>
    <w:rsid w:val="00022E5A"/>
    <w:rsid w:val="00025914"/>
    <w:rsid w:val="00031A7C"/>
    <w:rsid w:val="00063386"/>
    <w:rsid w:val="00092EA0"/>
    <w:rsid w:val="000B7CBF"/>
    <w:rsid w:val="000C556B"/>
    <w:rsid w:val="000D3068"/>
    <w:rsid w:val="001162EB"/>
    <w:rsid w:val="00131ACE"/>
    <w:rsid w:val="001404DB"/>
    <w:rsid w:val="00151A9B"/>
    <w:rsid w:val="00196A4A"/>
    <w:rsid w:val="001E1E16"/>
    <w:rsid w:val="0020079E"/>
    <w:rsid w:val="00201883"/>
    <w:rsid w:val="00210D10"/>
    <w:rsid w:val="00214386"/>
    <w:rsid w:val="00244FA4"/>
    <w:rsid w:val="00280B58"/>
    <w:rsid w:val="002815B5"/>
    <w:rsid w:val="0029275B"/>
    <w:rsid w:val="00294EAE"/>
    <w:rsid w:val="002D5569"/>
    <w:rsid w:val="002D7641"/>
    <w:rsid w:val="002E33E0"/>
    <w:rsid w:val="002E3F55"/>
    <w:rsid w:val="002F30F4"/>
    <w:rsid w:val="00322D25"/>
    <w:rsid w:val="003307AF"/>
    <w:rsid w:val="00347C55"/>
    <w:rsid w:val="00371156"/>
    <w:rsid w:val="0039259E"/>
    <w:rsid w:val="0039660C"/>
    <w:rsid w:val="0039783B"/>
    <w:rsid w:val="003B0DCA"/>
    <w:rsid w:val="003B5420"/>
    <w:rsid w:val="003E161F"/>
    <w:rsid w:val="003E2D74"/>
    <w:rsid w:val="003E4337"/>
    <w:rsid w:val="003F27B5"/>
    <w:rsid w:val="004201D2"/>
    <w:rsid w:val="00422505"/>
    <w:rsid w:val="004236CC"/>
    <w:rsid w:val="00424CD1"/>
    <w:rsid w:val="00450FB7"/>
    <w:rsid w:val="004526DC"/>
    <w:rsid w:val="004647EF"/>
    <w:rsid w:val="00493C34"/>
    <w:rsid w:val="004A7E61"/>
    <w:rsid w:val="004B6DE9"/>
    <w:rsid w:val="004C060E"/>
    <w:rsid w:val="004C31B8"/>
    <w:rsid w:val="004E0CC6"/>
    <w:rsid w:val="004E1E62"/>
    <w:rsid w:val="00530898"/>
    <w:rsid w:val="005333F6"/>
    <w:rsid w:val="00556F97"/>
    <w:rsid w:val="00560D85"/>
    <w:rsid w:val="0059667C"/>
    <w:rsid w:val="005A67D0"/>
    <w:rsid w:val="005B26C1"/>
    <w:rsid w:val="005C37BC"/>
    <w:rsid w:val="005D24BD"/>
    <w:rsid w:val="005D293D"/>
    <w:rsid w:val="005E1359"/>
    <w:rsid w:val="005E60BB"/>
    <w:rsid w:val="005E6464"/>
    <w:rsid w:val="005F10D5"/>
    <w:rsid w:val="00603AE7"/>
    <w:rsid w:val="00633E11"/>
    <w:rsid w:val="006400E7"/>
    <w:rsid w:val="00650A86"/>
    <w:rsid w:val="006556FE"/>
    <w:rsid w:val="006568F4"/>
    <w:rsid w:val="00666E34"/>
    <w:rsid w:val="00676194"/>
    <w:rsid w:val="006D1A96"/>
    <w:rsid w:val="006E75F3"/>
    <w:rsid w:val="006E7FFC"/>
    <w:rsid w:val="006F17F0"/>
    <w:rsid w:val="00704A78"/>
    <w:rsid w:val="0075749B"/>
    <w:rsid w:val="00763A99"/>
    <w:rsid w:val="00770EAE"/>
    <w:rsid w:val="00794C35"/>
    <w:rsid w:val="00794DF6"/>
    <w:rsid w:val="007977F9"/>
    <w:rsid w:val="007A2225"/>
    <w:rsid w:val="007B4F60"/>
    <w:rsid w:val="007C0A07"/>
    <w:rsid w:val="00805A74"/>
    <w:rsid w:val="008075AC"/>
    <w:rsid w:val="00812D0E"/>
    <w:rsid w:val="00843C36"/>
    <w:rsid w:val="00877F36"/>
    <w:rsid w:val="008B4021"/>
    <w:rsid w:val="008E6DBB"/>
    <w:rsid w:val="008F10AB"/>
    <w:rsid w:val="008F2610"/>
    <w:rsid w:val="008F4CF9"/>
    <w:rsid w:val="008F7C8A"/>
    <w:rsid w:val="00911D58"/>
    <w:rsid w:val="00912FFA"/>
    <w:rsid w:val="009210AD"/>
    <w:rsid w:val="009320B8"/>
    <w:rsid w:val="009457A7"/>
    <w:rsid w:val="0097631E"/>
    <w:rsid w:val="009C1F3D"/>
    <w:rsid w:val="009D103B"/>
    <w:rsid w:val="009D613D"/>
    <w:rsid w:val="00A0466B"/>
    <w:rsid w:val="00A07B41"/>
    <w:rsid w:val="00A11C59"/>
    <w:rsid w:val="00A20F98"/>
    <w:rsid w:val="00A35A34"/>
    <w:rsid w:val="00A4047E"/>
    <w:rsid w:val="00A803DA"/>
    <w:rsid w:val="00A85413"/>
    <w:rsid w:val="00A94603"/>
    <w:rsid w:val="00AA0765"/>
    <w:rsid w:val="00AE4D11"/>
    <w:rsid w:val="00AF360F"/>
    <w:rsid w:val="00AF4F8D"/>
    <w:rsid w:val="00B363E6"/>
    <w:rsid w:val="00BB3880"/>
    <w:rsid w:val="00C12C01"/>
    <w:rsid w:val="00C95110"/>
    <w:rsid w:val="00C96DB1"/>
    <w:rsid w:val="00CB56C8"/>
    <w:rsid w:val="00CF2CAD"/>
    <w:rsid w:val="00CF75F5"/>
    <w:rsid w:val="00D264EB"/>
    <w:rsid w:val="00D568FD"/>
    <w:rsid w:val="00D803E9"/>
    <w:rsid w:val="00D871A8"/>
    <w:rsid w:val="00D96588"/>
    <w:rsid w:val="00D96B6F"/>
    <w:rsid w:val="00DD5702"/>
    <w:rsid w:val="00E11F71"/>
    <w:rsid w:val="00E1593A"/>
    <w:rsid w:val="00E26360"/>
    <w:rsid w:val="00E265FA"/>
    <w:rsid w:val="00E351CC"/>
    <w:rsid w:val="00E432E6"/>
    <w:rsid w:val="00E66BCD"/>
    <w:rsid w:val="00E71F54"/>
    <w:rsid w:val="00E75306"/>
    <w:rsid w:val="00F00DC2"/>
    <w:rsid w:val="00F07F1C"/>
    <w:rsid w:val="00F15753"/>
    <w:rsid w:val="00F24BC8"/>
    <w:rsid w:val="00F34AA2"/>
    <w:rsid w:val="00F54B9D"/>
    <w:rsid w:val="00F60FEA"/>
    <w:rsid w:val="00F751E6"/>
    <w:rsid w:val="00F80CB1"/>
    <w:rsid w:val="00F95425"/>
    <w:rsid w:val="00FB03AA"/>
    <w:rsid w:val="00FB16BF"/>
    <w:rsid w:val="00FB1DA3"/>
    <w:rsid w:val="00FD06C3"/>
    <w:rsid w:val="00FD2CA7"/>
    <w:rsid w:val="00FD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FA4"/>
    <w:pPr>
      <w:spacing w:before="240" w:after="12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51A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31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1ACE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151A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51A9B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15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51A9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5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A9B"/>
  </w:style>
  <w:style w:type="paragraph" w:styleId="Zpat">
    <w:name w:val="footer"/>
    <w:basedOn w:val="Normln"/>
    <w:link w:val="ZpatChar"/>
    <w:uiPriority w:val="99"/>
    <w:unhideWhenUsed/>
    <w:rsid w:val="0015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A9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275B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275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275B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D2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FA4"/>
    <w:pPr>
      <w:spacing w:before="240" w:after="12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51A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31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1ACE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151A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51A9B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151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51A9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5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A9B"/>
  </w:style>
  <w:style w:type="paragraph" w:styleId="Zpat">
    <w:name w:val="footer"/>
    <w:basedOn w:val="Normln"/>
    <w:link w:val="ZpatChar"/>
    <w:uiPriority w:val="99"/>
    <w:unhideWhenUsed/>
    <w:rsid w:val="0015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A9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275B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275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275B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D2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4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50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289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3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rihova\AppData\Local\Microsoft\Windows\Temporary%20Internet%20Files\Content.Outlook\RYWEF6HR\p&#345;ehled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rihova\AppData\Local\Microsoft\Windows\Temporary%20Internet%20Files\Content.Outlook\RYWEF6HR\p&#345;ehled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cat>
            <c:strRef>
              <c:f>List1!$H$6:$H$11</c:f>
              <c:strCache>
                <c:ptCount val="6"/>
                <c:pt idx="0">
                  <c:v>MŠMT </c:v>
                </c:pt>
                <c:pt idx="1">
                  <c:v>AV ČR </c:v>
                </c:pt>
                <c:pt idx="2">
                  <c:v>MPO </c:v>
                </c:pt>
                <c:pt idx="3">
                  <c:v>MZe </c:v>
                </c:pt>
                <c:pt idx="4">
                  <c:v>MZd </c:v>
                </c:pt>
                <c:pt idx="5">
                  <c:v>MD </c:v>
                </c:pt>
              </c:strCache>
            </c:strRef>
          </c:cat>
          <c:val>
            <c:numRef>
              <c:f>List1!$I$6:$I$11</c:f>
              <c:numCache>
                <c:formatCode>General</c:formatCode>
                <c:ptCount val="6"/>
                <c:pt idx="0">
                  <c:v>26</c:v>
                </c:pt>
                <c:pt idx="1">
                  <c:v>7</c:v>
                </c:pt>
                <c:pt idx="2">
                  <c:v>4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explosion val="2"/>
          <c:cat>
            <c:strRef>
              <c:f>List1!$N$6:$N$9</c:f>
              <c:strCache>
                <c:ptCount val="4"/>
                <c:pt idx="0">
                  <c:v>MŠMT </c:v>
                </c:pt>
                <c:pt idx="1">
                  <c:v>AV ČR </c:v>
                </c:pt>
                <c:pt idx="2">
                  <c:v>MPO </c:v>
                </c:pt>
                <c:pt idx="3">
                  <c:v>MZd </c:v>
                </c:pt>
              </c:strCache>
            </c:strRef>
          </c:cat>
          <c:val>
            <c:numRef>
              <c:f>List1!$O$6:$O$9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0.02959</cdr:x>
      <cdr:y>0.10471</cdr:y>
    </cdr:from>
    <cdr:to>
      <cdr:x>0.2152</cdr:x>
      <cdr:y>0.38225</cdr:y>
    </cdr:to>
    <cdr:sp macro="" textlink="">
      <cdr:nvSpPr>
        <cdr:cNvPr id="2" name="Textové pole 1"/>
        <cdr:cNvSpPr txBox="1"/>
      </cdr:nvSpPr>
      <cdr:spPr>
        <a:xfrm xmlns:a="http://schemas.openxmlformats.org/drawingml/2006/main">
          <a:off x="144492" y="198143"/>
          <a:ext cx="906386" cy="52518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1100"/>
            <a:t>NPU I - </a:t>
          </a:r>
        </a:p>
        <a:p xmlns:a="http://schemas.openxmlformats.org/drawingml/2006/main">
          <a:r>
            <a:rPr lang="cs-CZ" sz="1100"/>
            <a:t>malá centra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0.02959</cdr:x>
      <cdr:y>0.12432</cdr:y>
    </cdr:from>
    <cdr:to>
      <cdr:x>0.21909</cdr:x>
      <cdr:y>0.39639</cdr:y>
    </cdr:to>
    <cdr:sp macro="" textlink="">
      <cdr:nvSpPr>
        <cdr:cNvPr id="2" name="Textové pole 1"/>
        <cdr:cNvSpPr txBox="1"/>
      </cdr:nvSpPr>
      <cdr:spPr>
        <a:xfrm xmlns:a="http://schemas.openxmlformats.org/drawingml/2006/main">
          <a:off x="145620" y="233277"/>
          <a:ext cx="932553" cy="51052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cs-CZ" sz="1100"/>
            <a:t>NPU II -</a:t>
          </a:r>
        </a:p>
        <a:p xmlns:a="http://schemas.openxmlformats.org/drawingml/2006/main">
          <a:r>
            <a:rPr lang="cs-CZ" sz="1100"/>
            <a:t>velká centra</a:t>
          </a:r>
        </a:p>
      </cdr:txBody>
    </cdr:sp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0E0B6-ECFA-4A09-A7CF-F43546947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5264</Words>
  <Characters>31062</Characters>
  <Application>Microsoft Office Word</Application>
  <DocSecurity>4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36254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Veber Jaromír</dc:creator>
  <cp:lastModifiedBy>Filip Přemysl</cp:lastModifiedBy>
  <cp:revision>2</cp:revision>
  <cp:lastPrinted>2015-04-01T09:52:00Z</cp:lastPrinted>
  <dcterms:created xsi:type="dcterms:W3CDTF">2015-04-23T07:59:00Z</dcterms:created>
  <dcterms:modified xsi:type="dcterms:W3CDTF">2015-04-23T07:59:00Z</dcterms:modified>
</cp:coreProperties>
</file>