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Ind w:w="-318" w:type="dxa"/>
        <w:tblLook w:val="04A0" w:firstRow="1" w:lastRow="0" w:firstColumn="1" w:lastColumn="0" w:noHBand="0" w:noVBand="1"/>
      </w:tblPr>
      <w:tblGrid>
        <w:gridCol w:w="1460"/>
        <w:gridCol w:w="594"/>
        <w:gridCol w:w="2815"/>
        <w:gridCol w:w="270"/>
        <w:gridCol w:w="355"/>
        <w:gridCol w:w="4112"/>
      </w:tblGrid>
      <w:tr w:rsidR="00AE72C5" w:rsidTr="006E2E2C">
        <w:trPr>
          <w:trHeight w:val="558"/>
        </w:trPr>
        <w:tc>
          <w:tcPr>
            <w:tcW w:w="9606" w:type="dxa"/>
            <w:gridSpan w:val="6"/>
            <w:shd w:val="clear" w:color="auto" w:fill="D9D9D9" w:themeFill="background1" w:themeFillShade="D9"/>
          </w:tcPr>
          <w:p w:rsidR="00AE72C5" w:rsidRDefault="00AE72C5" w:rsidP="00AE72C5">
            <w:pPr>
              <w:pStyle w:val="Nzev"/>
              <w:jc w:val="center"/>
              <w:rPr>
                <w:rFonts w:asciiTheme="minorHAnsi" w:hAnsiTheme="minorHAnsi" w:cs="Aharoni"/>
                <w:b/>
                <w:sz w:val="44"/>
              </w:rPr>
            </w:pPr>
            <w:r w:rsidRPr="00AE72C5">
              <w:rPr>
                <w:rFonts w:asciiTheme="minorHAnsi" w:hAnsiTheme="minorHAnsi" w:cs="Aharoni"/>
                <w:b/>
                <w:sz w:val="44"/>
              </w:rPr>
              <w:t>Karta výzkumného centra</w:t>
            </w:r>
          </w:p>
          <w:p w:rsidR="00AE72C5" w:rsidRPr="00AE72C5" w:rsidRDefault="00AE72C5" w:rsidP="00AE72C5">
            <w:pPr>
              <w:spacing w:after="0"/>
              <w:jc w:val="center"/>
            </w:pPr>
            <w:r>
              <w:t>financovaného z </w:t>
            </w:r>
            <w:r w:rsidR="00E71CB7">
              <w:t>O</w:t>
            </w:r>
            <w:r>
              <w:t xml:space="preserve">peračního programu </w:t>
            </w:r>
            <w:r w:rsidR="00E71CB7">
              <w:t>V</w:t>
            </w:r>
            <w:r>
              <w:t xml:space="preserve">ýzkum a vývoj pro inovace (OP </w:t>
            </w:r>
            <w:proofErr w:type="spellStart"/>
            <w:r>
              <w:t>VaVpI</w:t>
            </w:r>
            <w:proofErr w:type="spellEnd"/>
            <w:r>
              <w:t>)</w:t>
            </w:r>
          </w:p>
        </w:tc>
      </w:tr>
      <w:tr w:rsidR="0052281E" w:rsidTr="006E2E2C">
        <w:trPr>
          <w:trHeight w:val="277"/>
        </w:trPr>
        <w:tc>
          <w:tcPr>
            <w:tcW w:w="9606" w:type="dxa"/>
            <w:gridSpan w:val="6"/>
            <w:shd w:val="clear" w:color="auto" w:fill="595959" w:themeFill="text1" w:themeFillTint="A6"/>
          </w:tcPr>
          <w:p w:rsidR="0052281E" w:rsidRPr="0052281E" w:rsidRDefault="0052281E" w:rsidP="0052281E">
            <w:pPr>
              <w:spacing w:before="60" w:after="60" w:line="240" w:lineRule="auto"/>
              <w:jc w:val="center"/>
              <w:rPr>
                <w:rFonts w:ascii="Arial" w:hAnsi="Arial" w:cs="Arial"/>
                <w:b/>
              </w:rPr>
            </w:pPr>
            <w:r w:rsidRPr="0052281E">
              <w:rPr>
                <w:rFonts w:ascii="Arial" w:hAnsi="Arial" w:cs="Arial"/>
                <w:b/>
                <w:color w:val="FFFFFF" w:themeColor="background1"/>
                <w:sz w:val="22"/>
              </w:rPr>
              <w:t>Faktografické údaje</w:t>
            </w:r>
          </w:p>
        </w:tc>
      </w:tr>
      <w:tr w:rsidR="00AE72C5" w:rsidTr="009C6D60">
        <w:trPr>
          <w:trHeight w:val="277"/>
        </w:trPr>
        <w:tc>
          <w:tcPr>
            <w:tcW w:w="1461" w:type="dxa"/>
          </w:tcPr>
          <w:p w:rsidR="00AE72C5" w:rsidRPr="00EB4F15" w:rsidRDefault="00E71CB7"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Název projektu</w:t>
            </w:r>
          </w:p>
        </w:tc>
        <w:tc>
          <w:tcPr>
            <w:tcW w:w="8145" w:type="dxa"/>
            <w:gridSpan w:val="5"/>
          </w:tcPr>
          <w:p w:rsidR="00AE72C5" w:rsidRPr="00EB4F15" w:rsidRDefault="004F562A" w:rsidP="00EB4F15">
            <w:pPr>
              <w:spacing w:before="120" w:after="60" w:line="240" w:lineRule="auto"/>
              <w:jc w:val="both"/>
              <w:rPr>
                <w:rFonts w:asciiTheme="minorHAnsi" w:hAnsiTheme="minorHAnsi" w:cstheme="minorHAnsi"/>
                <w:sz w:val="22"/>
              </w:rPr>
            </w:pPr>
            <w:r w:rsidRPr="00EB4F15">
              <w:rPr>
                <w:rFonts w:asciiTheme="minorHAnsi" w:hAnsiTheme="minorHAnsi" w:cstheme="minorHAnsi"/>
                <w:sz w:val="22"/>
              </w:rPr>
              <w:t>Biotechnologické a biomedicínské centrum Akademie věd a Univerzity Karlovy ve Vestci</w:t>
            </w:r>
          </w:p>
        </w:tc>
      </w:tr>
      <w:tr w:rsidR="00E71CB7" w:rsidTr="009C6D60">
        <w:trPr>
          <w:trHeight w:val="277"/>
        </w:trPr>
        <w:tc>
          <w:tcPr>
            <w:tcW w:w="1461" w:type="dxa"/>
          </w:tcPr>
          <w:p w:rsidR="00E71CB7" w:rsidRPr="00EB4F15" w:rsidRDefault="00E71CB7"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Název příjemce</w:t>
            </w:r>
          </w:p>
        </w:tc>
        <w:tc>
          <w:tcPr>
            <w:tcW w:w="8145" w:type="dxa"/>
            <w:gridSpan w:val="5"/>
          </w:tcPr>
          <w:p w:rsidR="00E71CB7" w:rsidRPr="00EB4F15" w:rsidRDefault="004F562A" w:rsidP="00EB4F15">
            <w:pPr>
              <w:spacing w:before="120" w:after="60" w:line="240" w:lineRule="auto"/>
              <w:jc w:val="both"/>
              <w:rPr>
                <w:rFonts w:asciiTheme="minorHAnsi" w:hAnsiTheme="minorHAnsi" w:cstheme="minorHAnsi"/>
                <w:sz w:val="22"/>
              </w:rPr>
            </w:pPr>
            <w:r w:rsidRPr="00EB4F15">
              <w:rPr>
                <w:rFonts w:asciiTheme="minorHAnsi" w:hAnsiTheme="minorHAnsi" w:cstheme="minorHAnsi"/>
                <w:sz w:val="22"/>
              </w:rPr>
              <w:t>Ústav molekulární genetiky AV ČR, v. v. i.</w:t>
            </w:r>
          </w:p>
        </w:tc>
      </w:tr>
      <w:tr w:rsidR="00E71CB7" w:rsidTr="009C6D60">
        <w:trPr>
          <w:trHeight w:val="277"/>
        </w:trPr>
        <w:tc>
          <w:tcPr>
            <w:tcW w:w="1461" w:type="dxa"/>
          </w:tcPr>
          <w:p w:rsidR="00E71CB7" w:rsidRPr="00EB4F15" w:rsidRDefault="00E71CB7"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 xml:space="preserve"> Registrační číslo </w:t>
            </w:r>
            <w:r w:rsidR="00F74C5F" w:rsidRPr="00EB4F15">
              <w:rPr>
                <w:rFonts w:asciiTheme="minorHAnsi" w:hAnsiTheme="minorHAnsi" w:cstheme="minorHAnsi"/>
                <w:b/>
                <w:sz w:val="22"/>
              </w:rPr>
              <w:t>p</w:t>
            </w:r>
            <w:r w:rsidRPr="00EB4F15">
              <w:rPr>
                <w:rFonts w:asciiTheme="minorHAnsi" w:hAnsiTheme="minorHAnsi" w:cstheme="minorHAnsi"/>
                <w:b/>
                <w:sz w:val="22"/>
              </w:rPr>
              <w:t>rojektu</w:t>
            </w:r>
          </w:p>
        </w:tc>
        <w:tc>
          <w:tcPr>
            <w:tcW w:w="8145" w:type="dxa"/>
            <w:gridSpan w:val="5"/>
          </w:tcPr>
          <w:p w:rsidR="00E71CB7" w:rsidRPr="00EB4F15" w:rsidRDefault="004F562A" w:rsidP="00EB4F15">
            <w:pPr>
              <w:spacing w:before="120" w:after="60" w:line="240" w:lineRule="auto"/>
              <w:jc w:val="both"/>
              <w:rPr>
                <w:rFonts w:asciiTheme="minorHAnsi" w:hAnsiTheme="minorHAnsi" w:cstheme="minorHAnsi"/>
                <w:sz w:val="22"/>
              </w:rPr>
            </w:pPr>
            <w:r w:rsidRPr="00EB4F15">
              <w:rPr>
                <w:rFonts w:asciiTheme="minorHAnsi" w:hAnsiTheme="minorHAnsi" w:cstheme="minorHAnsi"/>
                <w:sz w:val="22"/>
              </w:rPr>
              <w:t>CZ.1.05/1.1.00/02.0109</w:t>
            </w:r>
          </w:p>
        </w:tc>
      </w:tr>
      <w:tr w:rsidR="00F74C5F" w:rsidTr="009C6D60">
        <w:trPr>
          <w:trHeight w:val="277"/>
        </w:trPr>
        <w:tc>
          <w:tcPr>
            <w:tcW w:w="1461" w:type="dxa"/>
          </w:tcPr>
          <w:p w:rsidR="00F74C5F" w:rsidRPr="00EB4F15" w:rsidRDefault="00F74C5F"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Sídlo příjemce</w:t>
            </w:r>
          </w:p>
        </w:tc>
        <w:tc>
          <w:tcPr>
            <w:tcW w:w="8145" w:type="dxa"/>
            <w:gridSpan w:val="5"/>
          </w:tcPr>
          <w:p w:rsidR="00F74C5F" w:rsidRPr="00EB4F15" w:rsidRDefault="004F562A" w:rsidP="00EB4F15">
            <w:pPr>
              <w:spacing w:before="120" w:after="60" w:line="240" w:lineRule="auto"/>
              <w:jc w:val="both"/>
              <w:rPr>
                <w:rFonts w:asciiTheme="minorHAnsi" w:hAnsiTheme="minorHAnsi" w:cstheme="minorHAnsi"/>
                <w:sz w:val="22"/>
              </w:rPr>
            </w:pPr>
            <w:r w:rsidRPr="00EB4F15">
              <w:rPr>
                <w:rFonts w:asciiTheme="minorHAnsi" w:hAnsiTheme="minorHAnsi" w:cstheme="minorHAnsi"/>
                <w:sz w:val="22"/>
              </w:rPr>
              <w:t>Vídeňská 1083, 142 00, Praha 4 - Krč</w:t>
            </w:r>
          </w:p>
        </w:tc>
      </w:tr>
      <w:tr w:rsidR="00F74C5F" w:rsidTr="009C6D60">
        <w:trPr>
          <w:trHeight w:val="277"/>
        </w:trPr>
        <w:tc>
          <w:tcPr>
            <w:tcW w:w="1461" w:type="dxa"/>
          </w:tcPr>
          <w:p w:rsidR="00F74C5F" w:rsidRPr="00EB4F15" w:rsidRDefault="00F74C5F"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Číslo a název výzvy</w:t>
            </w:r>
          </w:p>
        </w:tc>
        <w:tc>
          <w:tcPr>
            <w:tcW w:w="8145" w:type="dxa"/>
            <w:gridSpan w:val="5"/>
          </w:tcPr>
          <w:p w:rsidR="00F74C5F" w:rsidRPr="00EB4F15" w:rsidRDefault="004F562A" w:rsidP="00EB4F15">
            <w:pPr>
              <w:spacing w:before="120" w:after="60" w:line="240" w:lineRule="auto"/>
              <w:jc w:val="both"/>
              <w:rPr>
                <w:rFonts w:asciiTheme="minorHAnsi" w:hAnsiTheme="minorHAnsi" w:cstheme="minorHAnsi"/>
                <w:sz w:val="22"/>
              </w:rPr>
            </w:pPr>
            <w:r w:rsidRPr="00EB4F15">
              <w:rPr>
                <w:rFonts w:asciiTheme="minorHAnsi" w:hAnsiTheme="minorHAnsi" w:cstheme="minorHAnsi"/>
                <w:sz w:val="22"/>
              </w:rPr>
              <w:t xml:space="preserve">1 </w:t>
            </w:r>
            <w:proofErr w:type="gramStart"/>
            <w:r w:rsidRPr="00EB4F15">
              <w:rPr>
                <w:rFonts w:asciiTheme="minorHAnsi" w:hAnsiTheme="minorHAnsi" w:cstheme="minorHAnsi"/>
                <w:sz w:val="22"/>
              </w:rPr>
              <w:t>Evropská</w:t>
            </w:r>
            <w:proofErr w:type="gramEnd"/>
            <w:r w:rsidRPr="00EB4F15">
              <w:rPr>
                <w:rFonts w:asciiTheme="minorHAnsi" w:hAnsiTheme="minorHAnsi" w:cstheme="minorHAnsi"/>
                <w:sz w:val="22"/>
              </w:rPr>
              <w:t xml:space="preserve"> centra exce</w:t>
            </w:r>
            <w:r w:rsidR="004B6147">
              <w:rPr>
                <w:rFonts w:asciiTheme="minorHAnsi" w:hAnsiTheme="minorHAnsi" w:cstheme="minorHAnsi"/>
                <w:sz w:val="22"/>
              </w:rPr>
              <w:t>le</w:t>
            </w:r>
            <w:r w:rsidRPr="00EB4F15">
              <w:rPr>
                <w:rFonts w:asciiTheme="minorHAnsi" w:hAnsiTheme="minorHAnsi" w:cstheme="minorHAnsi"/>
                <w:sz w:val="22"/>
              </w:rPr>
              <w:t>nce</w:t>
            </w:r>
          </w:p>
        </w:tc>
      </w:tr>
      <w:tr w:rsidR="00F74C5F" w:rsidTr="009C6D60">
        <w:trPr>
          <w:trHeight w:val="277"/>
        </w:trPr>
        <w:tc>
          <w:tcPr>
            <w:tcW w:w="1461" w:type="dxa"/>
          </w:tcPr>
          <w:p w:rsidR="00F74C5F" w:rsidRPr="00EB4F15" w:rsidRDefault="00F74C5F"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Datum podpisu Rozhodnutí</w:t>
            </w:r>
          </w:p>
        </w:tc>
        <w:tc>
          <w:tcPr>
            <w:tcW w:w="8145" w:type="dxa"/>
            <w:gridSpan w:val="5"/>
          </w:tcPr>
          <w:p w:rsidR="00F74C5F" w:rsidRPr="00EB4F15" w:rsidRDefault="004F562A" w:rsidP="00EB4F15">
            <w:pPr>
              <w:spacing w:before="120" w:after="60" w:line="240" w:lineRule="auto"/>
              <w:jc w:val="both"/>
              <w:rPr>
                <w:rFonts w:asciiTheme="minorHAnsi" w:hAnsiTheme="minorHAnsi" w:cstheme="minorHAnsi"/>
                <w:sz w:val="22"/>
              </w:rPr>
            </w:pPr>
            <w:r w:rsidRPr="00EB4F15">
              <w:rPr>
                <w:rFonts w:asciiTheme="minorHAnsi" w:hAnsiTheme="minorHAnsi" w:cstheme="minorHAnsi"/>
                <w:sz w:val="22"/>
              </w:rPr>
              <w:t>31. 1. 2012</w:t>
            </w:r>
          </w:p>
        </w:tc>
      </w:tr>
      <w:tr w:rsidR="00601A2D" w:rsidTr="009C6D60">
        <w:trPr>
          <w:trHeight w:val="623"/>
        </w:trPr>
        <w:tc>
          <w:tcPr>
            <w:tcW w:w="1461" w:type="dxa"/>
          </w:tcPr>
          <w:p w:rsidR="00F74C5F" w:rsidRPr="00EB4F15" w:rsidRDefault="00F74C5F"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Období realizace projektu</w:t>
            </w:r>
          </w:p>
        </w:tc>
        <w:tc>
          <w:tcPr>
            <w:tcW w:w="3638" w:type="dxa"/>
            <w:gridSpan w:val="3"/>
          </w:tcPr>
          <w:p w:rsidR="00E20092" w:rsidRPr="00EB4F15" w:rsidRDefault="00E20092" w:rsidP="00EB4F15">
            <w:pPr>
              <w:spacing w:before="120" w:after="60" w:line="240" w:lineRule="auto"/>
              <w:contextualSpacing/>
              <w:jc w:val="both"/>
              <w:rPr>
                <w:rFonts w:asciiTheme="minorHAnsi" w:hAnsiTheme="minorHAnsi" w:cstheme="minorHAnsi"/>
                <w:sz w:val="22"/>
              </w:rPr>
            </w:pPr>
          </w:p>
          <w:p w:rsidR="00F74C5F" w:rsidRPr="00EB4F15" w:rsidRDefault="00F74C5F" w:rsidP="00EB4F15">
            <w:pPr>
              <w:spacing w:before="120" w:after="60" w:line="240" w:lineRule="auto"/>
              <w:contextualSpacing/>
              <w:jc w:val="both"/>
              <w:rPr>
                <w:rFonts w:asciiTheme="minorHAnsi" w:hAnsiTheme="minorHAnsi" w:cstheme="minorHAnsi"/>
                <w:sz w:val="22"/>
              </w:rPr>
            </w:pPr>
            <w:r w:rsidRPr="00EB4F15">
              <w:rPr>
                <w:rFonts w:asciiTheme="minorHAnsi" w:hAnsiTheme="minorHAnsi" w:cstheme="minorHAnsi"/>
                <w:sz w:val="22"/>
              </w:rPr>
              <w:t xml:space="preserve">Datum zahájení </w:t>
            </w:r>
          </w:p>
          <w:p w:rsidR="00F74C5F" w:rsidRPr="00EB4F15" w:rsidRDefault="00F74C5F" w:rsidP="00EB4F15">
            <w:pPr>
              <w:spacing w:before="120" w:after="60" w:line="240" w:lineRule="auto"/>
              <w:contextualSpacing/>
              <w:jc w:val="both"/>
              <w:rPr>
                <w:rFonts w:asciiTheme="minorHAnsi" w:hAnsiTheme="minorHAnsi" w:cstheme="minorHAnsi"/>
                <w:sz w:val="22"/>
              </w:rPr>
            </w:pPr>
            <w:r w:rsidRPr="00EB4F15">
              <w:rPr>
                <w:rFonts w:asciiTheme="minorHAnsi" w:hAnsiTheme="minorHAnsi" w:cstheme="minorHAnsi"/>
                <w:sz w:val="22"/>
              </w:rPr>
              <w:t>realizace projektu:</w:t>
            </w:r>
            <w:r w:rsidR="004F562A" w:rsidRPr="00EB4F15">
              <w:rPr>
                <w:rFonts w:asciiTheme="minorHAnsi" w:hAnsiTheme="minorHAnsi" w:cstheme="minorHAnsi"/>
                <w:sz w:val="22"/>
              </w:rPr>
              <w:t xml:space="preserve"> 1. 2. 2012</w:t>
            </w:r>
          </w:p>
          <w:p w:rsidR="00AA442B" w:rsidRPr="00EB4F15" w:rsidRDefault="00AA442B" w:rsidP="00EB4F15">
            <w:pPr>
              <w:spacing w:before="120" w:after="60" w:line="240" w:lineRule="auto"/>
              <w:contextualSpacing/>
              <w:jc w:val="both"/>
              <w:rPr>
                <w:rFonts w:asciiTheme="minorHAnsi" w:hAnsiTheme="minorHAnsi" w:cstheme="minorHAnsi"/>
                <w:sz w:val="22"/>
              </w:rPr>
            </w:pPr>
          </w:p>
        </w:tc>
        <w:tc>
          <w:tcPr>
            <w:tcW w:w="4507" w:type="dxa"/>
            <w:gridSpan w:val="2"/>
          </w:tcPr>
          <w:p w:rsidR="000F0945" w:rsidRPr="00EB4F15" w:rsidRDefault="000F0945" w:rsidP="00EB4F15">
            <w:pPr>
              <w:spacing w:before="120" w:after="0" w:line="240" w:lineRule="auto"/>
              <w:contextualSpacing/>
              <w:jc w:val="both"/>
              <w:rPr>
                <w:rFonts w:asciiTheme="minorHAnsi" w:hAnsiTheme="minorHAnsi" w:cstheme="minorHAnsi"/>
                <w:sz w:val="22"/>
              </w:rPr>
            </w:pPr>
          </w:p>
          <w:p w:rsidR="00F74C5F" w:rsidRPr="00EB4F15" w:rsidRDefault="00F74C5F" w:rsidP="00EB4F15">
            <w:pPr>
              <w:spacing w:before="120" w:after="0" w:line="240" w:lineRule="auto"/>
              <w:contextualSpacing/>
              <w:jc w:val="both"/>
              <w:rPr>
                <w:rFonts w:asciiTheme="minorHAnsi" w:hAnsiTheme="minorHAnsi" w:cstheme="minorHAnsi"/>
                <w:sz w:val="22"/>
              </w:rPr>
            </w:pPr>
            <w:r w:rsidRPr="00EB4F15">
              <w:rPr>
                <w:rFonts w:asciiTheme="minorHAnsi" w:hAnsiTheme="minorHAnsi" w:cstheme="minorHAnsi"/>
                <w:sz w:val="22"/>
              </w:rPr>
              <w:t xml:space="preserve">Datum ukončení </w:t>
            </w:r>
          </w:p>
          <w:p w:rsidR="00F74C5F" w:rsidRPr="00EB4F15" w:rsidRDefault="00F74C5F" w:rsidP="00EB4F15">
            <w:pPr>
              <w:spacing w:before="120" w:after="0" w:line="240" w:lineRule="auto"/>
              <w:contextualSpacing/>
              <w:jc w:val="both"/>
              <w:rPr>
                <w:rFonts w:asciiTheme="minorHAnsi" w:hAnsiTheme="minorHAnsi" w:cstheme="minorHAnsi"/>
                <w:sz w:val="22"/>
              </w:rPr>
            </w:pPr>
            <w:r w:rsidRPr="00EB4F15">
              <w:rPr>
                <w:rFonts w:asciiTheme="minorHAnsi" w:hAnsiTheme="minorHAnsi" w:cstheme="minorHAnsi"/>
                <w:sz w:val="22"/>
              </w:rPr>
              <w:t>realizace projektu</w:t>
            </w:r>
            <w:r w:rsidR="00526313" w:rsidRPr="00EB4F15">
              <w:rPr>
                <w:rFonts w:asciiTheme="minorHAnsi" w:hAnsiTheme="minorHAnsi" w:cstheme="minorHAnsi"/>
                <w:sz w:val="22"/>
              </w:rPr>
              <w:t>:</w:t>
            </w:r>
            <w:r w:rsidR="004F562A" w:rsidRPr="00EB4F15">
              <w:rPr>
                <w:rFonts w:asciiTheme="minorHAnsi" w:hAnsiTheme="minorHAnsi" w:cstheme="minorHAnsi"/>
                <w:sz w:val="22"/>
              </w:rPr>
              <w:t xml:space="preserve"> 31. 12.2015</w:t>
            </w:r>
          </w:p>
        </w:tc>
      </w:tr>
      <w:tr w:rsidR="00601A2D" w:rsidTr="009C6D60">
        <w:trPr>
          <w:trHeight w:val="277"/>
        </w:trPr>
        <w:tc>
          <w:tcPr>
            <w:tcW w:w="1461" w:type="dxa"/>
          </w:tcPr>
          <w:p w:rsidR="00F74C5F" w:rsidRPr="00EB4F15" w:rsidRDefault="00F74C5F"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Výše podpory</w:t>
            </w:r>
          </w:p>
        </w:tc>
        <w:tc>
          <w:tcPr>
            <w:tcW w:w="3638" w:type="dxa"/>
            <w:gridSpan w:val="3"/>
          </w:tcPr>
          <w:p w:rsidR="00526313" w:rsidRPr="00EB4F15" w:rsidRDefault="00526313" w:rsidP="00EB4F15">
            <w:pPr>
              <w:spacing w:before="120" w:after="60" w:line="240" w:lineRule="auto"/>
              <w:contextualSpacing/>
              <w:jc w:val="both"/>
              <w:rPr>
                <w:rFonts w:asciiTheme="minorHAnsi" w:hAnsiTheme="minorHAnsi" w:cstheme="minorHAnsi"/>
                <w:sz w:val="22"/>
              </w:rPr>
            </w:pPr>
          </w:p>
          <w:p w:rsidR="00F74C5F" w:rsidRPr="00EB4F15" w:rsidRDefault="00F74C5F" w:rsidP="00EB4F15">
            <w:pPr>
              <w:spacing w:before="120" w:after="60" w:line="240" w:lineRule="auto"/>
              <w:contextualSpacing/>
              <w:jc w:val="both"/>
              <w:rPr>
                <w:rFonts w:asciiTheme="minorHAnsi" w:hAnsiTheme="minorHAnsi" w:cstheme="minorHAnsi"/>
                <w:sz w:val="22"/>
              </w:rPr>
            </w:pPr>
            <w:r w:rsidRPr="00EB4F15">
              <w:rPr>
                <w:rFonts w:asciiTheme="minorHAnsi" w:hAnsiTheme="minorHAnsi" w:cstheme="minorHAnsi"/>
                <w:sz w:val="22"/>
              </w:rPr>
              <w:t>Celková výše dotace v Kč:</w:t>
            </w:r>
          </w:p>
          <w:p w:rsidR="007A62D7" w:rsidRPr="00EB4F15" w:rsidRDefault="007A62D7" w:rsidP="00EB4F15">
            <w:pPr>
              <w:spacing w:before="120" w:after="60" w:line="240" w:lineRule="auto"/>
              <w:contextualSpacing/>
              <w:jc w:val="both"/>
              <w:rPr>
                <w:rFonts w:asciiTheme="minorHAnsi" w:hAnsiTheme="minorHAnsi" w:cstheme="minorHAnsi"/>
                <w:sz w:val="22"/>
              </w:rPr>
            </w:pPr>
            <w:r w:rsidRPr="00EB4F15">
              <w:rPr>
                <w:rFonts w:asciiTheme="minorHAnsi" w:hAnsiTheme="minorHAnsi" w:cstheme="minorHAnsi"/>
                <w:sz w:val="22"/>
              </w:rPr>
              <w:t>(částka z </w:t>
            </w:r>
            <w:proofErr w:type="spellStart"/>
            <w:r w:rsidRPr="00EB4F15">
              <w:rPr>
                <w:rFonts w:asciiTheme="minorHAnsi" w:hAnsiTheme="minorHAnsi" w:cstheme="minorHAnsi"/>
                <w:sz w:val="22"/>
              </w:rPr>
              <w:t>RoPD</w:t>
            </w:r>
            <w:proofErr w:type="spellEnd"/>
            <w:r w:rsidRPr="00EB4F15">
              <w:rPr>
                <w:rFonts w:asciiTheme="minorHAnsi" w:hAnsiTheme="minorHAnsi" w:cstheme="minorHAnsi"/>
                <w:sz w:val="22"/>
              </w:rPr>
              <w:t xml:space="preserve"> bez snížení):</w:t>
            </w:r>
          </w:p>
          <w:p w:rsidR="004F562A" w:rsidRPr="00EB4F15" w:rsidRDefault="004F562A" w:rsidP="00EB4F15">
            <w:pPr>
              <w:spacing w:before="120" w:after="60" w:line="240" w:lineRule="auto"/>
              <w:contextualSpacing/>
              <w:jc w:val="both"/>
              <w:rPr>
                <w:rFonts w:asciiTheme="minorHAnsi" w:hAnsiTheme="minorHAnsi" w:cstheme="minorHAnsi"/>
                <w:sz w:val="22"/>
              </w:rPr>
            </w:pPr>
            <w:r w:rsidRPr="00EB4F15">
              <w:rPr>
                <w:rFonts w:asciiTheme="minorHAnsi" w:hAnsiTheme="minorHAnsi" w:cstheme="minorHAnsi"/>
                <w:sz w:val="22"/>
              </w:rPr>
              <w:t>2 305 086 161</w:t>
            </w:r>
          </w:p>
        </w:tc>
        <w:tc>
          <w:tcPr>
            <w:tcW w:w="4507" w:type="dxa"/>
            <w:gridSpan w:val="2"/>
          </w:tcPr>
          <w:p w:rsidR="00F34368" w:rsidRPr="00EB4F15" w:rsidRDefault="00F34368"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Podíl ze státního rozpočtu v CZK (15 %):</w:t>
            </w:r>
          </w:p>
          <w:p w:rsidR="00F34368" w:rsidRPr="00EB4F15" w:rsidRDefault="004F562A"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345 762 924,15</w:t>
            </w:r>
          </w:p>
          <w:p w:rsidR="00F74C5F" w:rsidRPr="00EB4F15" w:rsidRDefault="00F34368"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Podíl z EU v  CZK  (85 %):</w:t>
            </w:r>
          </w:p>
          <w:p w:rsidR="00F34368" w:rsidRPr="00EB4F15" w:rsidRDefault="004F562A"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1 959 323 236,85</w:t>
            </w:r>
          </w:p>
        </w:tc>
      </w:tr>
      <w:tr w:rsidR="00F34368" w:rsidTr="009C6D60">
        <w:trPr>
          <w:trHeight w:val="277"/>
        </w:trPr>
        <w:tc>
          <w:tcPr>
            <w:tcW w:w="1461" w:type="dxa"/>
          </w:tcPr>
          <w:p w:rsidR="00F34368" w:rsidRPr="00EB4F15" w:rsidRDefault="00F34368"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Struktura výdajů</w:t>
            </w:r>
          </w:p>
        </w:tc>
        <w:tc>
          <w:tcPr>
            <w:tcW w:w="8145" w:type="dxa"/>
            <w:gridSpan w:val="5"/>
          </w:tcPr>
          <w:p w:rsidR="004F562A" w:rsidRPr="00EB4F15" w:rsidRDefault="0018459D" w:rsidP="00EB4F15">
            <w:pPr>
              <w:spacing w:before="60" w:after="60" w:line="240" w:lineRule="auto"/>
              <w:jc w:val="both"/>
              <w:rPr>
                <w:rFonts w:asciiTheme="minorHAnsi" w:hAnsiTheme="minorHAnsi" w:cstheme="minorHAnsi"/>
                <w:color w:val="000000"/>
                <w:sz w:val="22"/>
              </w:rPr>
            </w:pPr>
            <w:r w:rsidRPr="00EB4F15">
              <w:rPr>
                <w:rFonts w:asciiTheme="minorHAnsi" w:hAnsiTheme="minorHAnsi" w:cstheme="minorHAnsi"/>
                <w:sz w:val="22"/>
              </w:rPr>
              <w:t>Stavební část:</w:t>
            </w:r>
            <w:r w:rsidR="004F562A" w:rsidRPr="00EB4F15">
              <w:rPr>
                <w:rFonts w:asciiTheme="minorHAnsi" w:hAnsiTheme="minorHAnsi" w:cstheme="minorHAnsi"/>
                <w:sz w:val="22"/>
              </w:rPr>
              <w:t xml:space="preserve"> </w:t>
            </w:r>
            <w:r w:rsidR="004F562A" w:rsidRPr="00EB4F15">
              <w:rPr>
                <w:rFonts w:asciiTheme="minorHAnsi" w:hAnsiTheme="minorHAnsi" w:cstheme="minorHAnsi"/>
                <w:color w:val="000000"/>
                <w:sz w:val="22"/>
              </w:rPr>
              <w:t>952 385 012 Kč</w:t>
            </w:r>
          </w:p>
          <w:p w:rsidR="00F34368" w:rsidRPr="00EB4F15" w:rsidRDefault="00F34368"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Přístrojové vybavení</w:t>
            </w:r>
            <w:r w:rsidR="0018459D" w:rsidRPr="00EB4F15">
              <w:rPr>
                <w:rFonts w:asciiTheme="minorHAnsi" w:hAnsiTheme="minorHAnsi" w:cstheme="minorHAnsi"/>
                <w:sz w:val="22"/>
              </w:rPr>
              <w:t>:</w:t>
            </w:r>
            <w:r w:rsidR="004F562A" w:rsidRPr="00EB4F15">
              <w:rPr>
                <w:rFonts w:asciiTheme="minorHAnsi" w:hAnsiTheme="minorHAnsi" w:cstheme="minorHAnsi"/>
                <w:sz w:val="22"/>
              </w:rPr>
              <w:t xml:space="preserve"> 875 417 141,7 Kč – stroje, přístroje, ostatní vybavení</w:t>
            </w:r>
          </w:p>
          <w:p w:rsidR="00F34368" w:rsidRPr="00EB4F15" w:rsidRDefault="00F34368"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Mzdové výdaje</w:t>
            </w:r>
            <w:r w:rsidR="0018459D" w:rsidRPr="00EB4F15">
              <w:rPr>
                <w:rFonts w:asciiTheme="minorHAnsi" w:hAnsiTheme="minorHAnsi" w:cstheme="minorHAnsi"/>
                <w:sz w:val="22"/>
              </w:rPr>
              <w:t>:</w:t>
            </w:r>
            <w:r w:rsidR="004F562A" w:rsidRPr="00EB4F15">
              <w:rPr>
                <w:rFonts w:asciiTheme="minorHAnsi" w:hAnsiTheme="minorHAnsi" w:cstheme="minorHAnsi"/>
                <w:sz w:val="22"/>
              </w:rPr>
              <w:t xml:space="preserve"> 252</w:t>
            </w:r>
            <w:r w:rsidR="00450F88" w:rsidRPr="00EB4F15">
              <w:rPr>
                <w:rFonts w:asciiTheme="minorHAnsi" w:hAnsiTheme="minorHAnsi" w:cstheme="minorHAnsi"/>
                <w:sz w:val="22"/>
              </w:rPr>
              <w:t xml:space="preserve"> </w:t>
            </w:r>
            <w:r w:rsidR="004F562A" w:rsidRPr="00EB4F15">
              <w:rPr>
                <w:rFonts w:asciiTheme="minorHAnsi" w:hAnsiTheme="minorHAnsi" w:cstheme="minorHAnsi"/>
                <w:sz w:val="22"/>
              </w:rPr>
              <w:t>738</w:t>
            </w:r>
            <w:r w:rsidR="00450F88" w:rsidRPr="00EB4F15">
              <w:rPr>
                <w:rFonts w:asciiTheme="minorHAnsi" w:hAnsiTheme="minorHAnsi" w:cstheme="minorHAnsi"/>
                <w:sz w:val="22"/>
              </w:rPr>
              <w:t xml:space="preserve"> </w:t>
            </w:r>
            <w:r w:rsidR="004F562A" w:rsidRPr="00EB4F15">
              <w:rPr>
                <w:rFonts w:asciiTheme="minorHAnsi" w:hAnsiTheme="minorHAnsi" w:cstheme="minorHAnsi"/>
                <w:sz w:val="22"/>
              </w:rPr>
              <w:t>134,76</w:t>
            </w:r>
            <w:r w:rsidR="00450F88" w:rsidRPr="00EB4F15">
              <w:rPr>
                <w:rFonts w:asciiTheme="minorHAnsi" w:hAnsiTheme="minorHAnsi" w:cstheme="minorHAnsi"/>
                <w:sz w:val="22"/>
              </w:rPr>
              <w:t xml:space="preserve"> Kč</w:t>
            </w:r>
          </w:p>
          <w:p w:rsidR="00F34368" w:rsidRPr="00EB4F15" w:rsidRDefault="00F34368"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Ostatní</w:t>
            </w:r>
            <w:r w:rsidR="0018459D" w:rsidRPr="00EB4F15">
              <w:rPr>
                <w:rFonts w:asciiTheme="minorHAnsi" w:hAnsiTheme="minorHAnsi" w:cstheme="minorHAnsi"/>
                <w:sz w:val="22"/>
              </w:rPr>
              <w:t>:</w:t>
            </w:r>
            <w:r w:rsidR="00450F88" w:rsidRPr="00EB4F15">
              <w:rPr>
                <w:rFonts w:asciiTheme="minorHAnsi" w:hAnsiTheme="minorHAnsi" w:cstheme="minorHAnsi"/>
                <w:sz w:val="22"/>
              </w:rPr>
              <w:t xml:space="preserve"> 222 766 498,70 Kč</w:t>
            </w:r>
          </w:p>
        </w:tc>
      </w:tr>
      <w:tr w:rsidR="008353DD" w:rsidTr="009C6D60">
        <w:trPr>
          <w:trHeight w:val="1116"/>
        </w:trPr>
        <w:tc>
          <w:tcPr>
            <w:tcW w:w="1461" w:type="dxa"/>
          </w:tcPr>
          <w:p w:rsidR="008353DD" w:rsidRPr="00EB4F15" w:rsidRDefault="008353DD" w:rsidP="00EB4F15">
            <w:pPr>
              <w:spacing w:before="60" w:after="60"/>
              <w:jc w:val="both"/>
              <w:rPr>
                <w:rFonts w:asciiTheme="minorHAnsi" w:hAnsiTheme="minorHAnsi" w:cstheme="minorHAnsi"/>
                <w:b/>
                <w:sz w:val="22"/>
              </w:rPr>
            </w:pPr>
            <w:r w:rsidRPr="00EB4F15">
              <w:rPr>
                <w:rFonts w:asciiTheme="minorHAnsi" w:hAnsiTheme="minorHAnsi" w:cstheme="minorHAnsi"/>
                <w:b/>
                <w:sz w:val="22"/>
              </w:rPr>
              <w:t>Stručný popis projektu</w:t>
            </w:r>
          </w:p>
          <w:p w:rsidR="008353DD" w:rsidRPr="00EB4F15" w:rsidRDefault="008353DD"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sz w:val="22"/>
              </w:rPr>
              <w:t>(zhruba 250 znaků</w:t>
            </w:r>
            <w:r w:rsidR="00FD3750" w:rsidRPr="00EB4F15">
              <w:rPr>
                <w:rFonts w:asciiTheme="minorHAnsi" w:hAnsiTheme="minorHAnsi" w:cstheme="minorHAnsi"/>
                <w:sz w:val="22"/>
              </w:rPr>
              <w:t>)</w:t>
            </w:r>
          </w:p>
        </w:tc>
        <w:tc>
          <w:tcPr>
            <w:tcW w:w="8145" w:type="dxa"/>
            <w:gridSpan w:val="5"/>
          </w:tcPr>
          <w:p w:rsidR="004F562A" w:rsidRPr="00EB4F15" w:rsidRDefault="004F562A" w:rsidP="00EB4F15">
            <w:pPr>
              <w:pStyle w:val="Odstavecseseznamem"/>
              <w:spacing w:before="120" w:line="240" w:lineRule="auto"/>
              <w:ind w:left="0"/>
              <w:jc w:val="both"/>
              <w:rPr>
                <w:rFonts w:asciiTheme="minorHAnsi" w:hAnsiTheme="minorHAnsi" w:cstheme="minorHAnsi"/>
                <w:b/>
              </w:rPr>
            </w:pPr>
            <w:r w:rsidRPr="00EB4F15">
              <w:rPr>
                <w:rFonts w:asciiTheme="minorHAnsi" w:hAnsiTheme="minorHAnsi" w:cstheme="minorHAnsi"/>
                <w:b/>
              </w:rPr>
              <w:t>Mise projektu:</w:t>
            </w:r>
          </w:p>
          <w:p w:rsidR="004F562A" w:rsidRPr="00EB4F15" w:rsidRDefault="004F562A" w:rsidP="00EB4F15">
            <w:pPr>
              <w:pStyle w:val="Odstavecseseznamem"/>
              <w:spacing w:line="240" w:lineRule="auto"/>
              <w:ind w:left="0"/>
              <w:jc w:val="both"/>
              <w:rPr>
                <w:rFonts w:asciiTheme="minorHAnsi" w:hAnsiTheme="minorHAnsi" w:cstheme="minorHAnsi"/>
              </w:rPr>
            </w:pPr>
            <w:r w:rsidRPr="00EB4F15">
              <w:rPr>
                <w:rFonts w:asciiTheme="minorHAnsi" w:hAnsiTheme="minorHAnsi" w:cstheme="minorHAnsi"/>
              </w:rPr>
              <w:t>“Vybudovat centrum excelentního výzkumu jako součást Evropského výzkumného prostoru a garantovat rozvoj moderních biotechnologií a biomedicíny ve prospěch vědeckého pokroku a společnosti.”</w:t>
            </w:r>
          </w:p>
          <w:p w:rsidR="004F562A" w:rsidRPr="00EB4F15" w:rsidRDefault="004F562A" w:rsidP="00EB4F15">
            <w:pPr>
              <w:pStyle w:val="Odstavecseseznamem"/>
              <w:spacing w:before="120" w:line="240" w:lineRule="auto"/>
              <w:ind w:left="0"/>
              <w:jc w:val="both"/>
              <w:rPr>
                <w:rFonts w:asciiTheme="minorHAnsi" w:hAnsiTheme="minorHAnsi" w:cstheme="minorHAnsi"/>
                <w:b/>
              </w:rPr>
            </w:pPr>
            <w:r w:rsidRPr="00EB4F15">
              <w:rPr>
                <w:rFonts w:asciiTheme="minorHAnsi" w:hAnsiTheme="minorHAnsi" w:cstheme="minorHAnsi"/>
                <w:b/>
              </w:rPr>
              <w:t>Cíle:</w:t>
            </w:r>
          </w:p>
          <w:p w:rsidR="004F562A" w:rsidRPr="00EB4F15" w:rsidRDefault="004F562A" w:rsidP="00EB4F15">
            <w:pPr>
              <w:autoSpaceDE w:val="0"/>
              <w:autoSpaceDN w:val="0"/>
              <w:adjustRightInd w:val="0"/>
              <w:spacing w:line="240" w:lineRule="auto"/>
              <w:jc w:val="both"/>
              <w:rPr>
                <w:rFonts w:asciiTheme="minorHAnsi" w:hAnsiTheme="minorHAnsi" w:cstheme="minorHAnsi"/>
                <w:sz w:val="22"/>
              </w:rPr>
            </w:pPr>
            <w:r w:rsidRPr="00EB4F15">
              <w:rPr>
                <w:rFonts w:asciiTheme="minorHAnsi" w:hAnsiTheme="minorHAnsi" w:cstheme="minorHAnsi"/>
                <w:sz w:val="22"/>
              </w:rPr>
              <w:t xml:space="preserve">Hlavním cílem tohoto projektu je soustředit vzájemně se doplňující týmy renomovaných odborníků, dosud rozptýlených v několika partnerských pracovištích Akademie věd ČR a Univerzity Karlovy, doplnit je nově přijatými mladými talentovanými vědci a zahraničními experty a vytvořit biotechnologické a biomedicínské centrum výzkumu ve Vestci (BIOCEV) s ambicí evropského centra excelence. Soustředění týmů přinášejících unikátní poznatky základního výzkumu spolu s odborníky, kteří naváží na nové vědecké poznatky praktickými aplikacemi ve špičkově vybavené infrastruktuře, tak komplexně doplní citelnou mezeru v odborném zázemí pro rozvoj pokročilého biotechnologického průmyslu v ČR. Důležitým faktorem pro splnění této mise, je zapojení centra BIOCEV do </w:t>
            </w:r>
            <w:r w:rsidRPr="00EB4F15">
              <w:rPr>
                <w:rFonts w:asciiTheme="minorHAnsi" w:hAnsiTheme="minorHAnsi" w:cstheme="minorHAnsi"/>
                <w:sz w:val="22"/>
              </w:rPr>
              <w:lastRenderedPageBreak/>
              <w:t>sítí evropských konsorcií Euro-</w:t>
            </w:r>
            <w:proofErr w:type="spellStart"/>
            <w:r w:rsidRPr="00EB4F15">
              <w:rPr>
                <w:rFonts w:asciiTheme="minorHAnsi" w:hAnsiTheme="minorHAnsi" w:cstheme="minorHAnsi"/>
                <w:sz w:val="22"/>
              </w:rPr>
              <w:t>BioImaging</w:t>
            </w:r>
            <w:proofErr w:type="spellEnd"/>
            <w:r w:rsidRPr="00EB4F15">
              <w:rPr>
                <w:rFonts w:asciiTheme="minorHAnsi" w:hAnsiTheme="minorHAnsi" w:cstheme="minorHAnsi"/>
                <w:sz w:val="22"/>
              </w:rPr>
              <w:t xml:space="preserve"> a INFRAFRONTIER v rámci ESFRI (Evropské strategické fórum pro výzkumné infrastruktury) a spolupráce s renomovanými evropskými partnery.</w:t>
            </w:r>
          </w:p>
          <w:p w:rsidR="008353DD" w:rsidRPr="00EB4F15" w:rsidRDefault="008353DD" w:rsidP="00EB4F15">
            <w:pPr>
              <w:autoSpaceDE w:val="0"/>
              <w:autoSpaceDN w:val="0"/>
              <w:adjustRightInd w:val="0"/>
              <w:spacing w:line="240" w:lineRule="auto"/>
              <w:jc w:val="both"/>
              <w:rPr>
                <w:rFonts w:asciiTheme="minorHAnsi" w:hAnsiTheme="minorHAnsi" w:cstheme="minorHAnsi"/>
                <w:sz w:val="22"/>
              </w:rPr>
            </w:pPr>
          </w:p>
        </w:tc>
      </w:tr>
      <w:tr w:rsidR="00601A2D" w:rsidTr="009C6D60">
        <w:trPr>
          <w:trHeight w:val="277"/>
        </w:trPr>
        <w:tc>
          <w:tcPr>
            <w:tcW w:w="1461" w:type="dxa"/>
          </w:tcPr>
          <w:p w:rsidR="00526313" w:rsidRPr="00601A2D" w:rsidRDefault="00526313" w:rsidP="00EB4F15">
            <w:pPr>
              <w:spacing w:before="60" w:after="60" w:line="240" w:lineRule="auto"/>
              <w:jc w:val="both"/>
              <w:rPr>
                <w:rFonts w:asciiTheme="minorHAnsi" w:hAnsiTheme="minorHAnsi" w:cstheme="minorHAnsi"/>
                <w:b/>
                <w:sz w:val="22"/>
              </w:rPr>
            </w:pPr>
            <w:r w:rsidRPr="00601A2D">
              <w:rPr>
                <w:rFonts w:asciiTheme="minorHAnsi" w:hAnsiTheme="minorHAnsi" w:cstheme="minorHAnsi"/>
                <w:b/>
                <w:sz w:val="22"/>
              </w:rPr>
              <w:lastRenderedPageBreak/>
              <w:t xml:space="preserve">Zahájení / ukončení stavby / rekonstrukce </w:t>
            </w:r>
            <w:r w:rsidRPr="00601A2D">
              <w:rPr>
                <w:rFonts w:asciiTheme="minorHAnsi" w:hAnsiTheme="minorHAnsi" w:cstheme="minorHAnsi"/>
                <w:sz w:val="22"/>
              </w:rPr>
              <w:t>(pokud je relevantní)</w:t>
            </w:r>
          </w:p>
        </w:tc>
        <w:tc>
          <w:tcPr>
            <w:tcW w:w="3638" w:type="dxa"/>
            <w:gridSpan w:val="3"/>
          </w:tcPr>
          <w:p w:rsidR="00526313" w:rsidRPr="00601A2D" w:rsidRDefault="00526313" w:rsidP="00601A2D">
            <w:pPr>
              <w:spacing w:before="60" w:after="60" w:line="240" w:lineRule="auto"/>
              <w:jc w:val="both"/>
              <w:rPr>
                <w:rFonts w:asciiTheme="minorHAnsi" w:hAnsiTheme="minorHAnsi" w:cstheme="minorHAnsi"/>
                <w:sz w:val="22"/>
              </w:rPr>
            </w:pPr>
            <w:r w:rsidRPr="00601A2D">
              <w:rPr>
                <w:rFonts w:asciiTheme="minorHAnsi" w:hAnsiTheme="minorHAnsi" w:cstheme="minorHAnsi"/>
                <w:sz w:val="22"/>
              </w:rPr>
              <w:t>Datum</w:t>
            </w:r>
            <w:r w:rsidR="00002DBE" w:rsidRPr="00601A2D">
              <w:rPr>
                <w:rFonts w:asciiTheme="minorHAnsi" w:hAnsiTheme="minorHAnsi" w:cstheme="minorHAnsi"/>
                <w:sz w:val="22"/>
              </w:rPr>
              <w:t>:</w:t>
            </w:r>
            <w:r w:rsidR="00601A2D" w:rsidRPr="00601A2D">
              <w:rPr>
                <w:rFonts w:asciiTheme="minorHAnsi" w:hAnsiTheme="minorHAnsi" w:cstheme="minorHAnsi"/>
                <w:sz w:val="22"/>
              </w:rPr>
              <w:t xml:space="preserve"> zahájení</w:t>
            </w:r>
            <w:r w:rsidR="00B27F57">
              <w:rPr>
                <w:rFonts w:asciiTheme="minorHAnsi" w:hAnsiTheme="minorHAnsi" w:cstheme="minorHAnsi"/>
                <w:sz w:val="22"/>
              </w:rPr>
              <w:t xml:space="preserve"> stavby</w:t>
            </w:r>
            <w:r w:rsidR="00601A2D" w:rsidRPr="00601A2D">
              <w:rPr>
                <w:rFonts w:asciiTheme="minorHAnsi" w:hAnsiTheme="minorHAnsi" w:cstheme="minorHAnsi"/>
                <w:sz w:val="22"/>
              </w:rPr>
              <w:t xml:space="preserve"> v září 2013, (předání staveniště - 22.</w:t>
            </w:r>
            <w:r w:rsidR="00B27F57">
              <w:rPr>
                <w:rFonts w:asciiTheme="minorHAnsi" w:hAnsiTheme="minorHAnsi" w:cstheme="minorHAnsi"/>
                <w:sz w:val="22"/>
              </w:rPr>
              <w:t xml:space="preserve"> </w:t>
            </w:r>
            <w:r w:rsidR="00601A2D" w:rsidRPr="00601A2D">
              <w:rPr>
                <w:rFonts w:asciiTheme="minorHAnsi" w:hAnsiTheme="minorHAnsi" w:cstheme="minorHAnsi"/>
                <w:sz w:val="22"/>
              </w:rPr>
              <w:t>8. 2013), již koncem dubna 2013 zahájili - ve smyslu položení přípojky k VN.</w:t>
            </w:r>
          </w:p>
          <w:p w:rsidR="00601A2D" w:rsidRPr="00601A2D" w:rsidRDefault="00601A2D" w:rsidP="00601A2D">
            <w:pPr>
              <w:spacing w:before="60" w:after="60" w:line="240" w:lineRule="auto"/>
              <w:jc w:val="both"/>
              <w:rPr>
                <w:rFonts w:asciiTheme="minorHAnsi" w:hAnsiTheme="minorHAnsi" w:cstheme="minorHAnsi"/>
                <w:sz w:val="22"/>
              </w:rPr>
            </w:pPr>
          </w:p>
          <w:p w:rsidR="00601A2D" w:rsidRPr="00601A2D" w:rsidRDefault="00601A2D" w:rsidP="00601A2D">
            <w:pPr>
              <w:spacing w:before="60" w:after="60" w:line="240" w:lineRule="auto"/>
              <w:jc w:val="both"/>
              <w:rPr>
                <w:rFonts w:asciiTheme="minorHAnsi" w:hAnsiTheme="minorHAnsi" w:cstheme="minorHAnsi"/>
                <w:sz w:val="22"/>
              </w:rPr>
            </w:pPr>
            <w:r w:rsidRPr="00601A2D">
              <w:rPr>
                <w:rFonts w:asciiTheme="minorHAnsi" w:hAnsiTheme="minorHAnsi" w:cstheme="minorHAnsi"/>
                <w:sz w:val="22"/>
              </w:rPr>
              <w:t>Stavba ještě není ukončená</w:t>
            </w:r>
          </w:p>
        </w:tc>
        <w:tc>
          <w:tcPr>
            <w:tcW w:w="4507" w:type="dxa"/>
            <w:gridSpan w:val="2"/>
          </w:tcPr>
          <w:p w:rsidR="00526313" w:rsidRPr="00601A2D" w:rsidRDefault="00002DBE" w:rsidP="00EB4F15">
            <w:pPr>
              <w:spacing w:before="60" w:after="60" w:line="240" w:lineRule="auto"/>
              <w:jc w:val="both"/>
              <w:rPr>
                <w:rFonts w:asciiTheme="minorHAnsi" w:hAnsiTheme="minorHAnsi" w:cstheme="minorHAnsi"/>
                <w:sz w:val="22"/>
              </w:rPr>
            </w:pPr>
            <w:r w:rsidRPr="00601A2D">
              <w:rPr>
                <w:rFonts w:asciiTheme="minorHAnsi" w:hAnsiTheme="minorHAnsi" w:cstheme="minorHAnsi"/>
                <w:sz w:val="22"/>
              </w:rPr>
              <w:t>Generální dodavatel:</w:t>
            </w:r>
          </w:p>
          <w:p w:rsidR="00450F88" w:rsidRPr="00601A2D" w:rsidRDefault="00450F88" w:rsidP="00EB4F15">
            <w:pPr>
              <w:spacing w:before="60" w:after="60" w:line="240" w:lineRule="auto"/>
              <w:jc w:val="both"/>
              <w:rPr>
                <w:rFonts w:asciiTheme="minorHAnsi" w:hAnsiTheme="minorHAnsi" w:cstheme="minorHAnsi"/>
                <w:sz w:val="22"/>
              </w:rPr>
            </w:pPr>
            <w:proofErr w:type="spellStart"/>
            <w:r w:rsidRPr="00601A2D">
              <w:rPr>
                <w:rFonts w:asciiTheme="minorHAnsi" w:hAnsiTheme="minorHAnsi" w:cstheme="minorHAnsi"/>
                <w:sz w:val="22"/>
              </w:rPr>
              <w:t>Zlínstav</w:t>
            </w:r>
            <w:proofErr w:type="spellEnd"/>
            <w:r w:rsidRPr="00601A2D">
              <w:rPr>
                <w:rFonts w:asciiTheme="minorHAnsi" w:hAnsiTheme="minorHAnsi" w:cstheme="minorHAnsi"/>
                <w:sz w:val="22"/>
              </w:rPr>
              <w:t xml:space="preserve"> a.s.</w:t>
            </w:r>
          </w:p>
        </w:tc>
      </w:tr>
      <w:tr w:rsidR="008353DD" w:rsidTr="009C6D60">
        <w:trPr>
          <w:trHeight w:val="1290"/>
        </w:trPr>
        <w:tc>
          <w:tcPr>
            <w:tcW w:w="1461" w:type="dxa"/>
          </w:tcPr>
          <w:p w:rsidR="008353DD" w:rsidRPr="00EB4F15" w:rsidRDefault="00737A93" w:rsidP="00EB4F15">
            <w:pPr>
              <w:spacing w:before="60" w:after="60" w:line="240" w:lineRule="auto"/>
              <w:jc w:val="both"/>
              <w:rPr>
                <w:rFonts w:asciiTheme="minorHAnsi" w:hAnsiTheme="minorHAnsi" w:cstheme="minorHAnsi"/>
                <w:b/>
                <w:sz w:val="22"/>
              </w:rPr>
            </w:pPr>
            <w:r w:rsidRPr="00EB4F15">
              <w:rPr>
                <w:rFonts w:asciiTheme="minorHAnsi" w:hAnsiTheme="minorHAnsi" w:cstheme="minorHAnsi"/>
                <w:b/>
                <w:sz w:val="22"/>
              </w:rPr>
              <w:t>Výstupy projektu</w:t>
            </w:r>
            <w:r w:rsidR="00FD3750" w:rsidRPr="00EB4F15">
              <w:rPr>
                <w:rFonts w:asciiTheme="minorHAnsi" w:hAnsiTheme="minorHAnsi" w:cstheme="minorHAnsi"/>
                <w:b/>
                <w:sz w:val="22"/>
              </w:rPr>
              <w:t xml:space="preserve"> </w:t>
            </w:r>
            <w:r w:rsidR="00FD3750" w:rsidRPr="00EB4F15">
              <w:rPr>
                <w:rFonts w:asciiTheme="minorHAnsi" w:hAnsiTheme="minorHAnsi" w:cstheme="minorHAnsi"/>
                <w:sz w:val="22"/>
              </w:rPr>
              <w:t>(popis hlavních dosažených výstupů včetně uvedení závazných monitorovacích indikátorů v době ukončení projektu plán/skutečnost a plán na rok 2015)</w:t>
            </w:r>
          </w:p>
        </w:tc>
        <w:tc>
          <w:tcPr>
            <w:tcW w:w="8145" w:type="dxa"/>
            <w:gridSpan w:val="5"/>
          </w:tcPr>
          <w:p w:rsidR="00450F88" w:rsidRPr="00EB4F15" w:rsidRDefault="00450F88" w:rsidP="00EB4F15">
            <w:pPr>
              <w:pStyle w:val="Odstavecseseznamem"/>
              <w:spacing w:before="120" w:line="240" w:lineRule="auto"/>
              <w:ind w:left="0"/>
              <w:jc w:val="both"/>
              <w:rPr>
                <w:rFonts w:asciiTheme="minorHAnsi" w:hAnsiTheme="minorHAnsi" w:cstheme="minorHAnsi"/>
                <w:b/>
              </w:rPr>
            </w:pPr>
            <w:r w:rsidRPr="00EB4F15">
              <w:rPr>
                <w:rFonts w:asciiTheme="minorHAnsi" w:hAnsiTheme="minorHAnsi" w:cstheme="minorHAnsi"/>
                <w:b/>
              </w:rPr>
              <w:t>Milníky</w:t>
            </w:r>
            <w:r w:rsidRPr="00EB4F15">
              <w:rPr>
                <w:rFonts w:asciiTheme="minorHAnsi" w:hAnsiTheme="minorHAnsi" w:cstheme="minorHAnsi"/>
                <w:color w:val="000000"/>
              </w:rPr>
              <w:t> </w:t>
            </w:r>
            <w:r w:rsidRPr="00EB4F15">
              <w:rPr>
                <w:rFonts w:asciiTheme="minorHAnsi" w:hAnsiTheme="minorHAnsi" w:cstheme="minorHAnsi"/>
                <w:b/>
              </w:rPr>
              <w:t xml:space="preserve"> a očekávané výstupy</w:t>
            </w:r>
            <w:r w:rsidRPr="00EB4F15">
              <w:rPr>
                <w:rFonts w:asciiTheme="minorHAnsi" w:hAnsiTheme="minorHAnsi" w:cstheme="minorHAnsi"/>
                <w:color w:val="000000"/>
              </w:rPr>
              <w:t> </w:t>
            </w:r>
            <w:r w:rsidRPr="00EB4F15">
              <w:rPr>
                <w:rStyle w:val="Znakapoznpodarou"/>
                <w:rFonts w:asciiTheme="minorHAnsi" w:hAnsiTheme="minorHAnsi" w:cstheme="minorHAnsi"/>
                <w:color w:val="000000"/>
              </w:rPr>
              <w:footnoteReference w:id="1"/>
            </w:r>
            <w:r w:rsidRPr="00EB4F15">
              <w:rPr>
                <w:rFonts w:asciiTheme="minorHAnsi" w:hAnsiTheme="minorHAnsi" w:cstheme="minorHAnsi"/>
                <w:b/>
              </w:rPr>
              <w:t>:</w:t>
            </w:r>
          </w:p>
          <w:tbl>
            <w:tblPr>
              <w:tblW w:w="8931" w:type="dxa"/>
              <w:tblCellMar>
                <w:left w:w="0" w:type="dxa"/>
                <w:right w:w="0" w:type="dxa"/>
              </w:tblCellMar>
              <w:tblLook w:val="04A0" w:firstRow="1" w:lastRow="0" w:firstColumn="1" w:lastColumn="0" w:noHBand="0" w:noVBand="1"/>
            </w:tblPr>
            <w:tblGrid>
              <w:gridCol w:w="760"/>
              <w:gridCol w:w="1381"/>
              <w:gridCol w:w="3734"/>
              <w:gridCol w:w="130"/>
              <w:gridCol w:w="510"/>
              <w:gridCol w:w="502"/>
              <w:gridCol w:w="893"/>
            </w:tblGrid>
            <w:tr w:rsidR="00450F88" w:rsidRPr="00EB4F15" w:rsidTr="0073322C">
              <w:trPr>
                <w:trHeight w:val="270"/>
              </w:trPr>
              <w:tc>
                <w:tcPr>
                  <w:tcW w:w="2400"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b/>
                      <w:bCs/>
                      <w:color w:val="000000"/>
                      <w:sz w:val="22"/>
                    </w:rPr>
                  </w:pPr>
                  <w:r w:rsidRPr="00EB4F15">
                    <w:rPr>
                      <w:rFonts w:asciiTheme="minorHAnsi" w:hAnsiTheme="minorHAnsi" w:cstheme="minorHAnsi"/>
                      <w:b/>
                      <w:bCs/>
                      <w:color w:val="000000"/>
                      <w:sz w:val="22"/>
                    </w:rPr>
                    <w:t>Oblast projektu</w:t>
                  </w:r>
                </w:p>
              </w:tc>
              <w:tc>
                <w:tcPr>
                  <w:tcW w:w="4253" w:type="dxa"/>
                  <w:tcBorders>
                    <w:top w:val="single" w:sz="8" w:space="0" w:color="auto"/>
                    <w:left w:val="nil"/>
                    <w:bottom w:val="single" w:sz="8"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b/>
                      <w:bCs/>
                      <w:color w:val="000000"/>
                      <w:sz w:val="22"/>
                    </w:rPr>
                  </w:pPr>
                  <w:r w:rsidRPr="00EB4F15">
                    <w:rPr>
                      <w:rFonts w:asciiTheme="minorHAnsi" w:hAnsiTheme="minorHAnsi" w:cstheme="minorHAnsi"/>
                      <w:b/>
                      <w:bCs/>
                      <w:color w:val="000000"/>
                      <w:sz w:val="22"/>
                    </w:rPr>
                    <w:t>Milníky</w:t>
                  </w:r>
                </w:p>
              </w:tc>
              <w:tc>
                <w:tcPr>
                  <w:tcW w:w="2278" w:type="dxa"/>
                  <w:gridSpan w:val="4"/>
                  <w:tcBorders>
                    <w:top w:val="single" w:sz="8" w:space="0" w:color="auto"/>
                    <w:left w:val="nil"/>
                    <w:bottom w:val="single" w:sz="8"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b/>
                      <w:bCs/>
                      <w:color w:val="000000"/>
                      <w:sz w:val="22"/>
                    </w:rPr>
                  </w:pPr>
                  <w:r w:rsidRPr="00EB4F15">
                    <w:rPr>
                      <w:rFonts w:asciiTheme="minorHAnsi" w:hAnsiTheme="minorHAnsi" w:cstheme="minorHAnsi"/>
                      <w:b/>
                      <w:bCs/>
                      <w:color w:val="000000"/>
                      <w:sz w:val="22"/>
                    </w:rPr>
                    <w:t>Termín</w:t>
                  </w:r>
                </w:p>
              </w:tc>
            </w:tr>
            <w:tr w:rsidR="00450F88" w:rsidRPr="00EB4F15" w:rsidTr="0073322C">
              <w:trPr>
                <w:trHeight w:val="20"/>
              </w:trPr>
              <w:tc>
                <w:tcPr>
                  <w:tcW w:w="2400" w:type="dxa"/>
                  <w:gridSpan w:val="2"/>
                  <w:vMerge w:val="restart"/>
                  <w:tcBorders>
                    <w:top w:val="single" w:sz="8" w:space="0" w:color="auto"/>
                    <w:left w:val="single" w:sz="8" w:space="0" w:color="auto"/>
                    <w:bottom w:val="single" w:sz="4" w:space="0" w:color="auto"/>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w:t>
                  </w:r>
                  <w:r w:rsidRPr="00EB4F15">
                    <w:rPr>
                      <w:rFonts w:asciiTheme="minorHAnsi" w:hAnsiTheme="minorHAnsi" w:cstheme="minorHAnsi"/>
                      <w:b/>
                      <w:bCs/>
                      <w:color w:val="000000"/>
                      <w:sz w:val="22"/>
                    </w:rPr>
                    <w:t>Infrastruktura</w:t>
                  </w: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Zahájení fáze výsta</w:t>
                  </w:r>
                  <w:r w:rsidRPr="00EB4F15">
                    <w:rPr>
                      <w:rFonts w:asciiTheme="minorHAnsi" w:hAnsiTheme="minorHAnsi" w:cstheme="minorHAnsi"/>
                      <w:sz w:val="22"/>
                    </w:rPr>
                    <w:t xml:space="preserve">vby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II/2013</w:t>
                  </w:r>
                </w:p>
              </w:tc>
            </w:tr>
            <w:tr w:rsidR="00450F88" w:rsidRPr="00EB4F15" w:rsidTr="0073322C">
              <w:trPr>
                <w:trHeight w:val="20"/>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Dokončení fáze výstavby – rozloha 25 483 m</w:t>
                  </w:r>
                  <w:r w:rsidRPr="00EB4F15">
                    <w:rPr>
                      <w:rFonts w:asciiTheme="minorHAnsi" w:hAnsiTheme="minorHAnsi" w:cstheme="minorHAnsi"/>
                      <w:color w:val="000000"/>
                      <w:sz w:val="22"/>
                      <w:vertAlign w:val="superscript"/>
                    </w:rPr>
                    <w:t>2</w:t>
                  </w:r>
                  <w:r w:rsidRPr="00EB4F15">
                    <w:rPr>
                      <w:rFonts w:asciiTheme="minorHAnsi" w:hAnsiTheme="minorHAnsi" w:cstheme="minorHAnsi"/>
                      <w:color w:val="000000"/>
                      <w:sz w:val="22"/>
                    </w:rPr>
                    <w:t xml:space="preserve"> a </w:t>
                  </w:r>
                  <w:proofErr w:type="spellStart"/>
                  <w:r w:rsidRPr="00EB4F15">
                    <w:rPr>
                      <w:rFonts w:asciiTheme="minorHAnsi" w:hAnsiTheme="minorHAnsi" w:cstheme="minorHAnsi"/>
                      <w:color w:val="000000"/>
                      <w:sz w:val="22"/>
                    </w:rPr>
                    <w:t>a</w:t>
                  </w:r>
                  <w:proofErr w:type="spellEnd"/>
                  <w:r w:rsidRPr="00EB4F15">
                    <w:rPr>
                      <w:rFonts w:asciiTheme="minorHAnsi" w:hAnsiTheme="minorHAnsi" w:cstheme="minorHAnsi"/>
                      <w:color w:val="000000"/>
                      <w:sz w:val="22"/>
                    </w:rPr>
                    <w:t xml:space="preserve"> získání kolaudačního rozhodnutí</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lang w:val="en-GB"/>
                    </w:rPr>
                    <w:t>I/2015</w:t>
                  </w:r>
                </w:p>
              </w:tc>
            </w:tr>
            <w:tr w:rsidR="00450F88" w:rsidRPr="00EB4F15" w:rsidTr="0073322C">
              <w:trPr>
                <w:trHeight w:val="20"/>
              </w:trPr>
              <w:tc>
                <w:tcPr>
                  <w:tcW w:w="2400" w:type="dxa"/>
                  <w:gridSpan w:val="2"/>
                  <w:vMerge/>
                  <w:tcBorders>
                    <w:left w:val="single" w:sz="8" w:space="0" w:color="auto"/>
                    <w:bottom w:val="single" w:sz="4" w:space="0" w:color="auto"/>
                    <w:right w:val="nil"/>
                  </w:tcBorders>
                  <w:shd w:val="clear" w:color="auto" w:fill="auto"/>
                  <w:noWrap/>
                  <w:vAlign w:val="center"/>
                </w:tcPr>
                <w:p w:rsidR="00450F88" w:rsidRPr="00EB4F15" w:rsidRDefault="00450F88" w:rsidP="00EB4F15">
                  <w:pPr>
                    <w:spacing w:after="0"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tcPr>
                <w:p w:rsidR="00450F88" w:rsidRPr="00EB4F15" w:rsidRDefault="00450F88" w:rsidP="00EB4F15">
                  <w:pPr>
                    <w:spacing w:after="0" w:line="240" w:lineRule="auto"/>
                    <w:jc w:val="both"/>
                    <w:rPr>
                      <w:rFonts w:asciiTheme="minorHAnsi" w:hAnsiTheme="minorHAnsi" w:cstheme="minorHAnsi"/>
                      <w:sz w:val="22"/>
                    </w:rPr>
                  </w:pPr>
                  <w:r w:rsidRPr="00EB4F15">
                    <w:rPr>
                      <w:rFonts w:asciiTheme="minorHAnsi" w:hAnsiTheme="minorHAnsi" w:cstheme="minorHAnsi"/>
                      <w:color w:val="000000"/>
                      <w:sz w:val="22"/>
                    </w:rPr>
                    <w:t>Dokončení zkušebního provozu – standardy GMO, ostatní čisté prostory</w:t>
                  </w:r>
                </w:p>
              </w:tc>
              <w:tc>
                <w:tcPr>
                  <w:tcW w:w="2278" w:type="dxa"/>
                  <w:gridSpan w:val="4"/>
                  <w:tcBorders>
                    <w:top w:val="nil"/>
                    <w:left w:val="nil"/>
                    <w:bottom w:val="single" w:sz="4" w:space="0" w:color="auto"/>
                    <w:right w:val="single" w:sz="8" w:space="0" w:color="auto"/>
                  </w:tcBorders>
                  <w:shd w:val="clear" w:color="auto" w:fill="auto"/>
                  <w:noWrap/>
                  <w:vAlign w:val="center"/>
                </w:tcPr>
                <w:p w:rsidR="00450F88" w:rsidRPr="00EB4F15" w:rsidRDefault="00450F88" w:rsidP="00EB4F15">
                  <w:pPr>
                    <w:spacing w:after="0" w:line="240" w:lineRule="auto"/>
                    <w:jc w:val="both"/>
                    <w:rPr>
                      <w:rFonts w:asciiTheme="minorHAnsi" w:hAnsiTheme="minorHAnsi" w:cstheme="minorHAnsi"/>
                      <w:sz w:val="22"/>
                      <w:lang w:val="en-GB"/>
                    </w:rPr>
                  </w:pPr>
                  <w:r w:rsidRPr="00EB4F15">
                    <w:rPr>
                      <w:rFonts w:asciiTheme="minorHAnsi" w:hAnsiTheme="minorHAnsi" w:cstheme="minorHAnsi"/>
                      <w:color w:val="000000"/>
                      <w:sz w:val="22"/>
                    </w:rPr>
                    <w:t>II/2015</w:t>
                  </w:r>
                </w:p>
              </w:tc>
            </w:tr>
            <w:tr w:rsidR="00450F88" w:rsidRPr="00EB4F15" w:rsidTr="0073322C">
              <w:trPr>
                <w:trHeight w:val="20"/>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Plné zprovoznění infrastruktury</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lang w:val="en-GB"/>
                    </w:rPr>
                    <w:t>III/2015</w:t>
                  </w:r>
                </w:p>
              </w:tc>
            </w:tr>
            <w:tr w:rsidR="00450F88" w:rsidRPr="00EB4F15" w:rsidTr="0073322C">
              <w:trPr>
                <w:trHeight w:val="20"/>
              </w:trPr>
              <w:tc>
                <w:tcPr>
                  <w:tcW w:w="2400" w:type="dxa"/>
                  <w:gridSpan w:val="2"/>
                  <w:vMerge w:val="restart"/>
                  <w:tcBorders>
                    <w:top w:val="nil"/>
                    <w:left w:val="single" w:sz="8" w:space="0" w:color="auto"/>
                    <w:bottom w:val="single" w:sz="4" w:space="0" w:color="auto"/>
                    <w:right w:val="nil"/>
                  </w:tcBorders>
                  <w:shd w:val="clear" w:color="auto" w:fill="auto"/>
                  <w:noWrap/>
                  <w:hideMark/>
                </w:tcPr>
                <w:p w:rsidR="00450F88" w:rsidRPr="00EB4F15" w:rsidRDefault="00450F88" w:rsidP="00EB4F15">
                  <w:pPr>
                    <w:spacing w:after="0" w:line="240" w:lineRule="auto"/>
                    <w:jc w:val="both"/>
                    <w:rPr>
                      <w:rFonts w:asciiTheme="minorHAnsi" w:hAnsiTheme="minorHAnsi" w:cstheme="minorHAnsi"/>
                      <w:b/>
                      <w:bCs/>
                      <w:color w:val="000000"/>
                      <w:sz w:val="22"/>
                    </w:rPr>
                  </w:pPr>
                  <w:r w:rsidRPr="00EB4F15">
                    <w:rPr>
                      <w:rFonts w:asciiTheme="minorHAnsi" w:hAnsiTheme="minorHAnsi" w:cstheme="minorHAnsi"/>
                      <w:b/>
                      <w:bCs/>
                      <w:color w:val="000000"/>
                      <w:sz w:val="22"/>
                    </w:rPr>
                    <w:t>Lidské zdroje, organizace</w:t>
                  </w:r>
                  <w:r w:rsidRPr="00EB4F15">
                    <w:rPr>
                      <w:rFonts w:asciiTheme="minorHAnsi" w:hAnsiTheme="minorHAnsi" w:cstheme="minorHAnsi"/>
                      <w:color w:val="000000"/>
                      <w:sz w:val="22"/>
                    </w:rPr>
                    <w:t> </w:t>
                  </w: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Zahájení organizovaného náboru pracovníků centra BIOCEV</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I/2012</w:t>
                  </w:r>
                </w:p>
              </w:tc>
            </w:tr>
            <w:tr w:rsidR="00450F88" w:rsidRPr="00EB4F15" w:rsidTr="0073322C">
              <w:trPr>
                <w:trHeight w:val="283"/>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 xml:space="preserve">Dokončení modelu Řízení lidských zdrojů (včetně karierního řádu BIOCEV)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I/2014</w:t>
                  </w:r>
                </w:p>
              </w:tc>
            </w:tr>
            <w:tr w:rsidR="00450F88" w:rsidRPr="00EB4F15" w:rsidTr="0073322C">
              <w:trPr>
                <w:trHeight w:val="283"/>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 xml:space="preserve">Definice kritérií pro interní hodnocení činnosti výzkumných pracovníků, laboratoří a programů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II/2013</w:t>
                  </w:r>
                </w:p>
              </w:tc>
            </w:tr>
            <w:tr w:rsidR="00450F88" w:rsidRPr="00EB4F15" w:rsidTr="0073322C">
              <w:trPr>
                <w:trHeight w:val="283"/>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Zahájení náborového cyklu pro obsazení managementu a správy</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I/2013</w:t>
                  </w:r>
                </w:p>
              </w:tc>
            </w:tr>
            <w:tr w:rsidR="00450F88" w:rsidRPr="00EB4F15" w:rsidTr="0073322C">
              <w:trPr>
                <w:trHeight w:val="283"/>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Dokončení prvního mezinárodního hodnocení BIOCEV</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IV/2015</w:t>
                  </w:r>
                </w:p>
              </w:tc>
            </w:tr>
            <w:tr w:rsidR="00450F88" w:rsidRPr="00EB4F15" w:rsidTr="0073322C">
              <w:trPr>
                <w:trHeight w:val="283"/>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xml:space="preserve">Ustavení Aplikační rady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II/2013</w:t>
                  </w:r>
                </w:p>
              </w:tc>
            </w:tr>
            <w:tr w:rsidR="00450F88" w:rsidRPr="00EB4F15" w:rsidTr="0073322C">
              <w:trPr>
                <w:trHeight w:val="283"/>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xml:space="preserve">Ustavení Mezinárodní vědecké rady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II/2013</w:t>
                  </w:r>
                </w:p>
              </w:tc>
            </w:tr>
            <w:tr w:rsidR="00450F88" w:rsidRPr="00EB4F15" w:rsidTr="0073322C">
              <w:trPr>
                <w:trHeight w:val="283"/>
              </w:trPr>
              <w:tc>
                <w:tcPr>
                  <w:tcW w:w="2400" w:type="dxa"/>
                  <w:gridSpan w:val="2"/>
                  <w:vMerge/>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xml:space="preserve">Ustavení Interní vědecké rady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II/2013</w:t>
                  </w:r>
                </w:p>
              </w:tc>
            </w:tr>
            <w:tr w:rsidR="00450F88" w:rsidRPr="00EB4F15" w:rsidTr="0073322C">
              <w:trPr>
                <w:trHeight w:val="20"/>
              </w:trPr>
              <w:tc>
                <w:tcPr>
                  <w:tcW w:w="2400"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b/>
                      <w:bCs/>
                      <w:color w:val="000000"/>
                      <w:sz w:val="22"/>
                    </w:rPr>
                  </w:pPr>
                  <w:r w:rsidRPr="00EB4F15">
                    <w:rPr>
                      <w:rFonts w:asciiTheme="minorHAnsi" w:hAnsiTheme="minorHAnsi" w:cstheme="minorHAnsi"/>
                      <w:b/>
                      <w:bCs/>
                      <w:color w:val="000000"/>
                      <w:sz w:val="22"/>
                    </w:rPr>
                    <w:t>Výzkumný program</w:t>
                  </w:r>
                </w:p>
              </w:tc>
              <w:tc>
                <w:tcPr>
                  <w:tcW w:w="4253" w:type="dxa"/>
                  <w:tcBorders>
                    <w:top w:val="nil"/>
                    <w:left w:val="nil"/>
                    <w:bottom w:val="single" w:sz="8"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sz w:val="22"/>
                    </w:rPr>
                    <w:t>Zahájení výzkumných programů</w:t>
                  </w:r>
                </w:p>
              </w:tc>
              <w:tc>
                <w:tcPr>
                  <w:tcW w:w="2278" w:type="dxa"/>
                  <w:gridSpan w:val="4"/>
                  <w:tcBorders>
                    <w:top w:val="nil"/>
                    <w:left w:val="nil"/>
                    <w:bottom w:val="single" w:sz="8"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VP 1 (III/2012), VP 2-5 (III/2013)</w:t>
                  </w:r>
                </w:p>
              </w:tc>
            </w:tr>
            <w:tr w:rsidR="00450F88" w:rsidRPr="00EB4F15" w:rsidTr="0073322C">
              <w:trPr>
                <w:trHeight w:val="20"/>
              </w:trPr>
              <w:tc>
                <w:tcPr>
                  <w:tcW w:w="2400" w:type="dxa"/>
                  <w:gridSpan w:val="2"/>
                  <w:vMerge w:val="restart"/>
                  <w:tcBorders>
                    <w:top w:val="nil"/>
                    <w:left w:val="single" w:sz="8" w:space="0" w:color="auto"/>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b/>
                      <w:bCs/>
                      <w:color w:val="000000"/>
                      <w:sz w:val="22"/>
                    </w:rPr>
                  </w:pPr>
                  <w:r w:rsidRPr="00EB4F15">
                    <w:rPr>
                      <w:rFonts w:asciiTheme="minorHAnsi" w:hAnsiTheme="minorHAnsi" w:cstheme="minorHAnsi"/>
                      <w:b/>
                      <w:bCs/>
                      <w:color w:val="000000"/>
                      <w:sz w:val="22"/>
                    </w:rPr>
                    <w:t>Servisní laboratoře (hlavní technologie)</w:t>
                  </w:r>
                </w:p>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w:t>
                  </w:r>
                </w:p>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w:t>
                  </w:r>
                </w:p>
                <w:p w:rsidR="00450F88" w:rsidRPr="00EB4F15" w:rsidRDefault="00450F88" w:rsidP="00EB4F15">
                  <w:pPr>
                    <w:spacing w:line="240" w:lineRule="auto"/>
                    <w:jc w:val="both"/>
                    <w:rPr>
                      <w:rFonts w:asciiTheme="minorHAnsi" w:hAnsiTheme="minorHAnsi" w:cstheme="minorHAnsi"/>
                      <w:b/>
                      <w:bCs/>
                      <w:color w:val="000000"/>
                      <w:sz w:val="22"/>
                    </w:rPr>
                  </w:pPr>
                  <w:r w:rsidRPr="00EB4F15">
                    <w:rPr>
                      <w:rFonts w:asciiTheme="minorHAnsi" w:hAnsiTheme="minorHAnsi" w:cstheme="minorHAnsi"/>
                      <w:color w:val="000000"/>
                      <w:sz w:val="22"/>
                    </w:rPr>
                    <w:t> </w:t>
                  </w: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Zřízení transgenní jednotky</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II/2012</w:t>
                  </w:r>
                </w:p>
              </w:tc>
            </w:tr>
            <w:tr w:rsidR="00450F88" w:rsidRPr="00EB4F15" w:rsidTr="0073322C">
              <w:trPr>
                <w:trHeight w:val="20"/>
              </w:trPr>
              <w:tc>
                <w:tcPr>
                  <w:tcW w:w="2400" w:type="dxa"/>
                  <w:gridSpan w:val="2"/>
                  <w:vMerge/>
                  <w:tcBorders>
                    <w:left w:val="single" w:sz="8"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xml:space="preserve">Dokončení instalace </w:t>
                  </w:r>
                  <w:proofErr w:type="spellStart"/>
                  <w:r w:rsidRPr="00EB4F15">
                    <w:rPr>
                      <w:rFonts w:asciiTheme="minorHAnsi" w:hAnsiTheme="minorHAnsi" w:cstheme="minorHAnsi"/>
                      <w:color w:val="000000"/>
                      <w:sz w:val="22"/>
                    </w:rPr>
                    <w:t>core</w:t>
                  </w:r>
                  <w:proofErr w:type="spellEnd"/>
                  <w:r w:rsidRPr="00EB4F15">
                    <w:rPr>
                      <w:rFonts w:asciiTheme="minorHAnsi" w:hAnsiTheme="minorHAnsi" w:cstheme="minorHAnsi"/>
                      <w:color w:val="000000"/>
                      <w:sz w:val="22"/>
                    </w:rPr>
                    <w:t xml:space="preserve"> </w:t>
                  </w:r>
                  <w:proofErr w:type="spellStart"/>
                  <w:r w:rsidRPr="00EB4F15">
                    <w:rPr>
                      <w:rFonts w:asciiTheme="minorHAnsi" w:hAnsiTheme="minorHAnsi" w:cstheme="minorHAnsi"/>
                      <w:color w:val="000000"/>
                      <w:sz w:val="22"/>
                    </w:rPr>
                    <w:t>facilit</w:t>
                  </w:r>
                  <w:proofErr w:type="spellEnd"/>
                  <w:r w:rsidRPr="00EB4F15">
                    <w:rPr>
                      <w:rFonts w:asciiTheme="minorHAnsi" w:hAnsiTheme="minorHAnsi" w:cstheme="minorHAnsi"/>
                      <w:color w:val="000000"/>
                      <w:sz w:val="22"/>
                    </w:rPr>
                    <w:t xml:space="preserve">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highlight w:val="magenta"/>
                    </w:rPr>
                  </w:pPr>
                  <w:r w:rsidRPr="00EB4F15">
                    <w:rPr>
                      <w:rFonts w:asciiTheme="minorHAnsi" w:hAnsiTheme="minorHAnsi" w:cstheme="minorHAnsi"/>
                      <w:color w:val="000000"/>
                      <w:sz w:val="22"/>
                    </w:rPr>
                    <w:t>II/2015</w:t>
                  </w:r>
                </w:p>
              </w:tc>
            </w:tr>
            <w:tr w:rsidR="00450F88" w:rsidRPr="00EB4F15" w:rsidTr="0073322C">
              <w:trPr>
                <w:trHeight w:val="20"/>
              </w:trPr>
              <w:tc>
                <w:tcPr>
                  <w:tcW w:w="2400" w:type="dxa"/>
                  <w:gridSpan w:val="2"/>
                  <w:vMerge/>
                  <w:tcBorders>
                    <w:left w:val="single" w:sz="8" w:space="0" w:color="auto"/>
                    <w:right w:val="nil"/>
                  </w:tcBorders>
                  <w:shd w:val="clear" w:color="auto" w:fill="auto"/>
                  <w:noWrap/>
                  <w:vAlign w:val="center"/>
                  <w:hideMark/>
                </w:tcPr>
                <w:p w:rsidR="00450F88" w:rsidRPr="00EB4F15" w:rsidRDefault="00450F88" w:rsidP="00EB4F15">
                  <w:pPr>
                    <w:spacing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Dokončení zkušebního provozu – technické vybavení</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highlight w:val="magenta"/>
                    </w:rPr>
                  </w:pPr>
                  <w:r w:rsidRPr="00EB4F15">
                    <w:rPr>
                      <w:rFonts w:asciiTheme="minorHAnsi" w:hAnsiTheme="minorHAnsi" w:cstheme="minorHAnsi"/>
                      <w:color w:val="000000"/>
                      <w:sz w:val="22"/>
                    </w:rPr>
                    <w:t>III/2015</w:t>
                  </w:r>
                </w:p>
              </w:tc>
            </w:tr>
            <w:tr w:rsidR="00450F88" w:rsidRPr="00EB4F15" w:rsidTr="0073322C">
              <w:trPr>
                <w:trHeight w:val="342"/>
              </w:trPr>
              <w:tc>
                <w:tcPr>
                  <w:tcW w:w="2400" w:type="dxa"/>
                  <w:gridSpan w:val="2"/>
                  <w:vMerge/>
                  <w:tcBorders>
                    <w:left w:val="single" w:sz="8" w:space="0" w:color="auto"/>
                    <w:bottom w:val="nil"/>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Získání akreditace CCP</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highlight w:val="magenta"/>
                    </w:rPr>
                  </w:pPr>
                  <w:r w:rsidRPr="00EB4F15">
                    <w:rPr>
                      <w:rFonts w:asciiTheme="minorHAnsi" w:hAnsiTheme="minorHAnsi" w:cstheme="minorHAnsi"/>
                      <w:color w:val="000000"/>
                      <w:sz w:val="22"/>
                    </w:rPr>
                    <w:t>III/2015</w:t>
                  </w:r>
                </w:p>
              </w:tc>
            </w:tr>
            <w:tr w:rsidR="00450F88" w:rsidRPr="00EB4F15" w:rsidTr="0073322C">
              <w:trPr>
                <w:trHeight w:val="342"/>
              </w:trPr>
              <w:tc>
                <w:tcPr>
                  <w:tcW w:w="2400" w:type="dxa"/>
                  <w:gridSpan w:val="2"/>
                  <w:tcBorders>
                    <w:left w:val="single" w:sz="8" w:space="0" w:color="auto"/>
                    <w:bottom w:val="single" w:sz="4" w:space="0" w:color="auto"/>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p>
              </w:tc>
              <w:tc>
                <w:tcPr>
                  <w:tcW w:w="4253" w:type="dxa"/>
                  <w:tcBorders>
                    <w:top w:val="nil"/>
                    <w:left w:val="single" w:sz="4" w:space="0" w:color="auto"/>
                    <w:bottom w:val="single" w:sz="4" w:space="0" w:color="auto"/>
                    <w:right w:val="single" w:sz="4"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r w:rsidRPr="00EB4F15">
                    <w:rPr>
                      <w:rFonts w:asciiTheme="minorHAnsi" w:hAnsiTheme="minorHAnsi" w:cstheme="minorHAnsi"/>
                      <w:color w:val="000000"/>
                      <w:sz w:val="22"/>
                    </w:rPr>
                    <w:t xml:space="preserve">Integrace servisní laboratoře „Zobrazovací metody“ do aktivit konsorcia </w:t>
                  </w:r>
                  <w:proofErr w:type="spellStart"/>
                  <w:r w:rsidRPr="00EB4F15">
                    <w:rPr>
                      <w:rFonts w:asciiTheme="minorHAnsi" w:hAnsiTheme="minorHAnsi" w:cstheme="minorHAnsi"/>
                      <w:color w:val="000000"/>
                      <w:sz w:val="22"/>
                    </w:rPr>
                    <w:t>EuroBioImaging</w:t>
                  </w:r>
                  <w:proofErr w:type="spellEnd"/>
                  <w:r w:rsidRPr="00EB4F15">
                    <w:rPr>
                      <w:rFonts w:asciiTheme="minorHAnsi" w:hAnsiTheme="minorHAnsi" w:cstheme="minorHAnsi"/>
                      <w:color w:val="000000"/>
                      <w:sz w:val="22"/>
                    </w:rPr>
                    <w:t xml:space="preserve"> </w:t>
                  </w:r>
                </w:p>
              </w:tc>
              <w:tc>
                <w:tcPr>
                  <w:tcW w:w="2278" w:type="dxa"/>
                  <w:gridSpan w:val="4"/>
                  <w:tcBorders>
                    <w:top w:val="nil"/>
                    <w:left w:val="nil"/>
                    <w:bottom w:val="single" w:sz="4" w:space="0" w:color="auto"/>
                    <w:right w:val="single" w:sz="8" w:space="0" w:color="auto"/>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highlight w:val="magenta"/>
                    </w:rPr>
                  </w:pPr>
                  <w:r w:rsidRPr="00EB4F15">
                    <w:rPr>
                      <w:rFonts w:asciiTheme="minorHAnsi" w:hAnsiTheme="minorHAnsi" w:cstheme="minorHAnsi"/>
                      <w:sz w:val="22"/>
                      <w:lang w:val="en-GB"/>
                    </w:rPr>
                    <w:t>III/2015</w:t>
                  </w:r>
                </w:p>
              </w:tc>
            </w:tr>
            <w:tr w:rsidR="00450F88" w:rsidRPr="00EB4F15" w:rsidTr="0073322C">
              <w:trPr>
                <w:trHeight w:val="255"/>
              </w:trPr>
              <w:tc>
                <w:tcPr>
                  <w:tcW w:w="8931" w:type="dxa"/>
                  <w:gridSpan w:val="7"/>
                  <w:tcBorders>
                    <w:top w:val="nil"/>
                    <w:left w:val="nil"/>
                    <w:bottom w:val="nil"/>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p>
              </w:tc>
            </w:tr>
            <w:tr w:rsidR="00450F88" w:rsidRPr="00EB4F15" w:rsidTr="0073322C">
              <w:trPr>
                <w:trHeight w:val="255"/>
              </w:trPr>
              <w:tc>
                <w:tcPr>
                  <w:tcW w:w="7361" w:type="dxa"/>
                  <w:gridSpan w:val="5"/>
                  <w:tcBorders>
                    <w:top w:val="nil"/>
                    <w:left w:val="nil"/>
                    <w:bottom w:val="nil"/>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p>
              </w:tc>
              <w:tc>
                <w:tcPr>
                  <w:tcW w:w="1570" w:type="dxa"/>
                  <w:gridSpan w:val="2"/>
                  <w:tcBorders>
                    <w:top w:val="nil"/>
                    <w:left w:val="nil"/>
                    <w:bottom w:val="nil"/>
                    <w:right w:val="nil"/>
                  </w:tcBorders>
                  <w:shd w:val="clear" w:color="auto" w:fill="auto"/>
                  <w:noWrap/>
                  <w:vAlign w:val="center"/>
                  <w:hideMark/>
                </w:tcPr>
                <w:p w:rsidR="00450F88" w:rsidRPr="00EB4F15" w:rsidRDefault="00450F88" w:rsidP="00EB4F15">
                  <w:pPr>
                    <w:spacing w:after="0" w:line="240" w:lineRule="auto"/>
                    <w:jc w:val="both"/>
                    <w:rPr>
                      <w:rFonts w:asciiTheme="minorHAnsi" w:hAnsiTheme="minorHAnsi" w:cstheme="minorHAnsi"/>
                      <w:color w:val="000000"/>
                      <w:sz w:val="22"/>
                    </w:rPr>
                  </w:pPr>
                </w:p>
              </w:tc>
            </w:tr>
            <w:tr w:rsidR="00450F88" w:rsidRPr="00EB4F15" w:rsidTr="0073322C">
              <w:tblPrEx>
                <w:tblCellMar>
                  <w:left w:w="70" w:type="dxa"/>
                  <w:right w:w="70" w:type="dxa"/>
                </w:tblCellMar>
                <w:tblLook w:val="00A0" w:firstRow="1" w:lastRow="0" w:firstColumn="1" w:lastColumn="0" w:noHBand="0" w:noVBand="0"/>
              </w:tblPrEx>
              <w:trPr>
                <w:trHeight w:val="989"/>
              </w:trPr>
              <w:tc>
                <w:tcPr>
                  <w:tcW w:w="6799"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b/>
                      <w:sz w:val="22"/>
                    </w:rPr>
                  </w:pPr>
                  <w:r w:rsidRPr="00EB4F15">
                    <w:rPr>
                      <w:rFonts w:asciiTheme="minorHAnsi" w:hAnsiTheme="minorHAnsi" w:cstheme="minorHAnsi"/>
                      <w:b/>
                      <w:bCs/>
                      <w:sz w:val="22"/>
                      <w:lang w:eastAsia="cs-CZ"/>
                    </w:rPr>
                    <w:t>Závazné hodnoty monitorovacích indikátorů:</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450F88" w:rsidRPr="00EB4F15" w:rsidRDefault="00450F88" w:rsidP="00EB4F15">
                  <w:pPr>
                    <w:spacing w:after="0" w:line="240" w:lineRule="auto"/>
                    <w:jc w:val="both"/>
                    <w:rPr>
                      <w:rFonts w:asciiTheme="minorHAnsi" w:hAnsiTheme="minorHAnsi" w:cstheme="minorHAnsi"/>
                      <w:b/>
                      <w:sz w:val="22"/>
                    </w:rPr>
                  </w:pPr>
                  <w:r w:rsidRPr="00EB4F15">
                    <w:rPr>
                      <w:rFonts w:asciiTheme="minorHAnsi" w:hAnsiTheme="minorHAnsi" w:cstheme="minorHAnsi"/>
                      <w:b/>
                      <w:bCs/>
                      <w:sz w:val="22"/>
                      <w:lang w:eastAsia="cs-CZ"/>
                    </w:rPr>
                    <w:t>K datu ukončení realizace projektu</w:t>
                  </w:r>
                </w:p>
              </w:tc>
              <w:tc>
                <w:tcPr>
                  <w:tcW w:w="998" w:type="dxa"/>
                  <w:tcBorders>
                    <w:top w:val="single" w:sz="4" w:space="0" w:color="auto"/>
                    <w:left w:val="nil"/>
                    <w:bottom w:val="single" w:sz="4" w:space="0" w:color="auto"/>
                    <w:right w:val="single" w:sz="4" w:space="0" w:color="auto"/>
                  </w:tcBorders>
                  <w:shd w:val="clear" w:color="auto" w:fill="auto"/>
                  <w:vAlign w:val="center"/>
                </w:tcPr>
                <w:p w:rsidR="00450F88" w:rsidRPr="00EB4F15" w:rsidRDefault="00450F88" w:rsidP="00EB4F15">
                  <w:pPr>
                    <w:spacing w:after="0" w:line="240" w:lineRule="auto"/>
                    <w:jc w:val="both"/>
                    <w:rPr>
                      <w:rFonts w:asciiTheme="minorHAnsi" w:hAnsiTheme="minorHAnsi" w:cstheme="minorHAnsi"/>
                      <w:b/>
                      <w:sz w:val="22"/>
                    </w:rPr>
                  </w:pPr>
                  <w:r w:rsidRPr="00EB4F15">
                    <w:rPr>
                      <w:rFonts w:asciiTheme="minorHAnsi" w:hAnsiTheme="minorHAnsi" w:cstheme="minorHAnsi"/>
                      <w:b/>
                      <w:bCs/>
                      <w:sz w:val="22"/>
                      <w:lang w:eastAsia="cs-CZ"/>
                    </w:rPr>
                    <w:t>31.</w:t>
                  </w:r>
                  <w:r w:rsidR="00B27F57">
                    <w:rPr>
                      <w:rFonts w:asciiTheme="minorHAnsi" w:hAnsiTheme="minorHAnsi" w:cstheme="minorHAnsi"/>
                      <w:b/>
                      <w:bCs/>
                      <w:sz w:val="22"/>
                      <w:lang w:eastAsia="cs-CZ"/>
                    </w:rPr>
                    <w:t xml:space="preserve"> </w:t>
                  </w:r>
                  <w:r w:rsidRPr="00EB4F15">
                    <w:rPr>
                      <w:rFonts w:asciiTheme="minorHAnsi" w:hAnsiTheme="minorHAnsi" w:cstheme="minorHAnsi"/>
                      <w:b/>
                      <w:bCs/>
                      <w:sz w:val="22"/>
                      <w:lang w:eastAsia="cs-CZ"/>
                    </w:rPr>
                    <w:t>12.</w:t>
                  </w:r>
                  <w:r w:rsidR="00B27F57">
                    <w:rPr>
                      <w:rFonts w:asciiTheme="minorHAnsi" w:hAnsiTheme="minorHAnsi" w:cstheme="minorHAnsi"/>
                      <w:b/>
                      <w:bCs/>
                      <w:sz w:val="22"/>
                      <w:lang w:eastAsia="cs-CZ"/>
                    </w:rPr>
                    <w:t xml:space="preserve"> </w:t>
                  </w:r>
                  <w:r w:rsidRPr="00EB4F15">
                    <w:rPr>
                      <w:rFonts w:asciiTheme="minorHAnsi" w:hAnsiTheme="minorHAnsi" w:cstheme="minorHAnsi"/>
                      <w:b/>
                      <w:bCs/>
                      <w:sz w:val="22"/>
                      <w:lang w:eastAsia="cs-CZ"/>
                    </w:rPr>
                    <w:t>2015</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110502</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Odborné publikace (dle metodiky RVVI)</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175</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175</w:t>
                  </w:r>
                </w:p>
              </w:tc>
            </w:tr>
            <w:tr w:rsidR="00450F88" w:rsidRPr="00EB4F15" w:rsidTr="0073322C">
              <w:tblPrEx>
                <w:tblCellMar>
                  <w:left w:w="70" w:type="dxa"/>
                  <w:right w:w="70" w:type="dxa"/>
                </w:tblCellMar>
                <w:tblLook w:val="00A0" w:firstRow="1" w:lastRow="0" w:firstColumn="1" w:lastColumn="0" w:noHBand="0" w:noVBand="0"/>
              </w:tblPrEx>
              <w:trPr>
                <w:trHeight w:val="510"/>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110503</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Výsledky výzkumu chráněné na základě zvláštního právního předpisu (dle metodiky RVVI)</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0</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0</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110504</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Aplikované výsledky výzkumu (dle metodiky RVVI)</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111200</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Objem smluvního výzkumu (tis. Kč)</w:t>
                  </w:r>
                </w:p>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(Podíl vědeckých projektů je 60 %, podíl servisních laboratoří je 40 %)</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rPr>
                    <w:t>21 121</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rPr>
                    <w:t>21 121</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single" w:sz="4" w:space="0" w:color="auto"/>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111300</w:t>
                  </w:r>
                </w:p>
              </w:tc>
              <w:tc>
                <w:tcPr>
                  <w:tcW w:w="5953" w:type="dxa"/>
                  <w:gridSpan w:val="3"/>
                  <w:tcBorders>
                    <w:top w:val="single" w:sz="4" w:space="0" w:color="auto"/>
                    <w:left w:val="nil"/>
                    <w:bottom w:val="single" w:sz="4" w:space="0" w:color="auto"/>
                    <w:right w:val="nil"/>
                  </w:tcBorders>
                  <w:noWrap/>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 xml:space="preserve">Objem prostředků na </w:t>
                  </w:r>
                  <w:proofErr w:type="spellStart"/>
                  <w:r w:rsidRPr="00EB4F15">
                    <w:rPr>
                      <w:rFonts w:asciiTheme="minorHAnsi" w:hAnsiTheme="minorHAnsi" w:cstheme="minorHAnsi"/>
                      <w:sz w:val="22"/>
                      <w:lang w:eastAsia="cs-CZ"/>
                    </w:rPr>
                    <w:t>VaV</w:t>
                  </w:r>
                  <w:proofErr w:type="spellEnd"/>
                  <w:r w:rsidRPr="00EB4F15">
                    <w:rPr>
                      <w:rFonts w:asciiTheme="minorHAnsi" w:hAnsiTheme="minorHAnsi" w:cstheme="minorHAnsi"/>
                      <w:sz w:val="22"/>
                      <w:lang w:eastAsia="cs-CZ"/>
                    </w:rPr>
                    <w:t xml:space="preserve"> získaný ze zahraničních zdrojů</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22 949</w:t>
                  </w:r>
                </w:p>
              </w:tc>
              <w:tc>
                <w:tcPr>
                  <w:tcW w:w="998" w:type="dxa"/>
                  <w:tcBorders>
                    <w:top w:val="single" w:sz="4" w:space="0" w:color="auto"/>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22 949</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074902</w:t>
                  </w:r>
                </w:p>
              </w:tc>
              <w:tc>
                <w:tcPr>
                  <w:tcW w:w="5953" w:type="dxa"/>
                  <w:gridSpan w:val="3"/>
                  <w:tcBorders>
                    <w:top w:val="single" w:sz="4" w:space="0" w:color="auto"/>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Počet úspěšných absolventů doktorských studijních programů</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19</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19</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110710</w:t>
                  </w:r>
                </w:p>
              </w:tc>
              <w:tc>
                <w:tcPr>
                  <w:tcW w:w="5953" w:type="dxa"/>
                  <w:gridSpan w:val="3"/>
                  <w:tcBorders>
                    <w:top w:val="nil"/>
                    <w:left w:val="nil"/>
                    <w:bottom w:val="single" w:sz="4" w:space="0" w:color="auto"/>
                    <w:right w:val="single" w:sz="4" w:space="0" w:color="auto"/>
                  </w:tcBorders>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rPr>
                    <w:t xml:space="preserve">Počet projektů spolupráce aplikační sféry s centry excelence </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7</w:t>
                  </w:r>
                </w:p>
              </w:tc>
            </w:tr>
            <w:tr w:rsidR="00450F88" w:rsidRPr="00EB4F15" w:rsidTr="0073322C">
              <w:tblPrEx>
                <w:tblCellMar>
                  <w:left w:w="70" w:type="dxa"/>
                  <w:right w:w="70" w:type="dxa"/>
                </w:tblCellMar>
                <w:tblLook w:val="00A0" w:firstRow="1" w:lastRow="0" w:firstColumn="1" w:lastColumn="0" w:noHBand="0" w:noVBand="0"/>
              </w:tblPrEx>
              <w:trPr>
                <w:trHeight w:val="510"/>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110820</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Počet studentů magisterských a doktorských studijních programů využívajících vybudovanou infrastrukturu</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200</w:t>
                  </w:r>
                </w:p>
              </w:tc>
            </w:tr>
            <w:tr w:rsidR="00450F88" w:rsidRPr="00EB4F15" w:rsidTr="0073322C">
              <w:tblPrEx>
                <w:tblCellMar>
                  <w:left w:w="70" w:type="dxa"/>
                  <w:right w:w="70" w:type="dxa"/>
                </w:tblCellMar>
                <w:tblLook w:val="00A0" w:firstRow="1" w:lastRow="0" w:firstColumn="1" w:lastColumn="0" w:noHBand="0" w:noVBand="0"/>
              </w:tblPrEx>
              <w:trPr>
                <w:trHeight w:val="510"/>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110810</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Počet výzkumných pracovníků využívajících vybudovanou infrastrukturu</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360</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110830</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Podíl kapacit nových infrastruktur využívaných jinými subjekty</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20 %</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110300</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 xml:space="preserve">Počet nově vytvořených pracovních míst, zaměstnanci </w:t>
                  </w:r>
                  <w:proofErr w:type="spellStart"/>
                  <w:r w:rsidRPr="00EB4F15">
                    <w:rPr>
                      <w:rFonts w:asciiTheme="minorHAnsi" w:hAnsiTheme="minorHAnsi" w:cstheme="minorHAnsi"/>
                      <w:sz w:val="22"/>
                      <w:lang w:eastAsia="cs-CZ"/>
                    </w:rPr>
                    <w:t>VaV</w:t>
                  </w:r>
                  <w:proofErr w:type="spellEnd"/>
                  <w:r w:rsidRPr="00EB4F15">
                    <w:rPr>
                      <w:rFonts w:asciiTheme="minorHAnsi" w:hAnsiTheme="minorHAnsi" w:cstheme="minorHAnsi"/>
                      <w:sz w:val="22"/>
                      <w:lang w:eastAsia="cs-CZ"/>
                    </w:rPr>
                    <w:t xml:space="preserve"> - celkem  </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331,25</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331,25</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071700</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Počet nově vytvořených pracovních míst, výzkumní pracovníci celkem</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214,4</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214,4</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071900</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Počet nově vytvořených pracovních míst, výzkumní pracovníci do 35 let</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76</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76</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110516</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Rozšířené nebo zrekonstruované kapacity</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0</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w:t>
                  </w:r>
                </w:p>
              </w:tc>
            </w:tr>
            <w:tr w:rsidR="00450F88" w:rsidRPr="00EB4F15" w:rsidTr="0073322C">
              <w:tblPrEx>
                <w:tblCellMar>
                  <w:left w:w="70" w:type="dxa"/>
                  <w:right w:w="70" w:type="dxa"/>
                </w:tblCellMar>
                <w:tblLook w:val="00A0" w:firstRow="1" w:lastRow="0" w:firstColumn="1" w:lastColumn="0" w:noHBand="0" w:noVBand="0"/>
              </w:tblPrEx>
              <w:trPr>
                <w:trHeight w:val="255"/>
              </w:trPr>
              <w:tc>
                <w:tcPr>
                  <w:tcW w:w="846" w:type="dxa"/>
                  <w:tcBorders>
                    <w:top w:val="nil"/>
                    <w:left w:val="single" w:sz="4" w:space="0" w:color="auto"/>
                    <w:bottom w:val="single" w:sz="4" w:space="0" w:color="auto"/>
                    <w:right w:val="single" w:sz="4" w:space="0" w:color="auto"/>
                  </w:tcBorders>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110517</w:t>
                  </w:r>
                </w:p>
              </w:tc>
              <w:tc>
                <w:tcPr>
                  <w:tcW w:w="5953" w:type="dxa"/>
                  <w:gridSpan w:val="3"/>
                  <w:tcBorders>
                    <w:top w:val="nil"/>
                    <w:left w:val="nil"/>
                    <w:bottom w:val="single" w:sz="4" w:space="0" w:color="auto"/>
                    <w:right w:val="single" w:sz="4" w:space="0" w:color="auto"/>
                  </w:tcBorders>
                  <w:vAlign w:val="bottom"/>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Vybudované kapacity</w:t>
                  </w:r>
                </w:p>
              </w:tc>
              <w:tc>
                <w:tcPr>
                  <w:tcW w:w="1134" w:type="dxa"/>
                  <w:gridSpan w:val="2"/>
                  <w:tcBorders>
                    <w:top w:val="nil"/>
                    <w:left w:val="nil"/>
                    <w:bottom w:val="single" w:sz="4" w:space="0" w:color="auto"/>
                    <w:right w:val="single" w:sz="4" w:space="0" w:color="auto"/>
                  </w:tcBorders>
                  <w:shd w:val="clear" w:color="000000" w:fill="FFFFFF"/>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26 585</w:t>
                  </w:r>
                </w:p>
              </w:tc>
              <w:tc>
                <w:tcPr>
                  <w:tcW w:w="998" w:type="dxa"/>
                  <w:tcBorders>
                    <w:top w:val="nil"/>
                    <w:left w:val="nil"/>
                    <w:bottom w:val="single" w:sz="4" w:space="0" w:color="auto"/>
                    <w:right w:val="single" w:sz="4" w:space="0" w:color="auto"/>
                  </w:tcBorders>
                  <w:shd w:val="clear" w:color="000000" w:fill="FFFFFF"/>
                  <w:noWrap/>
                  <w:vAlign w:val="center"/>
                </w:tcPr>
                <w:p w:rsidR="00450F88" w:rsidRPr="00EB4F15" w:rsidRDefault="00450F88" w:rsidP="00EB4F15">
                  <w:pPr>
                    <w:spacing w:after="0" w:line="240" w:lineRule="auto"/>
                    <w:jc w:val="both"/>
                    <w:rPr>
                      <w:rFonts w:asciiTheme="minorHAnsi" w:hAnsiTheme="minorHAnsi" w:cstheme="minorHAnsi"/>
                      <w:sz w:val="22"/>
                      <w:lang w:eastAsia="cs-CZ"/>
                    </w:rPr>
                  </w:pPr>
                  <w:r w:rsidRPr="00EB4F15">
                    <w:rPr>
                      <w:rFonts w:asciiTheme="minorHAnsi" w:hAnsiTheme="minorHAnsi" w:cstheme="minorHAnsi"/>
                      <w:sz w:val="22"/>
                      <w:lang w:eastAsia="cs-CZ"/>
                    </w:rPr>
                    <w:t> -</w:t>
                  </w:r>
                </w:p>
              </w:tc>
            </w:tr>
          </w:tbl>
          <w:p w:rsidR="00450F88" w:rsidRPr="00EB4F15" w:rsidRDefault="00450F88" w:rsidP="00EB4F15">
            <w:pPr>
              <w:pStyle w:val="Odstavecseseznamem"/>
              <w:keepNext/>
              <w:keepLines/>
              <w:spacing w:line="240" w:lineRule="auto"/>
              <w:ind w:left="-360" w:right="-776"/>
              <w:jc w:val="both"/>
              <w:rPr>
                <w:rFonts w:asciiTheme="minorHAnsi" w:hAnsiTheme="minorHAnsi" w:cstheme="minorHAnsi"/>
                <w:b/>
              </w:rPr>
            </w:pPr>
            <w:r w:rsidRPr="00EB4F15">
              <w:rPr>
                <w:rFonts w:asciiTheme="minorHAnsi" w:hAnsiTheme="minorHAnsi" w:cstheme="minorHAnsi"/>
                <w:b/>
              </w:rPr>
              <w:t xml:space="preserve">     </w:t>
            </w:r>
          </w:p>
          <w:p w:rsidR="008353DD" w:rsidRPr="00EB4F15" w:rsidRDefault="00450F88" w:rsidP="00EB4F15">
            <w:pPr>
              <w:pStyle w:val="Odstavecseseznamem"/>
              <w:ind w:left="-360" w:right="-776"/>
              <w:jc w:val="both"/>
              <w:rPr>
                <w:rFonts w:asciiTheme="minorHAnsi" w:hAnsiTheme="minorHAnsi" w:cstheme="minorHAnsi"/>
              </w:rPr>
            </w:pPr>
            <w:r w:rsidRPr="00EB4F15">
              <w:rPr>
                <w:rFonts w:asciiTheme="minorHAnsi" w:hAnsiTheme="minorHAnsi" w:cstheme="minorHAnsi"/>
                <w:b/>
              </w:rPr>
              <w:t xml:space="preserve">   </w:t>
            </w:r>
          </w:p>
        </w:tc>
      </w:tr>
      <w:tr w:rsidR="00235AE1" w:rsidTr="006E2E2C">
        <w:tc>
          <w:tcPr>
            <w:tcW w:w="9606" w:type="dxa"/>
            <w:gridSpan w:val="6"/>
            <w:shd w:val="clear" w:color="auto" w:fill="595959" w:themeFill="text1" w:themeFillTint="A6"/>
          </w:tcPr>
          <w:p w:rsidR="00235AE1" w:rsidRPr="00EB4F15" w:rsidRDefault="0004245B" w:rsidP="00EB4F15">
            <w:pPr>
              <w:spacing w:before="60" w:after="60" w:line="240" w:lineRule="auto"/>
              <w:jc w:val="both"/>
              <w:rPr>
                <w:rFonts w:asciiTheme="minorHAnsi" w:hAnsiTheme="minorHAnsi" w:cstheme="minorHAnsi"/>
                <w:b/>
                <w:color w:val="FFFFFF" w:themeColor="background1"/>
                <w:sz w:val="22"/>
              </w:rPr>
            </w:pPr>
            <w:r w:rsidRPr="00EB4F15">
              <w:rPr>
                <w:rFonts w:asciiTheme="minorHAnsi" w:hAnsiTheme="minorHAnsi" w:cstheme="minorHAnsi"/>
                <w:b/>
                <w:noProof/>
                <w:color w:val="FFFFFF" w:themeColor="background1"/>
                <w:sz w:val="22"/>
              </w:rPr>
              <w:lastRenderedPageBreak/>
              <mc:AlternateContent>
                <mc:Choice Requires="wps">
                  <w:drawing>
                    <wp:anchor distT="0" distB="0" distL="114300" distR="114300" simplePos="0" relativeHeight="251658240" behindDoc="0" locked="0" layoutInCell="1" allowOverlap="1" wp14:anchorId="69C5B364" wp14:editId="607FE901">
                      <wp:simplePos x="0" y="0"/>
                      <wp:positionH relativeFrom="column">
                        <wp:posOffset>3745230</wp:posOffset>
                      </wp:positionH>
                      <wp:positionV relativeFrom="paragraph">
                        <wp:posOffset>22860</wp:posOffset>
                      </wp:positionV>
                      <wp:extent cx="1912620" cy="205740"/>
                      <wp:effectExtent l="0" t="0" r="11430" b="22860"/>
                      <wp:wrapNone/>
                      <wp:docPr id="1" name="Textové pole 1"/>
                      <wp:cNvGraphicFramePr/>
                      <a:graphic xmlns:a="http://schemas.openxmlformats.org/drawingml/2006/main">
                        <a:graphicData uri="http://schemas.microsoft.com/office/word/2010/wordprocessingShape">
                          <wps:wsp>
                            <wps:cNvSpPr txBox="1"/>
                            <wps:spPr>
                              <a:xfrm>
                                <a:off x="0" y="0"/>
                                <a:ext cx="1912620" cy="205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245B" w:rsidRPr="00B07516" w:rsidRDefault="0004245B" w:rsidP="0004245B">
                                  <w:pPr>
                                    <w:spacing w:after="120" w:line="240" w:lineRule="auto"/>
                                    <w:rPr>
                                      <w:sz w:val="18"/>
                                      <w:szCs w:val="18"/>
                                    </w:rPr>
                                  </w:pPr>
                                  <w:r w:rsidRPr="00B07516">
                                    <w:rPr>
                                      <w:sz w:val="18"/>
                                      <w:szCs w:val="18"/>
                                    </w:rPr>
                                    <w:t>K datu</w:t>
                                  </w:r>
                                  <w:r w:rsidR="00B07516">
                                    <w:rPr>
                                      <w:sz w:val="18"/>
                                      <w:szCs w:val="18"/>
                                    </w:rPr>
                                    <w:t>:</w:t>
                                  </w:r>
                                  <w:r w:rsidR="00450F88">
                                    <w:rPr>
                                      <w:sz w:val="18"/>
                                      <w:szCs w:val="18"/>
                                    </w:rPr>
                                    <w:t xml:space="preserve"> 5. 2. 2015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83BDD11" id="_x0000_t202" coordsize="21600,21600" o:spt="202" path="m,l,21600r21600,l21600,xe">
                      <v:stroke joinstyle="miter"/>
                      <v:path gradientshapeok="t" o:connecttype="rect"/>
                    </v:shapetype>
                    <v:shape id="Textové pole 1" o:spid="_x0000_s1026" type="#_x0000_t202" style="position:absolute;left:0;text-align:left;margin-left:294.9pt;margin-top:1.8pt;width:150.6pt;height:16.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" fillcolor="white [3201]" strokeweight=".5pt">
                      <v:textbox>
                        <w:txbxContent>
                          <w:p w:rsidR="0004245B" w:rsidRPr="00B07516" w:rsidRDefault="0004245B" w:rsidP="0004245B">
                            <w:pPr>
                              <w:spacing w:after="120" w:line="240" w:lineRule="auto"/>
                              <w:rPr>
                                <w:sz w:val="18"/>
                                <w:szCs w:val="18"/>
                              </w:rPr>
                            </w:pPr>
                            <w:r w:rsidRPr="00B07516">
                              <w:rPr>
                                <w:sz w:val="18"/>
                                <w:szCs w:val="18"/>
                              </w:rPr>
                              <w:t>K datu</w:t>
                            </w:r>
                            <w:r w:rsidR="00B07516">
                              <w:rPr>
                                <w:sz w:val="18"/>
                                <w:szCs w:val="18"/>
                              </w:rPr>
                              <w:t>:</w:t>
                            </w:r>
                            <w:r w:rsidR="00450F88">
                              <w:rPr>
                                <w:sz w:val="18"/>
                                <w:szCs w:val="18"/>
                              </w:rPr>
                              <w:t xml:space="preserve"> 5. 2. 2015</w:t>
                            </w:r>
                          </w:p>
                        </w:txbxContent>
                      </v:textbox>
                    </v:shape>
                  </w:pict>
                </mc:Fallback>
              </mc:AlternateContent>
            </w:r>
            <w:r w:rsidR="005F27AE" w:rsidRPr="00EB4F15">
              <w:rPr>
                <w:rFonts w:asciiTheme="minorHAnsi" w:hAnsiTheme="minorHAnsi" w:cstheme="minorHAnsi"/>
                <w:b/>
                <w:color w:val="FFFFFF" w:themeColor="background1"/>
                <w:sz w:val="22"/>
              </w:rPr>
              <w:t>Aktuální stav realizace projektu</w:t>
            </w:r>
          </w:p>
        </w:tc>
      </w:tr>
      <w:tr w:rsidR="00601A2D" w:rsidTr="009C6D60">
        <w:trPr>
          <w:trHeight w:val="847"/>
        </w:trPr>
        <w:tc>
          <w:tcPr>
            <w:tcW w:w="2133" w:type="dxa"/>
            <w:gridSpan w:val="2"/>
          </w:tcPr>
          <w:p w:rsidR="00F9010E" w:rsidRPr="00EB4F15" w:rsidRDefault="00F9010E" w:rsidP="00EB4F15">
            <w:pPr>
              <w:spacing w:before="60" w:after="60"/>
              <w:jc w:val="both"/>
              <w:rPr>
                <w:rFonts w:asciiTheme="minorHAnsi" w:hAnsiTheme="minorHAnsi" w:cstheme="minorHAnsi"/>
                <w:b/>
                <w:sz w:val="22"/>
              </w:rPr>
            </w:pPr>
            <w:r w:rsidRPr="00EB4F15">
              <w:rPr>
                <w:rFonts w:asciiTheme="minorHAnsi" w:hAnsiTheme="minorHAnsi" w:cstheme="minorHAnsi"/>
                <w:b/>
                <w:sz w:val="22"/>
              </w:rPr>
              <w:t>Statutární orgán projektu</w:t>
            </w:r>
          </w:p>
        </w:tc>
        <w:tc>
          <w:tcPr>
            <w:tcW w:w="2634" w:type="dxa"/>
          </w:tcPr>
          <w:p w:rsidR="00F9010E" w:rsidRPr="00EB4F15" w:rsidRDefault="00002DBE"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 xml:space="preserve">Jméno a </w:t>
            </w:r>
            <w:r w:rsidR="00F9010E" w:rsidRPr="00EB4F15">
              <w:rPr>
                <w:rFonts w:asciiTheme="minorHAnsi" w:hAnsiTheme="minorHAnsi" w:cstheme="minorHAnsi"/>
                <w:sz w:val="22"/>
              </w:rPr>
              <w:t xml:space="preserve">pracovní </w:t>
            </w:r>
            <w:r w:rsidRPr="00EB4F15">
              <w:rPr>
                <w:rFonts w:asciiTheme="minorHAnsi" w:hAnsiTheme="minorHAnsi" w:cstheme="minorHAnsi"/>
                <w:sz w:val="22"/>
              </w:rPr>
              <w:t>pozice:</w:t>
            </w:r>
          </w:p>
          <w:p w:rsidR="00450F88" w:rsidRPr="00EB4F15" w:rsidRDefault="00450F88"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 xml:space="preserve">Prof. RNDr. Václav Hořejší, CSc., ředitel Ústavu molekulární genetiky </w:t>
            </w:r>
          </w:p>
        </w:tc>
        <w:tc>
          <w:tcPr>
            <w:tcW w:w="4839" w:type="dxa"/>
            <w:gridSpan w:val="3"/>
          </w:tcPr>
          <w:p w:rsidR="00F9010E" w:rsidRPr="00EB4F15" w:rsidRDefault="00F9010E"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Instituce</w:t>
            </w:r>
            <w:r w:rsidR="00002DBE" w:rsidRPr="00EB4F15">
              <w:rPr>
                <w:rFonts w:asciiTheme="minorHAnsi" w:hAnsiTheme="minorHAnsi" w:cstheme="minorHAnsi"/>
                <w:sz w:val="22"/>
              </w:rPr>
              <w:t>:</w:t>
            </w:r>
            <w:r w:rsidR="00450F88" w:rsidRPr="00EB4F15">
              <w:rPr>
                <w:rFonts w:asciiTheme="minorHAnsi" w:hAnsiTheme="minorHAnsi" w:cstheme="minorHAnsi"/>
                <w:sz w:val="22"/>
              </w:rPr>
              <w:t xml:space="preserve"> Ústav molekulární genetiky </w:t>
            </w:r>
            <w:proofErr w:type="spellStart"/>
            <w:proofErr w:type="gramStart"/>
            <w:r w:rsidR="00450F88" w:rsidRPr="00EB4F15">
              <w:rPr>
                <w:rFonts w:asciiTheme="minorHAnsi" w:hAnsiTheme="minorHAnsi" w:cstheme="minorHAnsi"/>
                <w:sz w:val="22"/>
              </w:rPr>
              <w:t>v.v.</w:t>
            </w:r>
            <w:proofErr w:type="gramEnd"/>
            <w:r w:rsidR="00450F88" w:rsidRPr="00EB4F15">
              <w:rPr>
                <w:rFonts w:asciiTheme="minorHAnsi" w:hAnsiTheme="minorHAnsi" w:cstheme="minorHAnsi"/>
                <w:sz w:val="22"/>
              </w:rPr>
              <w:t>i</w:t>
            </w:r>
            <w:proofErr w:type="spellEnd"/>
            <w:r w:rsidR="00450F88" w:rsidRPr="00EB4F15">
              <w:rPr>
                <w:rFonts w:asciiTheme="minorHAnsi" w:hAnsiTheme="minorHAnsi" w:cstheme="minorHAnsi"/>
                <w:sz w:val="22"/>
              </w:rPr>
              <w:t>.</w:t>
            </w:r>
          </w:p>
        </w:tc>
      </w:tr>
      <w:tr w:rsidR="00002DBE" w:rsidTr="009C6D60">
        <w:trPr>
          <w:trHeight w:val="1009"/>
        </w:trPr>
        <w:tc>
          <w:tcPr>
            <w:tcW w:w="2133" w:type="dxa"/>
            <w:gridSpan w:val="2"/>
          </w:tcPr>
          <w:p w:rsidR="00002DBE" w:rsidRPr="00EB4F15" w:rsidRDefault="00002DBE" w:rsidP="00EB4F15">
            <w:pPr>
              <w:spacing w:before="60" w:after="60"/>
              <w:jc w:val="both"/>
              <w:rPr>
                <w:rFonts w:asciiTheme="minorHAnsi" w:hAnsiTheme="minorHAnsi" w:cstheme="minorHAnsi"/>
                <w:b/>
                <w:sz w:val="22"/>
              </w:rPr>
            </w:pPr>
            <w:r w:rsidRPr="00EB4F15">
              <w:rPr>
                <w:rFonts w:asciiTheme="minorHAnsi" w:hAnsiTheme="minorHAnsi" w:cstheme="minorHAnsi"/>
                <w:b/>
                <w:sz w:val="22"/>
              </w:rPr>
              <w:lastRenderedPageBreak/>
              <w:t>Kontaktní osoba projektu</w:t>
            </w:r>
          </w:p>
        </w:tc>
        <w:tc>
          <w:tcPr>
            <w:tcW w:w="7473" w:type="dxa"/>
            <w:gridSpan w:val="4"/>
          </w:tcPr>
          <w:p w:rsidR="00002DBE" w:rsidRPr="00EB4F15" w:rsidRDefault="00002DBE"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Vedoucí projektu (jméno a pracovní pozice)</w:t>
            </w:r>
          </w:p>
          <w:p w:rsidR="00450F88" w:rsidRPr="00EB4F15" w:rsidRDefault="00450F88"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 xml:space="preserve">Prof. MUDr. Pavel </w:t>
            </w:r>
            <w:proofErr w:type="spellStart"/>
            <w:r w:rsidRPr="00EB4F15">
              <w:rPr>
                <w:rFonts w:asciiTheme="minorHAnsi" w:hAnsiTheme="minorHAnsi" w:cstheme="minorHAnsi"/>
                <w:sz w:val="22"/>
              </w:rPr>
              <w:t>Martásek</w:t>
            </w:r>
            <w:proofErr w:type="spellEnd"/>
            <w:r w:rsidRPr="00EB4F15">
              <w:rPr>
                <w:rFonts w:asciiTheme="minorHAnsi" w:hAnsiTheme="minorHAnsi" w:cstheme="minorHAnsi"/>
                <w:sz w:val="22"/>
              </w:rPr>
              <w:t>, DrSc., ředitel BIOCEV</w:t>
            </w:r>
          </w:p>
          <w:p w:rsidR="00002DBE" w:rsidRPr="00EB4F15" w:rsidRDefault="00002DBE" w:rsidP="00EB4F15">
            <w:pPr>
              <w:spacing w:before="60" w:after="60" w:line="240" w:lineRule="auto"/>
              <w:jc w:val="both"/>
              <w:rPr>
                <w:rFonts w:asciiTheme="minorHAnsi" w:hAnsiTheme="minorHAnsi" w:cstheme="minorHAnsi"/>
                <w:sz w:val="22"/>
              </w:rPr>
            </w:pPr>
          </w:p>
          <w:p w:rsidR="00002DBE" w:rsidRPr="00EB4F15" w:rsidRDefault="00002DBE"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Ekonom</w:t>
            </w:r>
            <w:r w:rsidR="00450F88" w:rsidRPr="00EB4F15">
              <w:rPr>
                <w:rFonts w:asciiTheme="minorHAnsi" w:hAnsiTheme="minorHAnsi" w:cstheme="minorHAnsi"/>
                <w:sz w:val="22"/>
              </w:rPr>
              <w:t xml:space="preserve">: Ing. Tomáš </w:t>
            </w:r>
            <w:proofErr w:type="spellStart"/>
            <w:r w:rsidR="00450F88" w:rsidRPr="00EB4F15">
              <w:rPr>
                <w:rFonts w:asciiTheme="minorHAnsi" w:hAnsiTheme="minorHAnsi" w:cstheme="minorHAnsi"/>
                <w:sz w:val="22"/>
              </w:rPr>
              <w:t>Pěnek</w:t>
            </w:r>
            <w:proofErr w:type="spellEnd"/>
          </w:p>
        </w:tc>
      </w:tr>
      <w:tr w:rsidR="00601A2D" w:rsidTr="009C6D60">
        <w:trPr>
          <w:trHeight w:val="843"/>
        </w:trPr>
        <w:tc>
          <w:tcPr>
            <w:tcW w:w="2133" w:type="dxa"/>
            <w:gridSpan w:val="2"/>
          </w:tcPr>
          <w:p w:rsidR="0004245B" w:rsidRPr="00EB4F15" w:rsidRDefault="0004245B" w:rsidP="00EB4F15">
            <w:pPr>
              <w:spacing w:before="60" w:after="60"/>
              <w:jc w:val="both"/>
              <w:rPr>
                <w:rFonts w:asciiTheme="minorHAnsi" w:hAnsiTheme="minorHAnsi" w:cstheme="minorHAnsi"/>
                <w:b/>
                <w:sz w:val="22"/>
              </w:rPr>
            </w:pPr>
            <w:r w:rsidRPr="00EB4F15">
              <w:rPr>
                <w:rFonts w:asciiTheme="minorHAnsi" w:hAnsiTheme="minorHAnsi" w:cstheme="minorHAnsi"/>
                <w:b/>
                <w:sz w:val="22"/>
              </w:rPr>
              <w:t>Klíčové</w:t>
            </w:r>
            <w:r w:rsidR="00AF6EBB" w:rsidRPr="00EB4F15">
              <w:rPr>
                <w:rFonts w:asciiTheme="minorHAnsi" w:hAnsiTheme="minorHAnsi" w:cstheme="minorHAnsi"/>
                <w:b/>
                <w:sz w:val="22"/>
              </w:rPr>
              <w:t xml:space="preserve"> schválené</w:t>
            </w:r>
            <w:r w:rsidRPr="00EB4F15">
              <w:rPr>
                <w:rFonts w:asciiTheme="minorHAnsi" w:hAnsiTheme="minorHAnsi" w:cstheme="minorHAnsi"/>
                <w:b/>
                <w:sz w:val="22"/>
              </w:rPr>
              <w:t xml:space="preserve"> změny projektu</w:t>
            </w:r>
          </w:p>
        </w:tc>
        <w:tc>
          <w:tcPr>
            <w:tcW w:w="3419" w:type="dxa"/>
            <w:gridSpan w:val="3"/>
          </w:tcPr>
          <w:p w:rsidR="0004245B" w:rsidRPr="00EB4F15" w:rsidRDefault="0004245B"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Stručný popis</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sz w:val="22"/>
              </w:rPr>
              <w:t xml:space="preserve">1) </w:t>
            </w:r>
            <w:r w:rsidRPr="00EB4F15">
              <w:rPr>
                <w:rFonts w:asciiTheme="minorHAnsi" w:hAnsiTheme="minorHAnsi" w:cstheme="minorHAnsi"/>
                <w:bCs/>
                <w:noProof/>
                <w:sz w:val="22"/>
              </w:rPr>
              <w:t>Změna v klíčovém pracovníkovi projektu – manažer projektu BIOCEV</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2) Změna termínů zahájení výzkumných programů 1 – 5. VP 1 zahájen od 1.8.2012</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VP 2 – 5 plánované zahájení od 1.7.2013;</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Zahájení výzkumných programů ve stávajících prostorách příjemce a partnerů v Praze;</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Pořízení části technologií do stávajících prostor v Praze, dočasné využívání stávající infrastruktury příjemce a partnerů,</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Rozšíření projektového týmu o právníka, stavaře;</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Rozšíření projektového týmu o administrativní týmy u partnerů;</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Úpravy náplně jednotlivých výzkumných programů;</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Přestěhování projektového týmu z Vestce do Prahy;</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Úpravy vyplývající ze v současné době platné verze Partnerské smlouvy projektu;</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Obsazení pozice Ředitele Biocev a Koordinátora/vedoucího výzkumného programu 5;</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Změna harmonogramu výstavby centra Biocev a NZV souvisejících se stavbou.</w:t>
            </w:r>
          </w:p>
          <w:p w:rsidR="0040544F" w:rsidRPr="00EB4F15" w:rsidRDefault="0040544F" w:rsidP="00EB4F15">
            <w:pPr>
              <w:spacing w:before="60" w:after="60" w:line="240" w:lineRule="auto"/>
              <w:jc w:val="both"/>
              <w:rPr>
                <w:rFonts w:asciiTheme="minorHAnsi" w:hAnsiTheme="minorHAnsi" w:cstheme="minorHAnsi"/>
                <w:bCs/>
                <w:noProof/>
                <w:sz w:val="22"/>
              </w:rPr>
            </w:pP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3) Úpravy náplně jednotlivých výzkumných programů;</w:t>
            </w: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Změny v klíčových pracovnících ve výzkumných týmech před zahájením výzkumných programů č. 2 – 5.</w:t>
            </w:r>
          </w:p>
          <w:p w:rsidR="0040544F" w:rsidRPr="00EB4F15" w:rsidRDefault="0040544F" w:rsidP="00EB4F15">
            <w:pPr>
              <w:spacing w:before="60" w:after="60" w:line="240" w:lineRule="auto"/>
              <w:jc w:val="both"/>
              <w:rPr>
                <w:rFonts w:asciiTheme="minorHAnsi" w:hAnsiTheme="minorHAnsi" w:cstheme="minorHAnsi"/>
                <w:bCs/>
                <w:noProof/>
                <w:sz w:val="22"/>
              </w:rPr>
            </w:pPr>
          </w:p>
          <w:p w:rsidR="0040544F" w:rsidRPr="00EB4F15" w:rsidRDefault="0040544F"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 xml:space="preserve">4)  </w:t>
            </w:r>
            <w:r w:rsidR="00ED1D38" w:rsidRPr="00EB4F15">
              <w:rPr>
                <w:rFonts w:asciiTheme="minorHAnsi" w:hAnsiTheme="minorHAnsi" w:cstheme="minorHAnsi"/>
                <w:bCs/>
                <w:noProof/>
                <w:sz w:val="22"/>
              </w:rPr>
              <w:t xml:space="preserve">Zrušení pozice manažera </w:t>
            </w:r>
            <w:r w:rsidR="00ED1D38" w:rsidRPr="00EB4F15">
              <w:rPr>
                <w:rFonts w:asciiTheme="minorHAnsi" w:hAnsiTheme="minorHAnsi" w:cstheme="minorHAnsi"/>
                <w:bCs/>
                <w:noProof/>
                <w:sz w:val="22"/>
              </w:rPr>
              <w:lastRenderedPageBreak/>
              <w:t>projektu BIOCEV</w:t>
            </w:r>
          </w:p>
          <w:p w:rsidR="00ED1D38" w:rsidRPr="00EB4F15" w:rsidRDefault="00ED1D38" w:rsidP="00EB4F15">
            <w:pPr>
              <w:spacing w:before="60" w:after="60" w:line="240" w:lineRule="auto"/>
              <w:jc w:val="both"/>
              <w:rPr>
                <w:rFonts w:asciiTheme="minorHAnsi" w:hAnsiTheme="minorHAnsi" w:cstheme="minorHAnsi"/>
                <w:bCs/>
                <w:noProof/>
                <w:sz w:val="22"/>
              </w:rPr>
            </w:pPr>
          </w:p>
          <w:p w:rsidR="00ED1D38" w:rsidRPr="00EB4F15" w:rsidRDefault="00ED1D38"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bCs/>
                <w:noProof/>
                <w:sz w:val="22"/>
              </w:rPr>
              <w:t>5) Změny v klíčovém vybavení projektu.</w:t>
            </w:r>
          </w:p>
          <w:p w:rsidR="00ED1D38" w:rsidRPr="00EB4F15" w:rsidRDefault="00ED1D38" w:rsidP="00EB4F15">
            <w:pPr>
              <w:spacing w:before="60" w:after="60" w:line="240" w:lineRule="auto"/>
              <w:jc w:val="both"/>
              <w:rPr>
                <w:rFonts w:asciiTheme="minorHAnsi" w:hAnsiTheme="minorHAnsi" w:cstheme="minorHAnsi"/>
                <w:bCs/>
                <w:noProof/>
                <w:sz w:val="22"/>
              </w:rPr>
            </w:pPr>
          </w:p>
          <w:p w:rsidR="00ED1D38" w:rsidRPr="00EB4F15" w:rsidRDefault="00733E14"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sz w:val="22"/>
              </w:rPr>
              <w:t xml:space="preserve">6) </w:t>
            </w:r>
            <w:r w:rsidRPr="00EB4F15">
              <w:rPr>
                <w:rFonts w:asciiTheme="minorHAnsi" w:hAnsiTheme="minorHAnsi" w:cstheme="minorHAnsi"/>
                <w:bCs/>
                <w:noProof/>
                <w:sz w:val="22"/>
              </w:rPr>
              <w:t>Časový posun milníku „Dokončení fáze výstavby – rozloha 25 483 m2 a získání kolaudačního rozhodnutí“ a harmonogramu stavby</w:t>
            </w:r>
          </w:p>
          <w:p w:rsidR="00733E14" w:rsidRPr="00EB4F15" w:rsidRDefault="00733E14" w:rsidP="00EB4F15">
            <w:pPr>
              <w:spacing w:before="60" w:after="60" w:line="240" w:lineRule="auto"/>
              <w:jc w:val="both"/>
              <w:rPr>
                <w:rFonts w:asciiTheme="minorHAnsi" w:hAnsiTheme="minorHAnsi" w:cstheme="minorHAnsi"/>
                <w:bCs/>
                <w:noProof/>
                <w:sz w:val="22"/>
              </w:rPr>
            </w:pPr>
          </w:p>
          <w:p w:rsidR="00733E14" w:rsidRPr="00EB4F15" w:rsidRDefault="00733E14"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sz w:val="22"/>
              </w:rPr>
              <w:t xml:space="preserve">7) </w:t>
            </w:r>
            <w:r w:rsidRPr="00EB4F15">
              <w:rPr>
                <w:rFonts w:asciiTheme="minorHAnsi" w:hAnsiTheme="minorHAnsi" w:cstheme="minorHAnsi"/>
                <w:bCs/>
                <w:noProof/>
                <w:sz w:val="22"/>
              </w:rPr>
              <w:t>Změny v klíčovém vybavení projektu, moduly s PC nad 5. mil. Kč bez DPH – modul Zvěřinec</w:t>
            </w:r>
          </w:p>
          <w:p w:rsidR="00733E14" w:rsidRPr="00EB4F15" w:rsidRDefault="00733E14" w:rsidP="00EB4F15">
            <w:pPr>
              <w:spacing w:before="60" w:after="60" w:line="240" w:lineRule="auto"/>
              <w:jc w:val="both"/>
              <w:rPr>
                <w:rFonts w:asciiTheme="minorHAnsi" w:hAnsiTheme="minorHAnsi" w:cstheme="minorHAnsi"/>
                <w:bCs/>
                <w:noProof/>
                <w:sz w:val="22"/>
              </w:rPr>
            </w:pPr>
          </w:p>
          <w:p w:rsidR="0027150F" w:rsidRPr="00EB4F15" w:rsidRDefault="00733E14" w:rsidP="00EB4F15">
            <w:pPr>
              <w:jc w:val="both"/>
              <w:rPr>
                <w:rFonts w:asciiTheme="minorHAnsi" w:hAnsiTheme="minorHAnsi" w:cstheme="minorHAnsi"/>
                <w:bCs/>
                <w:sz w:val="22"/>
              </w:rPr>
            </w:pPr>
            <w:r w:rsidRPr="00EB4F15">
              <w:rPr>
                <w:rFonts w:asciiTheme="minorHAnsi" w:hAnsiTheme="minorHAnsi" w:cstheme="minorHAnsi"/>
                <w:bCs/>
                <w:noProof/>
                <w:sz w:val="22"/>
              </w:rPr>
              <w:t xml:space="preserve">8) </w:t>
            </w:r>
            <w:r w:rsidR="0027150F" w:rsidRPr="00EB4F15">
              <w:rPr>
                <w:rFonts w:asciiTheme="minorHAnsi" w:hAnsiTheme="minorHAnsi" w:cstheme="minorHAnsi"/>
                <w:bCs/>
                <w:sz w:val="22"/>
              </w:rPr>
              <w:t>Vyčíslení 30 % úspor z VZ na Generálního dodavatele stavby</w:t>
            </w:r>
          </w:p>
          <w:p w:rsidR="00733E14" w:rsidRPr="00EB4F15" w:rsidRDefault="0027150F" w:rsidP="00EB4F15">
            <w:pPr>
              <w:spacing w:before="60" w:after="60" w:line="240" w:lineRule="auto"/>
              <w:jc w:val="both"/>
              <w:rPr>
                <w:rFonts w:asciiTheme="minorHAnsi" w:hAnsiTheme="minorHAnsi" w:cstheme="minorHAnsi"/>
                <w:bCs/>
                <w:sz w:val="22"/>
              </w:rPr>
            </w:pPr>
            <w:r w:rsidRPr="00EB4F15">
              <w:rPr>
                <w:rFonts w:asciiTheme="minorHAnsi" w:hAnsiTheme="minorHAnsi" w:cstheme="minorHAnsi"/>
                <w:bCs/>
                <w:sz w:val="22"/>
              </w:rPr>
              <w:t xml:space="preserve">Vyčíslení 30 % z VZ na Vybudování </w:t>
            </w:r>
            <w:proofErr w:type="spellStart"/>
            <w:r w:rsidRPr="00EB4F15">
              <w:rPr>
                <w:rFonts w:asciiTheme="minorHAnsi" w:hAnsiTheme="minorHAnsi" w:cstheme="minorHAnsi"/>
                <w:bCs/>
                <w:sz w:val="22"/>
              </w:rPr>
              <w:t>serveroven</w:t>
            </w:r>
            <w:proofErr w:type="spellEnd"/>
            <w:r w:rsidRPr="00EB4F15">
              <w:rPr>
                <w:rFonts w:asciiTheme="minorHAnsi" w:hAnsiTheme="minorHAnsi" w:cstheme="minorHAnsi"/>
                <w:bCs/>
                <w:sz w:val="22"/>
              </w:rPr>
              <w:t xml:space="preserve"> – technologická součást stavby</w:t>
            </w:r>
          </w:p>
          <w:p w:rsidR="0027150F" w:rsidRPr="00EB4F15" w:rsidRDefault="0027150F" w:rsidP="00EB4F15">
            <w:pPr>
              <w:spacing w:before="60" w:after="60" w:line="240" w:lineRule="auto"/>
              <w:jc w:val="both"/>
              <w:rPr>
                <w:rFonts w:asciiTheme="minorHAnsi" w:hAnsiTheme="minorHAnsi" w:cstheme="minorHAnsi"/>
                <w:sz w:val="22"/>
              </w:rPr>
            </w:pP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Využití úspory na základě metodického pokynu č. 24 k Příručce pro příjemce OP </w:t>
            </w:r>
            <w:proofErr w:type="spellStart"/>
            <w:r w:rsidRPr="00EB4F15">
              <w:rPr>
                <w:rFonts w:asciiTheme="minorHAnsi" w:hAnsiTheme="minorHAnsi" w:cstheme="minorHAnsi"/>
                <w:bCs/>
                <w:sz w:val="22"/>
              </w:rPr>
              <w:t>VaVpI</w:t>
            </w:r>
            <w:proofErr w:type="spellEnd"/>
            <w:r w:rsidRPr="00EB4F15">
              <w:rPr>
                <w:rFonts w:asciiTheme="minorHAnsi" w:hAnsiTheme="minorHAnsi" w:cstheme="minorHAnsi"/>
                <w:bCs/>
                <w:sz w:val="22"/>
              </w:rPr>
              <w:t xml:space="preserve"> 2007-2013, verze 5.0, možnost disponovat se 100 % úspor z VZ na Generálního dodavatele stavby a VZ na Vybudování </w:t>
            </w:r>
            <w:proofErr w:type="spellStart"/>
            <w:r w:rsidRPr="00EB4F15">
              <w:rPr>
                <w:rFonts w:asciiTheme="minorHAnsi" w:hAnsiTheme="minorHAnsi" w:cstheme="minorHAnsi"/>
                <w:bCs/>
                <w:sz w:val="22"/>
              </w:rPr>
              <w:t>severoven</w:t>
            </w:r>
            <w:proofErr w:type="spellEnd"/>
            <w:r w:rsidRPr="00EB4F15">
              <w:rPr>
                <w:rFonts w:asciiTheme="minorHAnsi" w:hAnsiTheme="minorHAnsi" w:cstheme="minorHAnsi"/>
                <w:bCs/>
                <w:sz w:val="22"/>
              </w:rPr>
              <w:t xml:space="preserve">. </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Návrh využití části úspory ve výši 70%. </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Aktualizace rozpočtu.</w:t>
            </w:r>
          </w:p>
          <w:p w:rsidR="00616641" w:rsidRPr="00EB4F15" w:rsidRDefault="00616641" w:rsidP="00EB4F15">
            <w:pPr>
              <w:jc w:val="both"/>
              <w:rPr>
                <w:rFonts w:asciiTheme="minorHAnsi" w:hAnsiTheme="minorHAnsi" w:cstheme="minorHAnsi"/>
                <w:bCs/>
                <w:sz w:val="22"/>
              </w:rPr>
            </w:pPr>
          </w:p>
          <w:p w:rsidR="00616641" w:rsidRPr="00EB4F15" w:rsidRDefault="00616641" w:rsidP="00EB4F15">
            <w:pPr>
              <w:jc w:val="both"/>
              <w:rPr>
                <w:rFonts w:asciiTheme="minorHAnsi" w:hAnsiTheme="minorHAnsi" w:cstheme="minorHAnsi"/>
                <w:sz w:val="22"/>
              </w:rPr>
            </w:pPr>
            <w:r w:rsidRPr="00EB4F15">
              <w:rPr>
                <w:rFonts w:asciiTheme="minorHAnsi" w:hAnsiTheme="minorHAnsi" w:cstheme="minorHAnsi"/>
                <w:bCs/>
                <w:sz w:val="22"/>
              </w:rPr>
              <w:t>9) Úprava zaměření výzkumného projektu 1.1.9.;</w:t>
            </w:r>
          </w:p>
          <w:p w:rsidR="00616641" w:rsidRPr="00EB4F15" w:rsidRDefault="00616641" w:rsidP="00EB4F15">
            <w:pPr>
              <w:jc w:val="both"/>
              <w:rPr>
                <w:rFonts w:asciiTheme="minorHAnsi" w:hAnsiTheme="minorHAnsi" w:cstheme="minorHAnsi"/>
                <w:bCs/>
                <w:sz w:val="22"/>
              </w:rPr>
            </w:pPr>
            <w:r w:rsidRPr="00EB4F15">
              <w:rPr>
                <w:rFonts w:asciiTheme="minorHAnsi" w:hAnsiTheme="minorHAnsi" w:cstheme="minorHAnsi"/>
                <w:bCs/>
                <w:sz w:val="22"/>
              </w:rPr>
              <w:t xml:space="preserve">Přechod výzkumného projektu 2.4.1 z VP 2 do VP 1 – nově </w:t>
            </w:r>
            <w:proofErr w:type="gramStart"/>
            <w:r w:rsidRPr="00EB4F15">
              <w:rPr>
                <w:rFonts w:asciiTheme="minorHAnsi" w:hAnsiTheme="minorHAnsi" w:cstheme="minorHAnsi"/>
                <w:bCs/>
                <w:sz w:val="22"/>
              </w:rPr>
              <w:t>1.1.11</w:t>
            </w:r>
            <w:proofErr w:type="gramEnd"/>
            <w:r w:rsidRPr="00EB4F15">
              <w:rPr>
                <w:rFonts w:asciiTheme="minorHAnsi" w:hAnsiTheme="minorHAnsi" w:cstheme="minorHAnsi"/>
                <w:bCs/>
                <w:sz w:val="22"/>
              </w:rPr>
              <w:t>;</w:t>
            </w:r>
          </w:p>
          <w:p w:rsidR="00616641" w:rsidRPr="00EB4F15" w:rsidRDefault="00616641" w:rsidP="00EB4F15">
            <w:pPr>
              <w:jc w:val="both"/>
              <w:rPr>
                <w:rFonts w:asciiTheme="minorHAnsi" w:hAnsiTheme="minorHAnsi" w:cstheme="minorHAnsi"/>
                <w:bCs/>
                <w:sz w:val="22"/>
              </w:rPr>
            </w:pPr>
            <w:r w:rsidRPr="00EB4F15">
              <w:rPr>
                <w:rFonts w:asciiTheme="minorHAnsi" w:hAnsiTheme="minorHAnsi" w:cstheme="minorHAnsi"/>
                <w:bCs/>
                <w:sz w:val="22"/>
              </w:rPr>
              <w:t>Úprava názvu výzkumných projektů ve VP 5;</w:t>
            </w:r>
          </w:p>
          <w:p w:rsidR="00616641" w:rsidRPr="00EB4F15" w:rsidRDefault="00616641" w:rsidP="00EB4F15">
            <w:pPr>
              <w:jc w:val="both"/>
              <w:rPr>
                <w:rFonts w:asciiTheme="minorHAnsi" w:hAnsiTheme="minorHAnsi" w:cstheme="minorHAnsi"/>
                <w:bCs/>
                <w:sz w:val="22"/>
              </w:rPr>
            </w:pPr>
          </w:p>
          <w:p w:rsidR="00616641" w:rsidRPr="00EB4F15" w:rsidRDefault="00616641" w:rsidP="00EB4F15">
            <w:pPr>
              <w:jc w:val="both"/>
              <w:rPr>
                <w:rFonts w:asciiTheme="minorHAnsi" w:hAnsiTheme="minorHAnsi" w:cstheme="minorHAnsi"/>
                <w:bCs/>
                <w:noProof/>
                <w:sz w:val="22"/>
              </w:rPr>
            </w:pPr>
            <w:r w:rsidRPr="00EB4F15">
              <w:rPr>
                <w:rFonts w:asciiTheme="minorHAnsi" w:hAnsiTheme="minorHAnsi" w:cstheme="minorHAnsi"/>
                <w:bCs/>
                <w:sz w:val="22"/>
              </w:rPr>
              <w:lastRenderedPageBreak/>
              <w:t xml:space="preserve">10) </w:t>
            </w:r>
            <w:r w:rsidRPr="00EB4F15">
              <w:rPr>
                <w:rFonts w:asciiTheme="minorHAnsi" w:hAnsiTheme="minorHAnsi" w:cstheme="minorHAnsi"/>
                <w:bCs/>
                <w:noProof/>
                <w:sz w:val="22"/>
              </w:rPr>
              <w:t xml:space="preserve">Rozpočet projektu – změna ve výši finančních prostředků v jednotlivých položkách rozpočtu projektu při zachování schválené výše celkových způsobilých výdajů investičních i neinvestičních </w:t>
            </w:r>
          </w:p>
          <w:p w:rsidR="00616641" w:rsidRPr="00EB4F15" w:rsidRDefault="00616641" w:rsidP="00EB4F15">
            <w:pPr>
              <w:jc w:val="both"/>
              <w:rPr>
                <w:rFonts w:asciiTheme="minorHAnsi" w:hAnsiTheme="minorHAnsi" w:cstheme="minorHAnsi"/>
                <w:bCs/>
                <w:sz w:val="22"/>
              </w:rPr>
            </w:pPr>
            <w:r w:rsidRPr="00EB4F15">
              <w:rPr>
                <w:rFonts w:asciiTheme="minorHAnsi" w:hAnsiTheme="minorHAnsi" w:cstheme="minorHAnsi"/>
                <w:bCs/>
                <w:sz w:val="22"/>
              </w:rPr>
              <w:t>11) Předložená podstatná změna komplexně aktualizuje rozpočet projektu, především zohledňuje skutečnost zpoždění projektu.</w:t>
            </w:r>
          </w:p>
          <w:p w:rsidR="009D000F" w:rsidRPr="00EB4F15" w:rsidRDefault="009D000F" w:rsidP="00EB4F15">
            <w:pPr>
              <w:jc w:val="both"/>
              <w:rPr>
                <w:rFonts w:asciiTheme="minorHAnsi" w:hAnsiTheme="minorHAnsi" w:cstheme="minorHAnsi"/>
                <w:bCs/>
                <w:sz w:val="22"/>
              </w:rPr>
            </w:pPr>
          </w:p>
          <w:p w:rsidR="009D000F" w:rsidRPr="00EB4F15" w:rsidRDefault="009D000F" w:rsidP="00EB4F15">
            <w:pPr>
              <w:jc w:val="both"/>
              <w:rPr>
                <w:rFonts w:asciiTheme="minorHAnsi" w:hAnsiTheme="minorHAnsi" w:cstheme="minorHAnsi"/>
                <w:bCs/>
                <w:sz w:val="22"/>
              </w:rPr>
            </w:pPr>
            <w:r w:rsidRPr="00EB4F15">
              <w:rPr>
                <w:rFonts w:asciiTheme="minorHAnsi" w:hAnsiTheme="minorHAnsi" w:cstheme="minorHAnsi"/>
                <w:bCs/>
                <w:sz w:val="22"/>
              </w:rPr>
              <w:t xml:space="preserve">12) Využití 70% úspory na základě metodického pokynu č. 24 k Příručce pro příjemce OP </w:t>
            </w:r>
            <w:proofErr w:type="spellStart"/>
            <w:r w:rsidRPr="00EB4F15">
              <w:rPr>
                <w:rFonts w:asciiTheme="minorHAnsi" w:hAnsiTheme="minorHAnsi" w:cstheme="minorHAnsi"/>
                <w:bCs/>
                <w:sz w:val="22"/>
              </w:rPr>
              <w:t>VaVpI</w:t>
            </w:r>
            <w:proofErr w:type="spellEnd"/>
            <w:r w:rsidRPr="00EB4F15">
              <w:rPr>
                <w:rFonts w:asciiTheme="minorHAnsi" w:hAnsiTheme="minorHAnsi" w:cstheme="minorHAnsi"/>
                <w:bCs/>
                <w:sz w:val="22"/>
              </w:rPr>
              <w:t xml:space="preserve"> 2007-2013, verze 5.0, možnost disponovat se 100 % úspor z VZ na Generálního dodavatele stavby a VZ na Vybudování </w:t>
            </w:r>
            <w:proofErr w:type="spellStart"/>
            <w:r w:rsidRPr="00EB4F15">
              <w:rPr>
                <w:rFonts w:asciiTheme="minorHAnsi" w:hAnsiTheme="minorHAnsi" w:cstheme="minorHAnsi"/>
                <w:bCs/>
                <w:sz w:val="22"/>
              </w:rPr>
              <w:t>severoven</w:t>
            </w:r>
            <w:proofErr w:type="spellEnd"/>
            <w:r w:rsidRPr="00EB4F15">
              <w:rPr>
                <w:rFonts w:asciiTheme="minorHAnsi" w:hAnsiTheme="minorHAnsi" w:cstheme="minorHAnsi"/>
                <w:bCs/>
                <w:sz w:val="22"/>
              </w:rPr>
              <w:t>.</w:t>
            </w:r>
          </w:p>
          <w:p w:rsidR="006963BC" w:rsidRPr="00EB4F15" w:rsidRDefault="006963BC" w:rsidP="00EB4F15">
            <w:pPr>
              <w:jc w:val="both"/>
              <w:rPr>
                <w:rFonts w:asciiTheme="minorHAnsi" w:hAnsiTheme="minorHAnsi" w:cstheme="minorHAnsi"/>
                <w:bCs/>
                <w:sz w:val="22"/>
              </w:rPr>
            </w:pPr>
          </w:p>
          <w:p w:rsidR="006963BC" w:rsidRPr="00EB4F15" w:rsidRDefault="006963BC" w:rsidP="00EB4F15">
            <w:pPr>
              <w:jc w:val="both"/>
              <w:rPr>
                <w:rFonts w:asciiTheme="minorHAnsi" w:hAnsiTheme="minorHAnsi" w:cstheme="minorHAnsi"/>
                <w:bCs/>
                <w:sz w:val="22"/>
              </w:rPr>
            </w:pPr>
            <w:r w:rsidRPr="00EB4F15">
              <w:rPr>
                <w:rFonts w:asciiTheme="minorHAnsi" w:hAnsiTheme="minorHAnsi" w:cstheme="minorHAnsi"/>
                <w:bCs/>
                <w:sz w:val="22"/>
              </w:rPr>
              <w:t>13) Vyčíslení 30 % úspor z VZ na Generálního dodavatele stavby</w:t>
            </w:r>
            <w:r w:rsidR="003A7879" w:rsidRPr="00EB4F15">
              <w:rPr>
                <w:rFonts w:asciiTheme="minorHAnsi" w:hAnsiTheme="minorHAnsi" w:cstheme="minorHAnsi"/>
                <w:bCs/>
                <w:sz w:val="22"/>
              </w:rPr>
              <w:t>;</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 xml:space="preserve">Vyčíslení 30 % z VZ na Vybudování </w:t>
            </w:r>
            <w:proofErr w:type="spellStart"/>
            <w:r w:rsidRPr="00EB4F15">
              <w:rPr>
                <w:rFonts w:asciiTheme="minorHAnsi" w:hAnsiTheme="minorHAnsi" w:cstheme="minorHAnsi"/>
                <w:bCs/>
                <w:sz w:val="22"/>
              </w:rPr>
              <w:t>serveroven</w:t>
            </w:r>
            <w:proofErr w:type="spellEnd"/>
            <w:r w:rsidRPr="00EB4F15">
              <w:rPr>
                <w:rFonts w:asciiTheme="minorHAnsi" w:hAnsiTheme="minorHAnsi" w:cstheme="minorHAnsi"/>
                <w:bCs/>
                <w:sz w:val="22"/>
              </w:rPr>
              <w:t xml:space="preserve"> – technologická součást stavby</w:t>
            </w:r>
          </w:p>
          <w:p w:rsidR="009D000F" w:rsidRPr="00EB4F15" w:rsidRDefault="009D000F" w:rsidP="00EB4F15">
            <w:pPr>
              <w:jc w:val="both"/>
              <w:rPr>
                <w:rFonts w:asciiTheme="minorHAnsi" w:hAnsiTheme="minorHAnsi" w:cstheme="minorHAnsi"/>
                <w:bCs/>
                <w:sz w:val="22"/>
              </w:rPr>
            </w:pPr>
          </w:p>
          <w:p w:rsidR="00616641" w:rsidRPr="00EB4F15" w:rsidRDefault="00616641" w:rsidP="00EB4F15">
            <w:pPr>
              <w:jc w:val="both"/>
              <w:rPr>
                <w:rFonts w:asciiTheme="minorHAnsi" w:hAnsiTheme="minorHAnsi" w:cstheme="minorHAnsi"/>
                <w:bCs/>
                <w:sz w:val="22"/>
              </w:rPr>
            </w:pPr>
          </w:p>
          <w:p w:rsidR="00ED1D38" w:rsidRPr="00EB4F15" w:rsidRDefault="00ED1D38" w:rsidP="00EB4F15">
            <w:pPr>
              <w:spacing w:before="60" w:after="60" w:line="240" w:lineRule="auto"/>
              <w:jc w:val="both"/>
              <w:rPr>
                <w:rFonts w:asciiTheme="minorHAnsi" w:hAnsiTheme="minorHAnsi" w:cstheme="minorHAnsi"/>
                <w:sz w:val="22"/>
              </w:rPr>
            </w:pPr>
          </w:p>
        </w:tc>
        <w:tc>
          <w:tcPr>
            <w:tcW w:w="4054" w:type="dxa"/>
          </w:tcPr>
          <w:p w:rsidR="0004245B" w:rsidRDefault="0004245B"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lastRenderedPageBreak/>
              <w:t>Finanční dopady</w:t>
            </w:r>
          </w:p>
          <w:p w:rsidR="00EB4F15" w:rsidRPr="00EB4F15" w:rsidRDefault="00EB4F15" w:rsidP="00EB4F15">
            <w:pPr>
              <w:spacing w:before="60" w:after="60" w:line="240" w:lineRule="auto"/>
              <w:jc w:val="both"/>
              <w:rPr>
                <w:rFonts w:asciiTheme="minorHAnsi" w:hAnsiTheme="minorHAnsi" w:cstheme="minorHAnsi"/>
                <w:sz w:val="22"/>
              </w:rPr>
            </w:pPr>
            <w:r>
              <w:rPr>
                <w:rFonts w:asciiTheme="minorHAnsi" w:hAnsiTheme="minorHAnsi" w:cstheme="minorHAnsi"/>
                <w:sz w:val="22"/>
              </w:rPr>
              <w:t xml:space="preserve">1) – 4), 6), 7), 9) – bez finančních dopadů </w:t>
            </w:r>
          </w:p>
          <w:p w:rsidR="00ED1D38" w:rsidRPr="00EB4F15" w:rsidRDefault="00ED1D38" w:rsidP="00EB4F15">
            <w:pPr>
              <w:spacing w:before="60" w:after="60" w:line="240" w:lineRule="auto"/>
              <w:jc w:val="both"/>
              <w:rPr>
                <w:rFonts w:asciiTheme="minorHAnsi" w:hAnsiTheme="minorHAnsi" w:cstheme="minorHAnsi"/>
                <w:bCs/>
                <w:noProof/>
                <w:sz w:val="22"/>
              </w:rPr>
            </w:pPr>
            <w:r w:rsidRPr="00EB4F15">
              <w:rPr>
                <w:rFonts w:asciiTheme="minorHAnsi" w:hAnsiTheme="minorHAnsi" w:cstheme="minorHAnsi"/>
                <w:sz w:val="22"/>
              </w:rPr>
              <w:t xml:space="preserve">5) </w:t>
            </w:r>
            <w:r w:rsidRPr="00EB4F15">
              <w:rPr>
                <w:rFonts w:asciiTheme="minorHAnsi" w:hAnsiTheme="minorHAnsi" w:cstheme="minorHAnsi"/>
                <w:bCs/>
                <w:noProof/>
                <w:sz w:val="22"/>
              </w:rPr>
              <w:t>Pořizovací náklady na nově požadovaný multifunkční přístroj nano-HPLC s příslušenstvím jsou o cca 1,5 mil. Kč bez DPH vyšší</w:t>
            </w:r>
            <w:r w:rsidR="005B245F" w:rsidRPr="00EB4F15">
              <w:rPr>
                <w:rFonts w:asciiTheme="minorHAnsi" w:hAnsiTheme="minorHAnsi" w:cstheme="minorHAnsi"/>
                <w:bCs/>
                <w:noProof/>
                <w:sz w:val="22"/>
              </w:rPr>
              <w:t xml:space="preserve"> než původně plánovaný přístroj; </w:t>
            </w:r>
            <w:r w:rsidR="00733E14" w:rsidRPr="00EB4F15">
              <w:rPr>
                <w:rFonts w:asciiTheme="minorHAnsi" w:hAnsiTheme="minorHAnsi" w:cstheme="minorHAnsi"/>
                <w:bCs/>
                <w:noProof/>
                <w:sz w:val="22"/>
              </w:rPr>
              <w:t>snížení o 1.5 mil Kč za genetický</w:t>
            </w:r>
            <w:r w:rsidR="005B245F" w:rsidRPr="00EB4F15">
              <w:rPr>
                <w:rFonts w:asciiTheme="minorHAnsi" w:hAnsiTheme="minorHAnsi" w:cstheme="minorHAnsi"/>
                <w:bCs/>
                <w:noProof/>
                <w:sz w:val="22"/>
              </w:rPr>
              <w:t xml:space="preserve"> analyzátor</w:t>
            </w:r>
            <w:r w:rsidR="00733E14" w:rsidRPr="00EB4F15">
              <w:rPr>
                <w:rFonts w:asciiTheme="minorHAnsi" w:hAnsiTheme="minorHAnsi" w:cstheme="minorHAnsi"/>
                <w:bCs/>
                <w:noProof/>
                <w:sz w:val="22"/>
              </w:rPr>
              <w:t xml:space="preserve"> nové generace.</w:t>
            </w:r>
          </w:p>
          <w:p w:rsidR="0027150F" w:rsidRPr="00EB4F15" w:rsidRDefault="0027150F" w:rsidP="00EB4F15">
            <w:pPr>
              <w:spacing w:before="60" w:after="60" w:line="240" w:lineRule="auto"/>
              <w:jc w:val="both"/>
              <w:rPr>
                <w:rFonts w:asciiTheme="minorHAnsi" w:hAnsiTheme="minorHAnsi" w:cstheme="minorHAnsi"/>
                <w:bCs/>
                <w:noProof/>
                <w:sz w:val="22"/>
              </w:rPr>
            </w:pP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noProof/>
                <w:sz w:val="22"/>
              </w:rPr>
              <w:t xml:space="preserve">8) </w:t>
            </w:r>
            <w:r w:rsidRPr="00EB4F15">
              <w:rPr>
                <w:rFonts w:asciiTheme="minorHAnsi" w:hAnsiTheme="minorHAnsi" w:cstheme="minorHAnsi"/>
                <w:bCs/>
                <w:sz w:val="22"/>
              </w:rPr>
              <w:t>Rozdíl ve výši 62 718 162,33 Kč je úsporou, z čehož 30 % úspora ze stavebních prací, která může být příjemcem využita dle kapitoly 5.6.1 Příručky pro příjemce, je ve výši 18 815 448, 70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Využití úspory:</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Z hoře uvedené částky 30 % úspory příjemce žádá využít částku ve výši 1 434 849,35 Kč na stavební objekty SO 320 přípojka VTL plynu, SO 330 Ochrana VTL plynovodu, SO 500 Přípojka tel. linek. Tím dochází k navýšení částky v položce aktualizovaného rozpočtu 2.3.1.1 VZ Generální dodavatel stavby celkem na 831 593 751,64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Na využití zbývající části ponechané úspory ve </w:t>
            </w:r>
            <w:proofErr w:type="gramStart"/>
            <w:r w:rsidRPr="00EB4F15">
              <w:rPr>
                <w:rFonts w:asciiTheme="minorHAnsi" w:hAnsiTheme="minorHAnsi" w:cstheme="minorHAnsi"/>
                <w:bCs/>
                <w:sz w:val="22"/>
              </w:rPr>
              <w:t>výší</w:t>
            </w:r>
            <w:proofErr w:type="gramEnd"/>
            <w:r w:rsidRPr="00EB4F15">
              <w:rPr>
                <w:rFonts w:asciiTheme="minorHAnsi" w:hAnsiTheme="minorHAnsi" w:cstheme="minorHAnsi"/>
                <w:bCs/>
                <w:sz w:val="22"/>
              </w:rPr>
              <w:t xml:space="preserve"> 17 380 599,35 Kč příjemce předloží příslušnou žádost o podstatnou změnu projektu.</w:t>
            </w:r>
          </w:p>
          <w:p w:rsidR="0027150F" w:rsidRPr="00EB4F15" w:rsidRDefault="0027150F" w:rsidP="00EB4F15">
            <w:pPr>
              <w:jc w:val="both"/>
              <w:rPr>
                <w:rFonts w:asciiTheme="minorHAnsi" w:hAnsiTheme="minorHAnsi" w:cstheme="minorHAnsi"/>
                <w:bCs/>
                <w:sz w:val="22"/>
              </w:rPr>
            </w:pP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Předpokládaná úspora celkem – </w:t>
            </w:r>
            <w:proofErr w:type="spellStart"/>
            <w:r w:rsidRPr="00EB4F15">
              <w:rPr>
                <w:rFonts w:asciiTheme="minorHAnsi" w:hAnsiTheme="minorHAnsi" w:cstheme="minorHAnsi"/>
                <w:bCs/>
                <w:sz w:val="22"/>
              </w:rPr>
              <w:t>Serverovny</w:t>
            </w:r>
            <w:proofErr w:type="spellEnd"/>
            <w:r w:rsidRPr="00EB4F15">
              <w:rPr>
                <w:rFonts w:asciiTheme="minorHAnsi" w:hAnsiTheme="minorHAnsi" w:cstheme="minorHAnsi"/>
                <w:bCs/>
                <w:sz w:val="22"/>
              </w:rPr>
              <w:t>: 9 119 538,11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Položka úspory v rozpočtu projektu (2.3.1.3) – </w:t>
            </w:r>
            <w:proofErr w:type="spellStart"/>
            <w:r w:rsidRPr="00EB4F15">
              <w:rPr>
                <w:rFonts w:asciiTheme="minorHAnsi" w:hAnsiTheme="minorHAnsi" w:cstheme="minorHAnsi"/>
                <w:bCs/>
                <w:sz w:val="22"/>
              </w:rPr>
              <w:t>Serverovny</w:t>
            </w:r>
            <w:proofErr w:type="spellEnd"/>
            <w:r w:rsidRPr="00EB4F15">
              <w:rPr>
                <w:rFonts w:asciiTheme="minorHAnsi" w:hAnsiTheme="minorHAnsi" w:cstheme="minorHAnsi"/>
                <w:bCs/>
                <w:sz w:val="22"/>
              </w:rPr>
              <w:t>: 2 735 861,43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Položka úspory v rozpočtu projektu </w:t>
            </w:r>
            <w:r w:rsidRPr="00EB4F15">
              <w:rPr>
                <w:rFonts w:asciiTheme="minorHAnsi" w:hAnsiTheme="minorHAnsi" w:cstheme="minorHAnsi"/>
                <w:bCs/>
                <w:sz w:val="22"/>
              </w:rPr>
              <w:lastRenderedPageBreak/>
              <w:t>(2.3.1.3) – Celkem: 20 116 460,78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Souhrnně:</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Z toho celková úspora je: 71 837 700,44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Z toho 30% úspora činní: 21 551 310,13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Z toho 70% úspora činní: 50 286 390,31 Kč</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Příjemce navrhuje využití části úspory ve výši 70%:</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1. pořízením přístrojového vybavení</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2. dodatečné zatřídění zeminy – bude řešeno samostatnou podstatnou změnou. </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Příjemce v oznámení dále žádá především kvůli přehlednosti o aktualizaci rozpočtu projektu v položce 2.3 Pořízení stavby. A to v důsledku skutečnosti, že oproti plánované jedné smlouvě na GDS došlo k podpisu dvou smluv – jedné na s generálním dodavatelem stavby Centra BIOCEV a druhé na vybudování </w:t>
            </w:r>
            <w:proofErr w:type="spellStart"/>
            <w:r w:rsidRPr="00EB4F15">
              <w:rPr>
                <w:rFonts w:asciiTheme="minorHAnsi" w:hAnsiTheme="minorHAnsi" w:cstheme="minorHAnsi"/>
                <w:bCs/>
                <w:sz w:val="22"/>
              </w:rPr>
              <w:t>Serveroven</w:t>
            </w:r>
            <w:proofErr w:type="spellEnd"/>
            <w:r w:rsidRPr="00EB4F15">
              <w:rPr>
                <w:rFonts w:asciiTheme="minorHAnsi" w:hAnsiTheme="minorHAnsi" w:cstheme="minorHAnsi"/>
                <w:bCs/>
                <w:sz w:val="22"/>
              </w:rPr>
              <w:t>.</w:t>
            </w:r>
          </w:p>
          <w:p w:rsidR="0027150F" w:rsidRPr="00EB4F15" w:rsidRDefault="0027150F" w:rsidP="00EB4F15">
            <w:pPr>
              <w:jc w:val="both"/>
              <w:rPr>
                <w:rFonts w:asciiTheme="minorHAnsi" w:hAnsiTheme="minorHAnsi" w:cstheme="minorHAnsi"/>
                <w:bCs/>
                <w:sz w:val="22"/>
              </w:rPr>
            </w:pP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V té souvislosti příjemce upravil celkovou výši položky 2.3.1 Náklady na stavbu z původní výše 942 275 584,00 Kč na novou výši 891 989 193,69 Kč.</w:t>
            </w:r>
          </w:p>
          <w:p w:rsidR="0027150F" w:rsidRPr="00EB4F15" w:rsidRDefault="0027150F" w:rsidP="00EB4F15">
            <w:pPr>
              <w:jc w:val="both"/>
              <w:rPr>
                <w:rFonts w:asciiTheme="minorHAnsi" w:hAnsiTheme="minorHAnsi" w:cstheme="minorHAnsi"/>
                <w:bCs/>
                <w:sz w:val="22"/>
              </w:rPr>
            </w:pP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Příjemce z praktického hlediska a dalších důvodů uváděných v oznámení změny navrhuje změnu struktury položky 2.3.1 Náklady na stavbu. Z původního členění položky 2.3.1 na jednotlivé stavební objekty centra BIOCEV navrhuje příjemce zjednodušení ve formě rozdělení položky na podpoložky týkající se ukončených výběrových řízení – tj. 2.3.1.1 VZ Generální dodavatel stavby (bez dH2O), 2.3.1.2 VZ </w:t>
            </w:r>
            <w:proofErr w:type="spellStart"/>
            <w:r w:rsidRPr="00EB4F15">
              <w:rPr>
                <w:rFonts w:asciiTheme="minorHAnsi" w:hAnsiTheme="minorHAnsi" w:cstheme="minorHAnsi"/>
                <w:bCs/>
                <w:sz w:val="22"/>
              </w:rPr>
              <w:t>Serverovny</w:t>
            </w:r>
            <w:proofErr w:type="spellEnd"/>
            <w:r w:rsidRPr="00EB4F15">
              <w:rPr>
                <w:rFonts w:asciiTheme="minorHAnsi" w:hAnsiTheme="minorHAnsi" w:cstheme="minorHAnsi"/>
                <w:bCs/>
                <w:sz w:val="22"/>
              </w:rPr>
              <w:t xml:space="preserve"> a 2.3.1.3 30% předpokládané úspory.    </w:t>
            </w:r>
          </w:p>
          <w:p w:rsidR="0027150F" w:rsidRPr="00EB4F15" w:rsidRDefault="0027150F" w:rsidP="00EB4F15">
            <w:pPr>
              <w:jc w:val="both"/>
              <w:rPr>
                <w:rFonts w:asciiTheme="minorHAnsi" w:hAnsiTheme="minorHAnsi" w:cstheme="minorHAnsi"/>
                <w:bCs/>
                <w:sz w:val="22"/>
              </w:rPr>
            </w:pP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Dále v rámci této změny projektu z důvodů uvedených v oznámení změny příjemce požaduje přesun částky 0,64 Kč z položky 2.6 Projektová dokumentace a příprava projektu – investice v roce 2014 do položky </w:t>
            </w:r>
            <w:proofErr w:type="gramStart"/>
            <w:r w:rsidRPr="00EB4F15">
              <w:rPr>
                <w:rFonts w:asciiTheme="minorHAnsi" w:hAnsiTheme="minorHAnsi" w:cstheme="minorHAnsi"/>
                <w:bCs/>
                <w:sz w:val="22"/>
              </w:rPr>
              <w:t>2.4.22</w:t>
            </w:r>
            <w:proofErr w:type="gramEnd"/>
            <w:r w:rsidRPr="00EB4F15">
              <w:rPr>
                <w:rFonts w:asciiTheme="minorHAnsi" w:hAnsiTheme="minorHAnsi" w:cstheme="minorHAnsi"/>
                <w:bCs/>
                <w:sz w:val="22"/>
              </w:rPr>
              <w:t xml:space="preserve"> Vedlejší náklady spojené s pořízením přístrojů roku 2014. </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 xml:space="preserve">Zároveň příjemce žádá přesun částky 4 290 080,00 Kč z položky 2.3.2 Vedlejší náklady na stavbu do položky </w:t>
            </w:r>
            <w:proofErr w:type="gramStart"/>
            <w:r w:rsidRPr="00EB4F15">
              <w:rPr>
                <w:rFonts w:asciiTheme="minorHAnsi" w:hAnsiTheme="minorHAnsi" w:cstheme="minorHAnsi"/>
                <w:bCs/>
                <w:sz w:val="22"/>
              </w:rPr>
              <w:t>2.4.22</w:t>
            </w:r>
            <w:proofErr w:type="gramEnd"/>
            <w:r w:rsidRPr="00EB4F15">
              <w:rPr>
                <w:rFonts w:asciiTheme="minorHAnsi" w:hAnsiTheme="minorHAnsi" w:cstheme="minorHAnsi"/>
                <w:bCs/>
                <w:sz w:val="22"/>
              </w:rPr>
              <w:t xml:space="preserve"> Vedlejší náklady spojené s pořízením přístrojů. Částku ve výši 2 290 080,00 Kč příjemce přesunul do roku 2014 a částku ve výši 2 000 000,00 Kč do roku 2015.</w:t>
            </w:r>
          </w:p>
          <w:p w:rsidR="0027150F" w:rsidRPr="00EB4F15" w:rsidRDefault="0027150F" w:rsidP="00EB4F15">
            <w:pPr>
              <w:jc w:val="both"/>
              <w:rPr>
                <w:rFonts w:asciiTheme="minorHAnsi" w:hAnsiTheme="minorHAnsi" w:cstheme="minorHAnsi"/>
                <w:bCs/>
                <w:sz w:val="22"/>
              </w:rPr>
            </w:pPr>
            <w:r w:rsidRPr="00EB4F15">
              <w:rPr>
                <w:rFonts w:asciiTheme="minorHAnsi" w:hAnsiTheme="minorHAnsi" w:cstheme="minorHAnsi"/>
                <w:bCs/>
                <w:sz w:val="22"/>
              </w:rPr>
              <w:t>Důvody přesunu uvádí v oznámení změny.</w:t>
            </w:r>
          </w:p>
          <w:p w:rsidR="0027150F" w:rsidRPr="00EB4F15" w:rsidRDefault="0027150F" w:rsidP="00EB4F15">
            <w:pPr>
              <w:jc w:val="both"/>
              <w:rPr>
                <w:rFonts w:asciiTheme="minorHAnsi" w:hAnsiTheme="minorHAnsi" w:cstheme="minorHAnsi"/>
                <w:bCs/>
                <w:sz w:val="22"/>
              </w:rPr>
            </w:pPr>
          </w:p>
          <w:p w:rsidR="0027150F" w:rsidRPr="00EB4F15" w:rsidRDefault="0027150F" w:rsidP="00EB4F15">
            <w:pPr>
              <w:spacing w:after="120"/>
              <w:jc w:val="both"/>
              <w:rPr>
                <w:rFonts w:asciiTheme="minorHAnsi" w:hAnsiTheme="minorHAnsi" w:cstheme="minorHAnsi"/>
                <w:bCs/>
                <w:sz w:val="22"/>
              </w:rPr>
            </w:pPr>
            <w:r w:rsidRPr="00EB4F15">
              <w:rPr>
                <w:rFonts w:asciiTheme="minorHAnsi" w:hAnsiTheme="minorHAnsi" w:cstheme="minorHAnsi"/>
                <w:bCs/>
                <w:sz w:val="22"/>
              </w:rPr>
              <w:t>Přesuny mezi položkami rozpočtu nemají vliv na celkový rozpočet projektu.</w:t>
            </w:r>
          </w:p>
          <w:p w:rsidR="00616641" w:rsidRPr="00EB4F15" w:rsidRDefault="00616641" w:rsidP="00EB4F15">
            <w:pPr>
              <w:jc w:val="both"/>
              <w:rPr>
                <w:rFonts w:asciiTheme="minorHAnsi" w:hAnsiTheme="minorHAnsi" w:cstheme="minorHAnsi"/>
                <w:bCs/>
                <w:sz w:val="22"/>
              </w:rPr>
            </w:pPr>
            <w:r w:rsidRPr="00EB4F15">
              <w:rPr>
                <w:rFonts w:asciiTheme="minorHAnsi" w:hAnsiTheme="minorHAnsi" w:cstheme="minorHAnsi"/>
                <w:bCs/>
                <w:sz w:val="22"/>
              </w:rPr>
              <w:t xml:space="preserve"> 11) Přesuny jsou provedeny v těchto kapitolách:</w:t>
            </w:r>
          </w:p>
          <w:p w:rsidR="00616641" w:rsidRPr="00EB4F15" w:rsidRDefault="00616641" w:rsidP="00EB4F15">
            <w:pPr>
              <w:numPr>
                <w:ilvl w:val="0"/>
                <w:numId w:val="24"/>
              </w:numPr>
              <w:spacing w:after="0" w:line="240" w:lineRule="auto"/>
              <w:jc w:val="both"/>
              <w:rPr>
                <w:rFonts w:asciiTheme="minorHAnsi" w:hAnsiTheme="minorHAnsi" w:cstheme="minorHAnsi"/>
                <w:bCs/>
                <w:sz w:val="22"/>
              </w:rPr>
            </w:pPr>
            <w:r w:rsidRPr="00EB4F15">
              <w:rPr>
                <w:rFonts w:asciiTheme="minorHAnsi" w:hAnsiTheme="minorHAnsi" w:cstheme="minorHAnsi"/>
                <w:bCs/>
                <w:sz w:val="22"/>
              </w:rPr>
              <w:t>3. materiál</w:t>
            </w:r>
          </w:p>
          <w:p w:rsidR="00616641" w:rsidRPr="00EB4F15" w:rsidRDefault="00616641" w:rsidP="00EB4F15">
            <w:pPr>
              <w:numPr>
                <w:ilvl w:val="0"/>
                <w:numId w:val="24"/>
              </w:numPr>
              <w:spacing w:after="0" w:line="240" w:lineRule="auto"/>
              <w:jc w:val="both"/>
              <w:rPr>
                <w:rFonts w:asciiTheme="minorHAnsi" w:hAnsiTheme="minorHAnsi" w:cstheme="minorHAnsi"/>
                <w:bCs/>
                <w:sz w:val="22"/>
              </w:rPr>
            </w:pPr>
            <w:r w:rsidRPr="00EB4F15">
              <w:rPr>
                <w:rFonts w:asciiTheme="minorHAnsi" w:hAnsiTheme="minorHAnsi" w:cstheme="minorHAnsi"/>
                <w:bCs/>
                <w:sz w:val="22"/>
              </w:rPr>
              <w:t>4. služby</w:t>
            </w:r>
          </w:p>
          <w:p w:rsidR="00616641" w:rsidRPr="00EB4F15" w:rsidRDefault="00616641" w:rsidP="00EB4F15">
            <w:pPr>
              <w:numPr>
                <w:ilvl w:val="0"/>
                <w:numId w:val="24"/>
              </w:numPr>
              <w:spacing w:after="0" w:line="240" w:lineRule="auto"/>
              <w:jc w:val="both"/>
              <w:rPr>
                <w:rFonts w:asciiTheme="minorHAnsi" w:hAnsiTheme="minorHAnsi" w:cstheme="minorHAnsi"/>
                <w:bCs/>
                <w:sz w:val="22"/>
              </w:rPr>
            </w:pPr>
            <w:r w:rsidRPr="00EB4F15">
              <w:rPr>
                <w:rFonts w:asciiTheme="minorHAnsi" w:hAnsiTheme="minorHAnsi" w:cstheme="minorHAnsi"/>
                <w:bCs/>
                <w:sz w:val="22"/>
              </w:rPr>
              <w:t>5. publicita</w:t>
            </w:r>
          </w:p>
          <w:p w:rsidR="00616641" w:rsidRPr="00EB4F15" w:rsidRDefault="00616641" w:rsidP="00EB4F15">
            <w:pPr>
              <w:numPr>
                <w:ilvl w:val="0"/>
                <w:numId w:val="24"/>
              </w:numPr>
              <w:spacing w:after="0" w:line="240" w:lineRule="auto"/>
              <w:jc w:val="both"/>
              <w:rPr>
                <w:rFonts w:asciiTheme="minorHAnsi" w:hAnsiTheme="minorHAnsi" w:cstheme="minorHAnsi"/>
                <w:bCs/>
                <w:sz w:val="22"/>
              </w:rPr>
            </w:pPr>
            <w:r w:rsidRPr="00EB4F15">
              <w:rPr>
                <w:rFonts w:asciiTheme="minorHAnsi" w:hAnsiTheme="minorHAnsi" w:cstheme="minorHAnsi"/>
                <w:bCs/>
                <w:sz w:val="22"/>
              </w:rPr>
              <w:t>6. cestovné</w:t>
            </w:r>
          </w:p>
          <w:p w:rsidR="00616641" w:rsidRPr="00EB4F15" w:rsidRDefault="00616641" w:rsidP="00EB4F15">
            <w:pPr>
              <w:numPr>
                <w:ilvl w:val="0"/>
                <w:numId w:val="24"/>
              </w:numPr>
              <w:spacing w:after="0" w:line="240" w:lineRule="auto"/>
              <w:jc w:val="both"/>
              <w:rPr>
                <w:rFonts w:asciiTheme="minorHAnsi" w:hAnsiTheme="minorHAnsi" w:cstheme="minorHAnsi"/>
                <w:bCs/>
                <w:sz w:val="22"/>
              </w:rPr>
            </w:pPr>
            <w:r w:rsidRPr="00EB4F15">
              <w:rPr>
                <w:rFonts w:asciiTheme="minorHAnsi" w:hAnsiTheme="minorHAnsi" w:cstheme="minorHAnsi"/>
                <w:bCs/>
                <w:sz w:val="22"/>
              </w:rPr>
              <w:t>9. osobní výdaje</w:t>
            </w:r>
          </w:p>
          <w:p w:rsidR="00616641" w:rsidRPr="00EB4F15" w:rsidRDefault="00616641" w:rsidP="00EB4F15">
            <w:pPr>
              <w:jc w:val="both"/>
              <w:rPr>
                <w:rFonts w:asciiTheme="minorHAnsi" w:hAnsiTheme="minorHAnsi" w:cstheme="minorHAnsi"/>
                <w:bCs/>
                <w:noProof/>
                <w:sz w:val="22"/>
              </w:rPr>
            </w:pPr>
            <w:r w:rsidRPr="00EB4F15">
              <w:rPr>
                <w:rFonts w:asciiTheme="minorHAnsi" w:hAnsiTheme="minorHAnsi" w:cstheme="minorHAnsi"/>
                <w:bCs/>
                <w:noProof/>
                <w:sz w:val="22"/>
              </w:rPr>
              <w:t>V rámci provedených přesunů v položkách rozpočtu nedochází k vlivu na rozpočet projektu ve smyslu schválené výše celkových způsobilých výdajů investičních i neinvestičních. V rámci provedených přesunů v položkách rozpočtu nedochází k vlivu na finanční plán projektu.</w:t>
            </w:r>
          </w:p>
          <w:p w:rsidR="009D000F" w:rsidRPr="00EB4F15" w:rsidRDefault="009D000F" w:rsidP="00EB4F15">
            <w:pPr>
              <w:jc w:val="both"/>
              <w:rPr>
                <w:rFonts w:asciiTheme="minorHAnsi" w:hAnsiTheme="minorHAnsi" w:cstheme="minorHAnsi"/>
                <w:bCs/>
                <w:sz w:val="22"/>
              </w:rPr>
            </w:pPr>
            <w:r w:rsidRPr="00EB4F15">
              <w:rPr>
                <w:rFonts w:asciiTheme="minorHAnsi" w:hAnsiTheme="minorHAnsi" w:cstheme="minorHAnsi"/>
                <w:bCs/>
                <w:sz w:val="22"/>
              </w:rPr>
              <w:t>12) Předmětná změna má dopad na rozpočet projektu a to o navýšení celkového rozpočtu o částku 5 811 564,12Kč tj. na celková výše způsobilých výdajů je tedy ve výši 2 258 835 Kč.</w:t>
            </w:r>
          </w:p>
          <w:p w:rsidR="003A7879" w:rsidRPr="00EB4F15" w:rsidRDefault="003A7879" w:rsidP="00EB4F15">
            <w:pPr>
              <w:jc w:val="both"/>
              <w:rPr>
                <w:rFonts w:asciiTheme="minorHAnsi" w:hAnsiTheme="minorHAnsi" w:cstheme="minorHAnsi"/>
                <w:bCs/>
                <w:sz w:val="22"/>
              </w:rPr>
            </w:pP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13) Rozdíl ve výši 62 718 162,33 Kč je úsporou, z čehož 30 % úspora ze stavebních prací, která může být příjemcem využita dle kapitoly 5.6.1 Příručky pro příjemce, je ve výši 18 815 448, 70 Kč.</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Využití úspory:</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 xml:space="preserve">Z hoře uvedené částky 30 % úspory příjemce žádá využít částku ve výši 1 434 849,35 Kč na stavební objekty SO 320 přípojka VTL plynu, SO 330 Ochrana VTL plynovodu, SO 500 Přípojka tel. linek. Tím dochází k navýšení částky v položce aktualizovaného rozpočtu 2.3.1.1 VZ Generální dodavatel stavby celkem na 831 593 751,64 </w:t>
            </w:r>
            <w:proofErr w:type="gramStart"/>
            <w:r w:rsidRPr="00EB4F15">
              <w:rPr>
                <w:rFonts w:asciiTheme="minorHAnsi" w:hAnsiTheme="minorHAnsi" w:cstheme="minorHAnsi"/>
                <w:bCs/>
                <w:sz w:val="22"/>
              </w:rPr>
              <w:t>Kč..</w:t>
            </w:r>
            <w:proofErr w:type="gramEnd"/>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 xml:space="preserve">Na využití zbývající části ponechané úspory ve </w:t>
            </w:r>
            <w:proofErr w:type="gramStart"/>
            <w:r w:rsidRPr="00EB4F15">
              <w:rPr>
                <w:rFonts w:asciiTheme="minorHAnsi" w:hAnsiTheme="minorHAnsi" w:cstheme="minorHAnsi"/>
                <w:bCs/>
                <w:sz w:val="22"/>
              </w:rPr>
              <w:t>výší</w:t>
            </w:r>
            <w:proofErr w:type="gramEnd"/>
            <w:r w:rsidRPr="00EB4F15">
              <w:rPr>
                <w:rFonts w:asciiTheme="minorHAnsi" w:hAnsiTheme="minorHAnsi" w:cstheme="minorHAnsi"/>
                <w:bCs/>
                <w:sz w:val="22"/>
              </w:rPr>
              <w:t xml:space="preserve"> 17 380 599,35 Kč příjemce předloží příslušnou žádost o podstatnou změnu projektu.</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 xml:space="preserve">V předkládaném aktualizovaném rozpočtu projektu je do toho času ponechaná zbylá část úspory v položce 2.3.1.3 aktualizovaného rozpočtu. </w:t>
            </w:r>
          </w:p>
          <w:p w:rsidR="003A7879" w:rsidRPr="00EB4F15" w:rsidRDefault="003A7879" w:rsidP="00EB4F15">
            <w:pPr>
              <w:jc w:val="both"/>
              <w:rPr>
                <w:rFonts w:asciiTheme="minorHAnsi" w:hAnsiTheme="minorHAnsi" w:cstheme="minorHAnsi"/>
                <w:bCs/>
                <w:sz w:val="22"/>
              </w:rPr>
            </w:pP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 xml:space="preserve">Předpokládaná úspora celkem – </w:t>
            </w:r>
            <w:proofErr w:type="spellStart"/>
            <w:r w:rsidRPr="00EB4F15">
              <w:rPr>
                <w:rFonts w:asciiTheme="minorHAnsi" w:hAnsiTheme="minorHAnsi" w:cstheme="minorHAnsi"/>
                <w:bCs/>
                <w:sz w:val="22"/>
              </w:rPr>
              <w:t>Serverovny</w:t>
            </w:r>
            <w:proofErr w:type="spellEnd"/>
            <w:r w:rsidRPr="00EB4F15">
              <w:rPr>
                <w:rFonts w:asciiTheme="minorHAnsi" w:hAnsiTheme="minorHAnsi" w:cstheme="minorHAnsi"/>
                <w:bCs/>
                <w:sz w:val="22"/>
              </w:rPr>
              <w:t>: 9 119 538,11 Kč</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 xml:space="preserve">Položka úspory v rozpočtu projektu (2.3.1.3) – </w:t>
            </w:r>
            <w:proofErr w:type="spellStart"/>
            <w:r w:rsidRPr="00EB4F15">
              <w:rPr>
                <w:rFonts w:asciiTheme="minorHAnsi" w:hAnsiTheme="minorHAnsi" w:cstheme="minorHAnsi"/>
                <w:bCs/>
                <w:sz w:val="22"/>
              </w:rPr>
              <w:t>Serverovny</w:t>
            </w:r>
            <w:proofErr w:type="spellEnd"/>
            <w:r w:rsidRPr="00EB4F15">
              <w:rPr>
                <w:rFonts w:asciiTheme="minorHAnsi" w:hAnsiTheme="minorHAnsi" w:cstheme="minorHAnsi"/>
                <w:bCs/>
                <w:sz w:val="22"/>
              </w:rPr>
              <w:t>: 2 735 861,43 Kč</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Položka úspory v rozpočtu projektu (2.3.1.3) – Celkem: 20 116 460,78 Kč</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Souhrnně:</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Z toho celková úspora je: 71 837 700,44 Kč</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Z toho 30% úspora činní: 21 551 310,13 Kč</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Z toho 70% úspora činní: 50 286 390,31 Kč</w:t>
            </w: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lastRenderedPageBreak/>
              <w:t xml:space="preserve">Příjemce změní struktury položky 2.3.1 Náklady na stavbu, kdy v rozpočtu v položce 2.3.1 Náklady na stavbu nebude dělit položku na jednotlivé stavební objekty Centra BIOCEV (tj. SO 001, SO 002, SO 005, Ostatní stavební práce, atd.), ale rozdělí  danou položku jen podle výběrových řízení, které se dané položky týkají, tj. 2.3.1.1 VZ Generální dodavatel stavby (bez dH2O), 2.3.1.2 VZ </w:t>
            </w:r>
            <w:proofErr w:type="spellStart"/>
            <w:r w:rsidRPr="00EB4F15">
              <w:rPr>
                <w:rFonts w:asciiTheme="minorHAnsi" w:hAnsiTheme="minorHAnsi" w:cstheme="minorHAnsi"/>
                <w:bCs/>
                <w:sz w:val="22"/>
              </w:rPr>
              <w:t>Serverovny</w:t>
            </w:r>
            <w:proofErr w:type="spellEnd"/>
            <w:r w:rsidRPr="00EB4F15">
              <w:rPr>
                <w:rFonts w:asciiTheme="minorHAnsi" w:hAnsiTheme="minorHAnsi" w:cstheme="minorHAnsi"/>
                <w:bCs/>
                <w:sz w:val="22"/>
              </w:rPr>
              <w:t xml:space="preserve"> a 2.3.1.3 30% předpokládané úspory.</w:t>
            </w:r>
          </w:p>
          <w:p w:rsidR="003A7879" w:rsidRPr="00EB4F15" w:rsidRDefault="003A7879" w:rsidP="00EB4F15">
            <w:pPr>
              <w:jc w:val="both"/>
              <w:rPr>
                <w:rFonts w:asciiTheme="minorHAnsi" w:hAnsiTheme="minorHAnsi" w:cstheme="minorHAnsi"/>
                <w:bCs/>
                <w:sz w:val="22"/>
              </w:rPr>
            </w:pPr>
          </w:p>
          <w:p w:rsidR="003A7879" w:rsidRPr="00EB4F15" w:rsidRDefault="003A7879" w:rsidP="00EB4F15">
            <w:pPr>
              <w:jc w:val="both"/>
              <w:rPr>
                <w:rFonts w:asciiTheme="minorHAnsi" w:hAnsiTheme="minorHAnsi" w:cstheme="minorHAnsi"/>
                <w:bCs/>
                <w:sz w:val="22"/>
              </w:rPr>
            </w:pPr>
            <w:r w:rsidRPr="00EB4F15">
              <w:rPr>
                <w:rFonts w:asciiTheme="minorHAnsi" w:hAnsiTheme="minorHAnsi" w:cstheme="minorHAnsi"/>
                <w:bCs/>
                <w:sz w:val="22"/>
              </w:rPr>
              <w:t>Změny v tomto okamžiku nemají vliv na celkový rozpočet projektu, a zároveň těmito změnami nedochází ke změně poměru investičních a neinvestičních výdajů projektu.</w:t>
            </w:r>
          </w:p>
          <w:p w:rsidR="003A7879" w:rsidRPr="00EB4F15" w:rsidRDefault="003A7879" w:rsidP="00EB4F15">
            <w:pPr>
              <w:jc w:val="both"/>
              <w:rPr>
                <w:rFonts w:asciiTheme="minorHAnsi" w:hAnsiTheme="minorHAnsi" w:cstheme="minorHAnsi"/>
                <w:bCs/>
                <w:sz w:val="22"/>
              </w:rPr>
            </w:pPr>
          </w:p>
          <w:p w:rsidR="003A7879" w:rsidRPr="00EB4F15" w:rsidRDefault="003A7879" w:rsidP="00EB4F15">
            <w:pPr>
              <w:jc w:val="both"/>
              <w:rPr>
                <w:rFonts w:asciiTheme="minorHAnsi" w:hAnsiTheme="minorHAnsi" w:cstheme="minorHAnsi"/>
                <w:bCs/>
                <w:sz w:val="22"/>
              </w:rPr>
            </w:pPr>
          </w:p>
          <w:p w:rsidR="003A7879" w:rsidRPr="00EB4F15" w:rsidRDefault="003A7879" w:rsidP="00EB4F15">
            <w:pPr>
              <w:jc w:val="both"/>
              <w:rPr>
                <w:rFonts w:asciiTheme="minorHAnsi" w:hAnsiTheme="minorHAnsi" w:cstheme="minorHAnsi"/>
                <w:bCs/>
                <w:sz w:val="22"/>
              </w:rPr>
            </w:pPr>
          </w:p>
          <w:p w:rsidR="003A7879" w:rsidRPr="00EB4F15" w:rsidRDefault="003A7879" w:rsidP="00EB4F15">
            <w:pPr>
              <w:jc w:val="both"/>
              <w:rPr>
                <w:rFonts w:asciiTheme="minorHAnsi" w:hAnsiTheme="minorHAnsi" w:cstheme="minorHAnsi"/>
                <w:bCs/>
                <w:sz w:val="22"/>
              </w:rPr>
            </w:pPr>
          </w:p>
          <w:p w:rsidR="003A7879" w:rsidRPr="00EB4F15" w:rsidRDefault="003A7879" w:rsidP="00EB4F15">
            <w:pPr>
              <w:jc w:val="both"/>
              <w:rPr>
                <w:rFonts w:asciiTheme="minorHAnsi" w:hAnsiTheme="minorHAnsi" w:cstheme="minorHAnsi"/>
                <w:bCs/>
                <w:noProof/>
                <w:sz w:val="22"/>
              </w:rPr>
            </w:pPr>
          </w:p>
          <w:p w:rsidR="009D000F" w:rsidRPr="00EB4F15" w:rsidRDefault="009D000F" w:rsidP="00EB4F15">
            <w:pPr>
              <w:jc w:val="both"/>
              <w:rPr>
                <w:rFonts w:asciiTheme="minorHAnsi" w:hAnsiTheme="minorHAnsi" w:cstheme="minorHAnsi"/>
                <w:bCs/>
                <w:noProof/>
                <w:sz w:val="22"/>
              </w:rPr>
            </w:pPr>
          </w:p>
          <w:p w:rsidR="0027150F" w:rsidRPr="00EB4F15" w:rsidRDefault="0027150F" w:rsidP="00EB4F15">
            <w:pPr>
              <w:jc w:val="both"/>
              <w:rPr>
                <w:rFonts w:asciiTheme="minorHAnsi" w:hAnsiTheme="minorHAnsi" w:cstheme="minorHAnsi"/>
                <w:bCs/>
                <w:sz w:val="22"/>
              </w:rPr>
            </w:pPr>
          </w:p>
          <w:p w:rsidR="0027150F" w:rsidRPr="00EB4F15" w:rsidRDefault="0027150F" w:rsidP="00EB4F15">
            <w:pPr>
              <w:spacing w:before="60" w:after="60" w:line="240" w:lineRule="auto"/>
              <w:jc w:val="both"/>
              <w:rPr>
                <w:rFonts w:asciiTheme="minorHAnsi" w:hAnsiTheme="minorHAnsi" w:cstheme="minorHAnsi"/>
                <w:bCs/>
                <w:noProof/>
                <w:sz w:val="22"/>
              </w:rPr>
            </w:pPr>
          </w:p>
          <w:p w:rsidR="00733E14" w:rsidRPr="00EB4F15" w:rsidRDefault="00733E14" w:rsidP="00EB4F15">
            <w:pPr>
              <w:spacing w:before="60" w:after="60" w:line="240" w:lineRule="auto"/>
              <w:jc w:val="both"/>
              <w:rPr>
                <w:rFonts w:asciiTheme="minorHAnsi" w:hAnsiTheme="minorHAnsi" w:cstheme="minorHAnsi"/>
                <w:sz w:val="22"/>
              </w:rPr>
            </w:pPr>
          </w:p>
        </w:tc>
      </w:tr>
      <w:tr w:rsidR="0004245B" w:rsidTr="009C6D60">
        <w:trPr>
          <w:trHeight w:val="869"/>
        </w:trPr>
        <w:tc>
          <w:tcPr>
            <w:tcW w:w="2133" w:type="dxa"/>
            <w:gridSpan w:val="2"/>
          </w:tcPr>
          <w:p w:rsidR="0004245B" w:rsidRPr="00EB4F15" w:rsidRDefault="0004245B" w:rsidP="00EB4F15">
            <w:pPr>
              <w:spacing w:before="60" w:after="60"/>
              <w:jc w:val="both"/>
              <w:rPr>
                <w:rFonts w:asciiTheme="minorHAnsi" w:hAnsiTheme="minorHAnsi" w:cstheme="minorHAnsi"/>
                <w:b/>
                <w:sz w:val="22"/>
              </w:rPr>
            </w:pPr>
            <w:r w:rsidRPr="00EB4F15">
              <w:rPr>
                <w:rFonts w:asciiTheme="minorHAnsi" w:hAnsiTheme="minorHAnsi" w:cstheme="minorHAnsi"/>
                <w:b/>
                <w:sz w:val="22"/>
              </w:rPr>
              <w:lastRenderedPageBreak/>
              <w:t>Věcná realizace projektu</w:t>
            </w:r>
          </w:p>
        </w:tc>
        <w:tc>
          <w:tcPr>
            <w:tcW w:w="7473" w:type="dxa"/>
            <w:gridSpan w:val="4"/>
          </w:tcPr>
          <w:p w:rsidR="0004245B" w:rsidRPr="00EB4F15" w:rsidRDefault="0004245B" w:rsidP="00EB4F15">
            <w:pPr>
              <w:spacing w:before="60" w:after="60" w:line="240" w:lineRule="auto"/>
              <w:jc w:val="both"/>
              <w:rPr>
                <w:rFonts w:asciiTheme="minorHAnsi" w:hAnsiTheme="minorHAnsi" w:cstheme="minorHAnsi"/>
                <w:sz w:val="22"/>
              </w:rPr>
            </w:pPr>
            <w:r w:rsidRPr="00601A2D">
              <w:rPr>
                <w:rFonts w:asciiTheme="minorHAnsi" w:hAnsiTheme="minorHAnsi" w:cstheme="minorHAnsi"/>
                <w:sz w:val="22"/>
              </w:rPr>
              <w:t>Stavební část (včetně % naplnění)</w:t>
            </w:r>
            <w:r w:rsidR="00601A2D" w:rsidRPr="00601A2D">
              <w:rPr>
                <w:rFonts w:asciiTheme="minorHAnsi" w:hAnsiTheme="minorHAnsi" w:cstheme="minorHAnsi"/>
                <w:sz w:val="22"/>
              </w:rPr>
              <w:t>: Finanční parametry projektu: k 31. 12.2014 bylo proinvestováno cca 39% z celkové smluvní ceny.</w:t>
            </w:r>
          </w:p>
          <w:p w:rsidR="0004245B" w:rsidRPr="00EB4F15" w:rsidRDefault="0004245B"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Přístroje (včetně % naplnění)</w:t>
            </w:r>
            <w:r w:rsidR="00851BA1" w:rsidRPr="00EB4F15">
              <w:rPr>
                <w:rFonts w:asciiTheme="minorHAnsi" w:hAnsiTheme="minorHAnsi" w:cstheme="minorHAnsi"/>
                <w:sz w:val="22"/>
              </w:rPr>
              <w:t>: 40 – 50%</w:t>
            </w:r>
          </w:p>
          <w:p w:rsidR="0004245B" w:rsidRPr="00EB4F15" w:rsidRDefault="0081392A"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t xml:space="preserve">Personální zajištění </w:t>
            </w:r>
            <w:r w:rsidR="00AF6EBB" w:rsidRPr="00EB4F15">
              <w:rPr>
                <w:rFonts w:asciiTheme="minorHAnsi" w:hAnsiTheme="minorHAnsi" w:cstheme="minorHAnsi"/>
                <w:sz w:val="22"/>
              </w:rPr>
              <w:t>(včetně % naplnění)</w:t>
            </w:r>
            <w:r w:rsidR="00851BA1" w:rsidRPr="00EB4F15">
              <w:rPr>
                <w:rFonts w:asciiTheme="minorHAnsi" w:hAnsiTheme="minorHAnsi" w:cstheme="minorHAnsi"/>
                <w:sz w:val="22"/>
              </w:rPr>
              <w:t>: 100%</w:t>
            </w:r>
          </w:p>
        </w:tc>
      </w:tr>
      <w:tr w:rsidR="00DA6654" w:rsidTr="009C6D60">
        <w:tc>
          <w:tcPr>
            <w:tcW w:w="2133" w:type="dxa"/>
            <w:gridSpan w:val="2"/>
          </w:tcPr>
          <w:p w:rsidR="00DA6654" w:rsidRPr="004B6147" w:rsidRDefault="00DA6654" w:rsidP="00EB4F15">
            <w:pPr>
              <w:spacing w:before="60" w:after="60"/>
              <w:jc w:val="both"/>
              <w:rPr>
                <w:rFonts w:asciiTheme="minorHAnsi" w:hAnsiTheme="minorHAnsi" w:cstheme="minorHAnsi"/>
                <w:b/>
                <w:sz w:val="22"/>
              </w:rPr>
            </w:pPr>
            <w:r w:rsidRPr="004B6147">
              <w:rPr>
                <w:rFonts w:asciiTheme="minorHAnsi" w:hAnsiTheme="minorHAnsi" w:cstheme="minorHAnsi"/>
                <w:b/>
                <w:sz w:val="22"/>
              </w:rPr>
              <w:t>Finanční čerpání projektu</w:t>
            </w:r>
          </w:p>
        </w:tc>
        <w:tc>
          <w:tcPr>
            <w:tcW w:w="7473" w:type="dxa"/>
            <w:gridSpan w:val="4"/>
          </w:tcPr>
          <w:p w:rsidR="00DA6654" w:rsidRPr="004B6147" w:rsidRDefault="00DA6654" w:rsidP="00EB4F15">
            <w:pPr>
              <w:spacing w:before="60" w:after="60" w:line="240" w:lineRule="auto"/>
              <w:jc w:val="both"/>
              <w:rPr>
                <w:rFonts w:asciiTheme="minorHAnsi" w:hAnsiTheme="minorHAnsi" w:cstheme="minorHAnsi"/>
                <w:sz w:val="22"/>
              </w:rPr>
            </w:pPr>
            <w:r w:rsidRPr="004B6147">
              <w:rPr>
                <w:rFonts w:asciiTheme="minorHAnsi" w:hAnsiTheme="minorHAnsi" w:cstheme="minorHAnsi"/>
                <w:sz w:val="22"/>
              </w:rPr>
              <w:t>Předložené výdaje (v Kč i %)</w:t>
            </w:r>
            <w:r w:rsidR="004B6147" w:rsidRPr="004B6147">
              <w:rPr>
                <w:rFonts w:asciiTheme="minorHAnsi" w:hAnsiTheme="minorHAnsi" w:cstheme="minorHAnsi"/>
                <w:sz w:val="22"/>
              </w:rPr>
              <w:t>: 588 264 876,35 Kč (25,54</w:t>
            </w:r>
            <w:r w:rsidR="004B6147">
              <w:rPr>
                <w:rFonts w:asciiTheme="minorHAnsi" w:hAnsiTheme="minorHAnsi" w:cstheme="minorHAnsi"/>
                <w:sz w:val="22"/>
              </w:rPr>
              <w:t xml:space="preserve"> </w:t>
            </w:r>
            <w:r w:rsidR="004B6147" w:rsidRPr="004B6147">
              <w:rPr>
                <w:rFonts w:asciiTheme="minorHAnsi" w:hAnsiTheme="minorHAnsi" w:cstheme="minorHAnsi"/>
                <w:sz w:val="22"/>
              </w:rPr>
              <w:t>%)</w:t>
            </w:r>
          </w:p>
          <w:p w:rsidR="00DA6654" w:rsidRPr="004B6147" w:rsidRDefault="00DA6654" w:rsidP="00EB4F15">
            <w:pPr>
              <w:spacing w:before="60" w:after="60" w:line="240" w:lineRule="auto"/>
              <w:jc w:val="both"/>
              <w:rPr>
                <w:rFonts w:asciiTheme="minorHAnsi" w:hAnsiTheme="minorHAnsi" w:cstheme="minorHAnsi"/>
                <w:sz w:val="22"/>
              </w:rPr>
            </w:pPr>
            <w:r w:rsidRPr="004B6147">
              <w:rPr>
                <w:rFonts w:asciiTheme="minorHAnsi" w:hAnsiTheme="minorHAnsi" w:cstheme="minorHAnsi"/>
                <w:sz w:val="22"/>
              </w:rPr>
              <w:t>Schválené výdaje</w:t>
            </w:r>
            <w:r w:rsidR="00C92258" w:rsidRPr="004B6147">
              <w:rPr>
                <w:rFonts w:asciiTheme="minorHAnsi" w:hAnsiTheme="minorHAnsi" w:cstheme="minorHAnsi"/>
                <w:sz w:val="22"/>
              </w:rPr>
              <w:t xml:space="preserve"> </w:t>
            </w:r>
            <w:r w:rsidRPr="004B6147">
              <w:rPr>
                <w:rFonts w:asciiTheme="minorHAnsi" w:hAnsiTheme="minorHAnsi" w:cstheme="minorHAnsi"/>
                <w:sz w:val="22"/>
              </w:rPr>
              <w:t>(v Kč i %)</w:t>
            </w:r>
            <w:r w:rsidR="004B6147" w:rsidRPr="004B6147">
              <w:rPr>
                <w:rFonts w:asciiTheme="minorHAnsi" w:hAnsiTheme="minorHAnsi" w:cstheme="minorHAnsi"/>
                <w:sz w:val="22"/>
              </w:rPr>
              <w:t>: 582 642 822,42 Kč (25,43</w:t>
            </w:r>
            <w:r w:rsidR="004B6147">
              <w:rPr>
                <w:rFonts w:asciiTheme="minorHAnsi" w:hAnsiTheme="minorHAnsi" w:cstheme="minorHAnsi"/>
                <w:sz w:val="22"/>
              </w:rPr>
              <w:t xml:space="preserve"> </w:t>
            </w:r>
            <w:r w:rsidR="004B6147" w:rsidRPr="004B6147">
              <w:rPr>
                <w:rFonts w:asciiTheme="minorHAnsi" w:hAnsiTheme="minorHAnsi" w:cstheme="minorHAnsi"/>
                <w:sz w:val="22"/>
              </w:rPr>
              <w:t>%)</w:t>
            </w:r>
          </w:p>
          <w:p w:rsidR="00DA6654" w:rsidRPr="004B6147" w:rsidRDefault="00DA6654" w:rsidP="00EB4F15">
            <w:pPr>
              <w:spacing w:before="60" w:after="60" w:line="240" w:lineRule="auto"/>
              <w:jc w:val="both"/>
              <w:rPr>
                <w:rFonts w:asciiTheme="minorHAnsi" w:hAnsiTheme="minorHAnsi" w:cstheme="minorHAnsi"/>
                <w:sz w:val="22"/>
              </w:rPr>
            </w:pPr>
            <w:r w:rsidRPr="004B6147">
              <w:rPr>
                <w:rFonts w:asciiTheme="minorHAnsi" w:hAnsiTheme="minorHAnsi" w:cstheme="minorHAnsi"/>
                <w:sz w:val="22"/>
              </w:rPr>
              <w:t>Certifikované výdaje (v Kč i %)</w:t>
            </w:r>
            <w:r w:rsidR="004B6147" w:rsidRPr="004B6147">
              <w:rPr>
                <w:rFonts w:asciiTheme="minorHAnsi" w:hAnsiTheme="minorHAnsi" w:cstheme="minorHAnsi"/>
                <w:sz w:val="22"/>
              </w:rPr>
              <w:t>: 582 642 822,42 Kč (25,43</w:t>
            </w:r>
            <w:r w:rsidR="004B6147">
              <w:rPr>
                <w:rFonts w:asciiTheme="minorHAnsi" w:hAnsiTheme="minorHAnsi" w:cstheme="minorHAnsi"/>
                <w:sz w:val="22"/>
              </w:rPr>
              <w:t xml:space="preserve"> </w:t>
            </w:r>
            <w:r w:rsidR="004B6147" w:rsidRPr="004B6147">
              <w:rPr>
                <w:rFonts w:asciiTheme="minorHAnsi" w:hAnsiTheme="minorHAnsi" w:cstheme="minorHAnsi"/>
                <w:sz w:val="22"/>
              </w:rPr>
              <w:t>%)</w:t>
            </w:r>
          </w:p>
        </w:tc>
      </w:tr>
      <w:tr w:rsidR="00C43F6D" w:rsidTr="009C6D60">
        <w:tc>
          <w:tcPr>
            <w:tcW w:w="2133" w:type="dxa"/>
            <w:gridSpan w:val="2"/>
          </w:tcPr>
          <w:p w:rsidR="00C43F6D" w:rsidRPr="004B6147" w:rsidRDefault="00EE2A12" w:rsidP="00EB4F15">
            <w:pPr>
              <w:spacing w:before="60" w:after="60"/>
              <w:jc w:val="both"/>
              <w:rPr>
                <w:rFonts w:asciiTheme="minorHAnsi" w:hAnsiTheme="minorHAnsi" w:cstheme="minorHAnsi"/>
                <w:b/>
                <w:sz w:val="22"/>
              </w:rPr>
            </w:pPr>
            <w:r w:rsidRPr="004B6147">
              <w:rPr>
                <w:rFonts w:asciiTheme="minorHAnsi" w:hAnsiTheme="minorHAnsi" w:cstheme="minorHAnsi"/>
                <w:b/>
                <w:sz w:val="22"/>
              </w:rPr>
              <w:t>Nezpůsobilé výdaje</w:t>
            </w:r>
            <w:r w:rsidR="00C43F6D" w:rsidRPr="004B6147">
              <w:rPr>
                <w:rFonts w:asciiTheme="minorHAnsi" w:hAnsiTheme="minorHAnsi" w:cstheme="minorHAnsi"/>
                <w:b/>
                <w:sz w:val="22"/>
              </w:rPr>
              <w:t xml:space="preserve"> projektu</w:t>
            </w:r>
            <w:r w:rsidR="00C43F6D" w:rsidRPr="004B6147">
              <w:rPr>
                <w:rFonts w:asciiTheme="minorHAnsi" w:hAnsiTheme="minorHAnsi" w:cstheme="minorHAnsi"/>
                <w:sz w:val="22"/>
              </w:rPr>
              <w:t xml:space="preserve"> (v Kč i %):</w:t>
            </w:r>
          </w:p>
        </w:tc>
        <w:tc>
          <w:tcPr>
            <w:tcW w:w="7473" w:type="dxa"/>
            <w:gridSpan w:val="4"/>
          </w:tcPr>
          <w:p w:rsidR="00C43F6D" w:rsidRPr="004B6147" w:rsidRDefault="004B6147" w:rsidP="00EB4F15">
            <w:pPr>
              <w:spacing w:before="60" w:after="60" w:line="240" w:lineRule="auto"/>
              <w:jc w:val="both"/>
              <w:rPr>
                <w:rFonts w:asciiTheme="minorHAnsi" w:hAnsiTheme="minorHAnsi" w:cstheme="minorHAnsi"/>
                <w:sz w:val="22"/>
              </w:rPr>
            </w:pPr>
            <w:r w:rsidRPr="004B6147">
              <w:rPr>
                <w:rFonts w:asciiTheme="minorHAnsi" w:hAnsiTheme="minorHAnsi" w:cstheme="minorHAnsi"/>
                <w:sz w:val="22"/>
              </w:rPr>
              <w:t>202</w:t>
            </w:r>
            <w:r>
              <w:rPr>
                <w:rFonts w:asciiTheme="minorHAnsi" w:hAnsiTheme="minorHAnsi" w:cstheme="minorHAnsi"/>
                <w:sz w:val="22"/>
              </w:rPr>
              <w:t xml:space="preserve"> </w:t>
            </w:r>
            <w:r w:rsidRPr="004B6147">
              <w:rPr>
                <w:rFonts w:asciiTheme="minorHAnsi" w:hAnsiTheme="minorHAnsi" w:cstheme="minorHAnsi"/>
                <w:sz w:val="22"/>
              </w:rPr>
              <w:t>459</w:t>
            </w:r>
            <w:r>
              <w:rPr>
                <w:rFonts w:asciiTheme="minorHAnsi" w:hAnsiTheme="minorHAnsi" w:cstheme="minorHAnsi"/>
                <w:sz w:val="22"/>
              </w:rPr>
              <w:t xml:space="preserve"> </w:t>
            </w:r>
            <w:r w:rsidRPr="004B6147">
              <w:rPr>
                <w:rFonts w:asciiTheme="minorHAnsi" w:hAnsiTheme="minorHAnsi" w:cstheme="minorHAnsi"/>
                <w:sz w:val="22"/>
              </w:rPr>
              <w:t>753,98 Kč (39,94</w:t>
            </w:r>
            <w:r>
              <w:rPr>
                <w:rFonts w:asciiTheme="minorHAnsi" w:hAnsiTheme="minorHAnsi" w:cstheme="minorHAnsi"/>
                <w:sz w:val="22"/>
              </w:rPr>
              <w:t xml:space="preserve"> </w:t>
            </w:r>
            <w:r w:rsidRPr="004B6147">
              <w:rPr>
                <w:rFonts w:asciiTheme="minorHAnsi" w:hAnsiTheme="minorHAnsi" w:cstheme="minorHAnsi"/>
                <w:sz w:val="22"/>
              </w:rPr>
              <w:t>%)</w:t>
            </w:r>
          </w:p>
        </w:tc>
      </w:tr>
      <w:tr w:rsidR="00D2753C" w:rsidTr="009C6D60">
        <w:tc>
          <w:tcPr>
            <w:tcW w:w="2133" w:type="dxa"/>
            <w:gridSpan w:val="2"/>
          </w:tcPr>
          <w:p w:rsidR="00D2753C" w:rsidRPr="00EB4F15" w:rsidRDefault="00D2753C" w:rsidP="00EB4F15">
            <w:pPr>
              <w:spacing w:before="60" w:after="0"/>
              <w:jc w:val="both"/>
              <w:rPr>
                <w:rFonts w:asciiTheme="minorHAnsi" w:hAnsiTheme="minorHAnsi" w:cstheme="minorHAnsi"/>
                <w:b/>
                <w:sz w:val="22"/>
              </w:rPr>
            </w:pPr>
            <w:r w:rsidRPr="00EB4F15">
              <w:rPr>
                <w:rFonts w:asciiTheme="minorHAnsi" w:hAnsiTheme="minorHAnsi" w:cstheme="minorHAnsi"/>
                <w:b/>
                <w:sz w:val="22"/>
              </w:rPr>
              <w:t>Ostatní informace</w:t>
            </w:r>
          </w:p>
          <w:p w:rsidR="00D2753C" w:rsidRPr="00EB4F15" w:rsidRDefault="00D2753C" w:rsidP="00EB4F15">
            <w:pPr>
              <w:spacing w:after="60"/>
              <w:jc w:val="both"/>
              <w:rPr>
                <w:rFonts w:asciiTheme="minorHAnsi" w:hAnsiTheme="minorHAnsi" w:cstheme="minorHAnsi"/>
                <w:sz w:val="22"/>
              </w:rPr>
            </w:pPr>
            <w:r w:rsidRPr="00EB4F15">
              <w:rPr>
                <w:rFonts w:asciiTheme="minorHAnsi" w:hAnsiTheme="minorHAnsi" w:cstheme="minorHAnsi"/>
                <w:sz w:val="22"/>
              </w:rPr>
              <w:t xml:space="preserve">(signalizovaná rizika, </w:t>
            </w:r>
            <w:r w:rsidRPr="00EB4F15">
              <w:rPr>
                <w:rFonts w:asciiTheme="minorHAnsi" w:hAnsiTheme="minorHAnsi" w:cstheme="minorHAnsi"/>
                <w:sz w:val="22"/>
              </w:rPr>
              <w:lastRenderedPageBreak/>
              <w:t>fázování apod.)</w:t>
            </w:r>
          </w:p>
        </w:tc>
        <w:tc>
          <w:tcPr>
            <w:tcW w:w="7473" w:type="dxa"/>
            <w:gridSpan w:val="4"/>
          </w:tcPr>
          <w:p w:rsidR="00D2753C" w:rsidRPr="00EB4F15" w:rsidRDefault="00851BA1" w:rsidP="00EB4F15">
            <w:pPr>
              <w:spacing w:before="60" w:after="60" w:line="240" w:lineRule="auto"/>
              <w:jc w:val="both"/>
              <w:rPr>
                <w:rFonts w:asciiTheme="minorHAnsi" w:hAnsiTheme="minorHAnsi" w:cstheme="minorHAnsi"/>
                <w:sz w:val="22"/>
              </w:rPr>
            </w:pPr>
            <w:r w:rsidRPr="00EB4F15">
              <w:rPr>
                <w:rFonts w:asciiTheme="minorHAnsi" w:hAnsiTheme="minorHAnsi" w:cstheme="minorHAnsi"/>
                <w:sz w:val="22"/>
              </w:rPr>
              <w:lastRenderedPageBreak/>
              <w:t xml:space="preserve">V jednání je komplexní podstatná změna </w:t>
            </w:r>
            <w:r w:rsidR="00601A2D">
              <w:rPr>
                <w:rFonts w:asciiTheme="minorHAnsi" w:hAnsiTheme="minorHAnsi" w:cstheme="minorHAnsi"/>
                <w:sz w:val="22"/>
              </w:rPr>
              <w:t>projektu (</w:t>
            </w:r>
            <w:r w:rsidRPr="00EB4F15">
              <w:rPr>
                <w:rFonts w:asciiTheme="minorHAnsi" w:hAnsiTheme="minorHAnsi" w:cstheme="minorHAnsi"/>
                <w:sz w:val="22"/>
              </w:rPr>
              <w:t xml:space="preserve">posun termínu kolaudace na 23. 9. 2015, posun termínu ukončení infrastrukturní části projektu na 31. 12.2015, </w:t>
            </w:r>
            <w:r w:rsidR="00601A2D">
              <w:rPr>
                <w:rFonts w:asciiTheme="minorHAnsi" w:hAnsiTheme="minorHAnsi" w:cstheme="minorHAnsi"/>
                <w:sz w:val="22"/>
              </w:rPr>
              <w:lastRenderedPageBreak/>
              <w:t>změny ve výzkumných programech),</w:t>
            </w:r>
            <w:r w:rsidRPr="00EB4F15">
              <w:rPr>
                <w:rFonts w:asciiTheme="minorHAnsi" w:hAnsiTheme="minorHAnsi" w:cstheme="minorHAnsi"/>
                <w:sz w:val="22"/>
              </w:rPr>
              <w:t xml:space="preserve"> tato změna je riziková</w:t>
            </w:r>
          </w:p>
        </w:tc>
      </w:tr>
      <w:tr w:rsidR="00A431A3" w:rsidTr="006E2E2C">
        <w:tc>
          <w:tcPr>
            <w:tcW w:w="9606" w:type="dxa"/>
            <w:gridSpan w:val="6"/>
            <w:shd w:val="clear" w:color="auto" w:fill="404040" w:themeFill="text1" w:themeFillTint="BF"/>
          </w:tcPr>
          <w:p w:rsidR="00A431A3" w:rsidRPr="00A431A3" w:rsidRDefault="00A431A3" w:rsidP="00A431A3">
            <w:pPr>
              <w:spacing w:before="60" w:after="60" w:line="240" w:lineRule="auto"/>
              <w:jc w:val="center"/>
              <w:rPr>
                <w:b/>
                <w:color w:val="FFFFFF" w:themeColor="background1"/>
              </w:rPr>
            </w:pPr>
            <w:r>
              <w:rPr>
                <w:b/>
                <w:color w:val="FFFFFF" w:themeColor="background1"/>
              </w:rPr>
              <w:lastRenderedPageBreak/>
              <w:t>Udržitelnost projektu</w:t>
            </w:r>
          </w:p>
        </w:tc>
      </w:tr>
      <w:tr w:rsidR="009C6D60" w:rsidTr="009C6D60">
        <w:tc>
          <w:tcPr>
            <w:tcW w:w="2133" w:type="dxa"/>
            <w:gridSpan w:val="2"/>
          </w:tcPr>
          <w:p w:rsidR="009C6D60" w:rsidRPr="00AE72C5" w:rsidRDefault="009C6D60" w:rsidP="006E2E2C">
            <w:pPr>
              <w:spacing w:before="60" w:after="60"/>
              <w:rPr>
                <w:rFonts w:ascii="Arial" w:hAnsi="Arial" w:cs="Arial"/>
                <w:b/>
                <w:sz w:val="20"/>
              </w:rPr>
            </w:pPr>
            <w:r>
              <w:rPr>
                <w:rFonts w:ascii="Arial" w:hAnsi="Arial" w:cs="Arial"/>
                <w:b/>
                <w:sz w:val="20"/>
              </w:rPr>
              <w:t>Zdroje pro úhradu provozních nákladů</w:t>
            </w:r>
            <w:r w:rsidDel="00AD65D3">
              <w:rPr>
                <w:rFonts w:ascii="Arial" w:hAnsi="Arial" w:cs="Arial"/>
                <w:b/>
                <w:sz w:val="20"/>
              </w:rPr>
              <w:t xml:space="preserve"> </w:t>
            </w:r>
          </w:p>
        </w:tc>
        <w:tc>
          <w:tcPr>
            <w:tcW w:w="7473" w:type="dxa"/>
            <w:gridSpan w:val="4"/>
          </w:tcPr>
          <w:p w:rsidR="009C6D60" w:rsidRPr="008F5BA3" w:rsidRDefault="009C6D60" w:rsidP="0078769C">
            <w:pPr>
              <w:spacing w:before="60" w:after="60" w:line="240" w:lineRule="auto"/>
              <w:rPr>
                <w:rFonts w:cs="Times New Roman"/>
                <w:sz w:val="20"/>
                <w:szCs w:val="24"/>
              </w:rPr>
            </w:pPr>
            <w:r w:rsidRPr="008F5BA3">
              <w:rPr>
                <w:rFonts w:cs="Times New Roman"/>
                <w:sz w:val="20"/>
                <w:szCs w:val="24"/>
              </w:rPr>
              <w:t xml:space="preserve">Smluvní výzkum: r. </w:t>
            </w:r>
            <w:proofErr w:type="gramStart"/>
            <w:r w:rsidRPr="008F5BA3">
              <w:rPr>
                <w:rFonts w:cs="Times New Roman"/>
                <w:sz w:val="20"/>
                <w:szCs w:val="24"/>
              </w:rPr>
              <w:t xml:space="preserve">2015 </w:t>
            </w:r>
            <w:r>
              <w:rPr>
                <w:rFonts w:cs="Times New Roman"/>
                <w:sz w:val="20"/>
                <w:szCs w:val="24"/>
              </w:rPr>
              <w:t>–</w:t>
            </w:r>
            <w:r w:rsidRPr="008F5BA3">
              <w:rPr>
                <w:rFonts w:cs="Times New Roman"/>
                <w:sz w:val="20"/>
                <w:szCs w:val="24"/>
              </w:rPr>
              <w:t xml:space="preserve"> </w:t>
            </w:r>
            <w:r>
              <w:rPr>
                <w:rFonts w:cs="Times New Roman"/>
                <w:sz w:val="20"/>
                <w:szCs w:val="24"/>
              </w:rPr>
              <w:t xml:space="preserve">4 </w:t>
            </w:r>
            <w:r w:rsidRPr="008F5BA3">
              <w:rPr>
                <w:rFonts w:cs="Times New Roman"/>
                <w:sz w:val="20"/>
                <w:szCs w:val="24"/>
              </w:rPr>
              <w:t xml:space="preserve"> mil.</w:t>
            </w:r>
            <w:proofErr w:type="gramEnd"/>
            <w:r w:rsidRPr="008F5BA3">
              <w:rPr>
                <w:rFonts w:cs="Times New Roman"/>
                <w:sz w:val="20"/>
                <w:szCs w:val="24"/>
              </w:rPr>
              <w:t xml:space="preserve"> Kč, r. 2016 - </w:t>
            </w:r>
            <w:r>
              <w:rPr>
                <w:rFonts w:cs="Times New Roman"/>
                <w:sz w:val="20"/>
                <w:szCs w:val="24"/>
              </w:rPr>
              <w:t>21</w:t>
            </w:r>
            <w:r w:rsidRPr="008F5BA3">
              <w:rPr>
                <w:rFonts w:cs="Times New Roman"/>
                <w:sz w:val="20"/>
                <w:szCs w:val="24"/>
              </w:rPr>
              <w:t xml:space="preserve"> mil. Kč a celkový příjem ze smluvního výzkumu za r. 2016-20 cca 2</w:t>
            </w:r>
            <w:r>
              <w:rPr>
                <w:rFonts w:cs="Times New Roman"/>
                <w:sz w:val="20"/>
                <w:szCs w:val="24"/>
              </w:rPr>
              <w:t>05</w:t>
            </w:r>
            <w:r w:rsidRPr="008F5BA3">
              <w:rPr>
                <w:rFonts w:cs="Times New Roman"/>
                <w:sz w:val="20"/>
                <w:szCs w:val="24"/>
              </w:rPr>
              <w:t xml:space="preserve"> mil. Kč</w:t>
            </w:r>
          </w:p>
          <w:p w:rsidR="009C6D60" w:rsidRPr="008F5BA3" w:rsidRDefault="009C6D60" w:rsidP="0078769C">
            <w:pPr>
              <w:spacing w:before="60" w:after="60" w:line="240" w:lineRule="auto"/>
              <w:rPr>
                <w:rFonts w:cs="Times New Roman"/>
                <w:sz w:val="20"/>
                <w:szCs w:val="24"/>
              </w:rPr>
            </w:pPr>
            <w:r w:rsidRPr="008F5BA3">
              <w:rPr>
                <w:rFonts w:cs="Times New Roman"/>
                <w:sz w:val="20"/>
                <w:szCs w:val="24"/>
              </w:rPr>
              <w:t xml:space="preserve">Mezinárodní </w:t>
            </w:r>
            <w:proofErr w:type="gramStart"/>
            <w:r w:rsidRPr="008F5BA3">
              <w:rPr>
                <w:rFonts w:cs="Times New Roman"/>
                <w:sz w:val="20"/>
                <w:szCs w:val="24"/>
              </w:rPr>
              <w:t>granty:  r.</w:t>
            </w:r>
            <w:proofErr w:type="gramEnd"/>
            <w:r w:rsidRPr="008F5BA3">
              <w:rPr>
                <w:rFonts w:cs="Times New Roman"/>
                <w:sz w:val="20"/>
                <w:szCs w:val="24"/>
              </w:rPr>
              <w:t xml:space="preserve"> 2015 - 10 mil. Kč, r. 2016 -</w:t>
            </w:r>
            <w:r>
              <w:rPr>
                <w:rFonts w:cs="Times New Roman"/>
                <w:sz w:val="20"/>
                <w:szCs w:val="24"/>
              </w:rPr>
              <w:t>21</w:t>
            </w:r>
            <w:r w:rsidR="00D81C48">
              <w:rPr>
                <w:rFonts w:cs="Times New Roman"/>
                <w:sz w:val="20"/>
                <w:szCs w:val="24"/>
              </w:rPr>
              <w:t xml:space="preserve"> mil. Kč a celkový příjem z mezinárodního výzkumu</w:t>
            </w:r>
            <w:r w:rsidRPr="008F5BA3">
              <w:rPr>
                <w:rFonts w:cs="Times New Roman"/>
                <w:sz w:val="20"/>
                <w:szCs w:val="24"/>
              </w:rPr>
              <w:t xml:space="preserve"> za r. 2016-20 cca 1</w:t>
            </w:r>
            <w:r>
              <w:rPr>
                <w:rFonts w:cs="Times New Roman"/>
                <w:sz w:val="20"/>
                <w:szCs w:val="24"/>
              </w:rPr>
              <w:t>29</w:t>
            </w:r>
            <w:r w:rsidRPr="008F5BA3">
              <w:rPr>
                <w:rFonts w:cs="Times New Roman"/>
                <w:sz w:val="20"/>
                <w:szCs w:val="24"/>
              </w:rPr>
              <w:t xml:space="preserve"> mil. Kč</w:t>
            </w:r>
          </w:p>
          <w:p w:rsidR="009C6D60" w:rsidRPr="00FE2D61" w:rsidRDefault="009C6D60" w:rsidP="00D81C48">
            <w:pPr>
              <w:spacing w:before="60" w:after="60" w:line="240" w:lineRule="auto"/>
              <w:rPr>
                <w:rFonts w:cs="Times New Roman"/>
                <w:szCs w:val="24"/>
              </w:rPr>
            </w:pPr>
            <w:r w:rsidRPr="008F5BA3">
              <w:rPr>
                <w:rFonts w:cs="Times New Roman"/>
                <w:sz w:val="20"/>
                <w:szCs w:val="24"/>
              </w:rPr>
              <w:t xml:space="preserve">Institucionální prostředky: r. 2015 </w:t>
            </w:r>
            <w:r>
              <w:rPr>
                <w:rFonts w:cs="Times New Roman"/>
                <w:sz w:val="20"/>
                <w:szCs w:val="24"/>
              </w:rPr>
              <w:t>–</w:t>
            </w:r>
            <w:r w:rsidRPr="008F5BA3">
              <w:rPr>
                <w:rFonts w:cs="Times New Roman"/>
                <w:sz w:val="20"/>
                <w:szCs w:val="24"/>
              </w:rPr>
              <w:t xml:space="preserve"> </w:t>
            </w:r>
            <w:proofErr w:type="gramStart"/>
            <w:r w:rsidRPr="008F5BA3">
              <w:rPr>
                <w:rFonts w:cs="Times New Roman"/>
                <w:sz w:val="20"/>
                <w:szCs w:val="24"/>
              </w:rPr>
              <w:t>7</w:t>
            </w:r>
            <w:r>
              <w:rPr>
                <w:rFonts w:cs="Times New Roman"/>
                <w:sz w:val="20"/>
                <w:szCs w:val="24"/>
              </w:rPr>
              <w:t xml:space="preserve">4,5 </w:t>
            </w:r>
            <w:r w:rsidRPr="008F5BA3">
              <w:rPr>
                <w:rFonts w:cs="Times New Roman"/>
                <w:sz w:val="20"/>
                <w:szCs w:val="24"/>
              </w:rPr>
              <w:t xml:space="preserve"> mil.</w:t>
            </w:r>
            <w:proofErr w:type="gramEnd"/>
            <w:r w:rsidRPr="008F5BA3">
              <w:rPr>
                <w:rFonts w:cs="Times New Roman"/>
                <w:sz w:val="20"/>
                <w:szCs w:val="24"/>
              </w:rPr>
              <w:t xml:space="preserve"> Kč, r. 2016 </w:t>
            </w:r>
            <w:r w:rsidR="00ED769D">
              <w:rPr>
                <w:rFonts w:cs="Times New Roman"/>
                <w:sz w:val="20"/>
                <w:szCs w:val="24"/>
              </w:rPr>
              <w:t>–</w:t>
            </w:r>
            <w:r w:rsidRPr="008F5BA3">
              <w:rPr>
                <w:rFonts w:cs="Times New Roman"/>
                <w:sz w:val="20"/>
                <w:szCs w:val="24"/>
              </w:rPr>
              <w:t xml:space="preserve"> </w:t>
            </w:r>
            <w:r w:rsidR="00ED769D">
              <w:rPr>
                <w:rFonts w:cs="Times New Roman"/>
                <w:sz w:val="20"/>
                <w:szCs w:val="24"/>
              </w:rPr>
              <w:t>295,5</w:t>
            </w:r>
            <w:r w:rsidRPr="008F5BA3">
              <w:rPr>
                <w:rFonts w:cs="Times New Roman"/>
                <w:sz w:val="20"/>
                <w:szCs w:val="24"/>
              </w:rPr>
              <w:t xml:space="preserve"> mil. Kč a celkový příjem </w:t>
            </w:r>
            <w:r w:rsidR="00D81C48">
              <w:rPr>
                <w:rFonts w:cs="Times New Roman"/>
                <w:sz w:val="20"/>
                <w:szCs w:val="24"/>
              </w:rPr>
              <w:t>z institucionální podpory</w:t>
            </w:r>
            <w:r w:rsidRPr="008F5BA3">
              <w:rPr>
                <w:rFonts w:cs="Times New Roman"/>
                <w:sz w:val="20"/>
                <w:szCs w:val="24"/>
              </w:rPr>
              <w:t xml:space="preserve"> za r. 2016-20 cca </w:t>
            </w:r>
            <w:r w:rsidR="00ED769D">
              <w:rPr>
                <w:rFonts w:cs="Times New Roman"/>
                <w:sz w:val="20"/>
                <w:szCs w:val="24"/>
              </w:rPr>
              <w:t>325</w:t>
            </w:r>
            <w:r w:rsidRPr="008F5BA3">
              <w:rPr>
                <w:rFonts w:cs="Times New Roman"/>
                <w:sz w:val="20"/>
                <w:szCs w:val="24"/>
              </w:rPr>
              <w:t xml:space="preserve"> mil. Kč</w:t>
            </w:r>
          </w:p>
        </w:tc>
      </w:tr>
      <w:tr w:rsidR="009C6D60" w:rsidTr="009C6D60">
        <w:tc>
          <w:tcPr>
            <w:tcW w:w="2133" w:type="dxa"/>
            <w:gridSpan w:val="2"/>
          </w:tcPr>
          <w:p w:rsidR="009C6D60" w:rsidRPr="00AE72C5" w:rsidRDefault="009C6D60" w:rsidP="00A74241">
            <w:pPr>
              <w:spacing w:before="60" w:after="60"/>
              <w:rPr>
                <w:rFonts w:ascii="Arial" w:hAnsi="Arial" w:cs="Arial"/>
                <w:b/>
                <w:sz w:val="20"/>
              </w:rPr>
            </w:pPr>
            <w:r>
              <w:rPr>
                <w:rFonts w:ascii="Arial" w:hAnsi="Arial" w:cs="Arial"/>
                <w:b/>
                <w:sz w:val="20"/>
              </w:rPr>
              <w:t>Požadavky na podporu z NPU</w:t>
            </w:r>
          </w:p>
        </w:tc>
        <w:tc>
          <w:tcPr>
            <w:tcW w:w="7473" w:type="dxa"/>
            <w:gridSpan w:val="4"/>
          </w:tcPr>
          <w:p w:rsidR="009C6D60" w:rsidRPr="008F5BA3" w:rsidRDefault="009C6D60" w:rsidP="0078769C">
            <w:pPr>
              <w:spacing w:before="60" w:after="60" w:line="240" w:lineRule="auto"/>
              <w:rPr>
                <w:rFonts w:cs="Times New Roman"/>
                <w:sz w:val="20"/>
                <w:szCs w:val="24"/>
              </w:rPr>
            </w:pPr>
            <w:r w:rsidRPr="008F5BA3">
              <w:rPr>
                <w:rFonts w:cs="Times New Roman"/>
                <w:sz w:val="20"/>
                <w:szCs w:val="24"/>
              </w:rPr>
              <w:t xml:space="preserve">Účelové prostředky celkem: r. 2015 – </w:t>
            </w:r>
            <w:proofErr w:type="gramStart"/>
            <w:r w:rsidR="00ED769D">
              <w:rPr>
                <w:rFonts w:cs="Times New Roman"/>
                <w:sz w:val="20"/>
                <w:szCs w:val="24"/>
              </w:rPr>
              <w:t>93,4</w:t>
            </w:r>
            <w:r>
              <w:rPr>
                <w:rFonts w:cs="Times New Roman"/>
                <w:sz w:val="20"/>
                <w:szCs w:val="24"/>
              </w:rPr>
              <w:t xml:space="preserve"> </w:t>
            </w:r>
            <w:r w:rsidRPr="008F5BA3">
              <w:rPr>
                <w:rFonts w:cs="Times New Roman"/>
                <w:sz w:val="20"/>
                <w:szCs w:val="24"/>
              </w:rPr>
              <w:t xml:space="preserve"> mil.</w:t>
            </w:r>
            <w:proofErr w:type="gramEnd"/>
            <w:r w:rsidRPr="008F5BA3">
              <w:rPr>
                <w:rFonts w:cs="Times New Roman"/>
                <w:sz w:val="20"/>
                <w:szCs w:val="24"/>
              </w:rPr>
              <w:t xml:space="preserve"> Kč, r. 2016 - </w:t>
            </w:r>
            <w:r w:rsidR="008A1912">
              <w:rPr>
                <w:rFonts w:cs="Times New Roman"/>
                <w:sz w:val="20"/>
                <w:szCs w:val="24"/>
              </w:rPr>
              <w:t xml:space="preserve">122 mil. Kč a celkový příjem z účelových prostředků </w:t>
            </w:r>
            <w:r w:rsidRPr="008F5BA3">
              <w:rPr>
                <w:rFonts w:cs="Times New Roman"/>
                <w:sz w:val="20"/>
                <w:szCs w:val="24"/>
              </w:rPr>
              <w:t xml:space="preserve">za r. 2016-20 cca </w:t>
            </w:r>
            <w:r w:rsidR="00ED769D">
              <w:rPr>
                <w:rFonts w:cs="Times New Roman"/>
                <w:sz w:val="20"/>
                <w:szCs w:val="24"/>
              </w:rPr>
              <w:t>1768</w:t>
            </w:r>
            <w:r w:rsidRPr="008F5BA3">
              <w:rPr>
                <w:rFonts w:cs="Times New Roman"/>
                <w:sz w:val="20"/>
                <w:szCs w:val="24"/>
              </w:rPr>
              <w:t xml:space="preserve"> mil. Kč</w:t>
            </w:r>
          </w:p>
          <w:p w:rsidR="009C6D60" w:rsidRPr="008F5BA3" w:rsidRDefault="009C6D60" w:rsidP="008A1912">
            <w:pPr>
              <w:spacing w:before="60" w:after="60" w:line="240" w:lineRule="auto"/>
              <w:rPr>
                <w:rFonts w:cs="Times New Roman"/>
                <w:sz w:val="22"/>
                <w:szCs w:val="24"/>
              </w:rPr>
            </w:pPr>
            <w:r w:rsidRPr="008F5BA3">
              <w:rPr>
                <w:rFonts w:cs="Times New Roman"/>
                <w:sz w:val="20"/>
                <w:szCs w:val="24"/>
              </w:rPr>
              <w:t xml:space="preserve">Z toho NPU: r. 2016 - </w:t>
            </w:r>
            <w:r w:rsidR="00ED769D">
              <w:rPr>
                <w:rFonts w:cs="Times New Roman"/>
                <w:sz w:val="20"/>
                <w:szCs w:val="24"/>
              </w:rPr>
              <w:t>70</w:t>
            </w:r>
            <w:r w:rsidRPr="008F5BA3">
              <w:rPr>
                <w:rFonts w:cs="Times New Roman"/>
                <w:sz w:val="20"/>
                <w:szCs w:val="24"/>
              </w:rPr>
              <w:t xml:space="preserve"> mil. Kč a celkový příjem </w:t>
            </w:r>
            <w:bookmarkStart w:id="0" w:name="_GoBack"/>
            <w:bookmarkEnd w:id="0"/>
            <w:r w:rsidRPr="008F5BA3">
              <w:rPr>
                <w:rFonts w:cs="Times New Roman"/>
                <w:sz w:val="20"/>
                <w:szCs w:val="24"/>
              </w:rPr>
              <w:t xml:space="preserve">za r. 2016-20 cca </w:t>
            </w:r>
            <w:r w:rsidR="00ED769D">
              <w:rPr>
                <w:rFonts w:cs="Times New Roman"/>
                <w:sz w:val="20"/>
                <w:szCs w:val="24"/>
              </w:rPr>
              <w:t>475</w:t>
            </w:r>
            <w:r w:rsidRPr="008F5BA3">
              <w:rPr>
                <w:rFonts w:cs="Times New Roman"/>
                <w:sz w:val="20"/>
                <w:szCs w:val="24"/>
              </w:rPr>
              <w:t xml:space="preserve"> mil. Kč</w:t>
            </w:r>
          </w:p>
        </w:tc>
      </w:tr>
      <w:tr w:rsidR="009E437E" w:rsidTr="009C6D60">
        <w:tc>
          <w:tcPr>
            <w:tcW w:w="2133" w:type="dxa"/>
            <w:gridSpan w:val="2"/>
          </w:tcPr>
          <w:p w:rsidR="009E437E" w:rsidRPr="00AE72C5" w:rsidRDefault="009E437E" w:rsidP="009E437E">
            <w:pPr>
              <w:spacing w:before="60" w:after="60"/>
              <w:rPr>
                <w:rFonts w:ascii="Arial" w:hAnsi="Arial" w:cs="Arial"/>
                <w:b/>
                <w:sz w:val="20"/>
              </w:rPr>
            </w:pPr>
            <w:r>
              <w:rPr>
                <w:rFonts w:ascii="Arial" w:hAnsi="Arial" w:cs="Arial"/>
                <w:b/>
                <w:sz w:val="20"/>
              </w:rPr>
              <w:t>Monitorovací indikátory v období udržitelnosti</w:t>
            </w:r>
          </w:p>
        </w:tc>
        <w:tc>
          <w:tcPr>
            <w:tcW w:w="7473" w:type="dxa"/>
            <w:gridSpan w:val="4"/>
          </w:tcPr>
          <w:p w:rsidR="009E437E" w:rsidRDefault="006E2E2C" w:rsidP="00160C07">
            <w:pPr>
              <w:spacing w:before="60" w:after="60" w:line="240" w:lineRule="auto"/>
            </w:pPr>
            <w:r w:rsidRPr="006E2E2C">
              <w:rPr>
                <w:sz w:val="18"/>
              </w:rPr>
              <w:t>Centrum je ve výstavbě</w:t>
            </w:r>
            <w:r w:rsidR="00160C07">
              <w:rPr>
                <w:sz w:val="18"/>
              </w:rPr>
              <w:t xml:space="preserve">, </w:t>
            </w:r>
            <w:r>
              <w:rPr>
                <w:sz w:val="18"/>
              </w:rPr>
              <w:t>výzkumné týmy pracují na mateřských pracovištích AV ČR a UK.</w:t>
            </w:r>
          </w:p>
        </w:tc>
      </w:tr>
      <w:tr w:rsidR="00D2753C" w:rsidTr="009C6D60">
        <w:tc>
          <w:tcPr>
            <w:tcW w:w="2133" w:type="dxa"/>
            <w:gridSpan w:val="2"/>
          </w:tcPr>
          <w:p w:rsidR="00D2753C" w:rsidRDefault="009E437E" w:rsidP="009E437E">
            <w:pPr>
              <w:spacing w:before="60" w:after="60"/>
              <w:rPr>
                <w:rFonts w:ascii="Arial" w:hAnsi="Arial" w:cs="Arial"/>
                <w:b/>
                <w:sz w:val="20"/>
              </w:rPr>
            </w:pPr>
            <w:r>
              <w:rPr>
                <w:rFonts w:ascii="Arial" w:hAnsi="Arial" w:cs="Arial"/>
                <w:b/>
                <w:sz w:val="20"/>
              </w:rPr>
              <w:t>Hodnocení výzkumného centra</w:t>
            </w:r>
          </w:p>
        </w:tc>
        <w:tc>
          <w:tcPr>
            <w:tcW w:w="7473" w:type="dxa"/>
            <w:gridSpan w:val="4"/>
          </w:tcPr>
          <w:p w:rsidR="00D2753C" w:rsidRDefault="00160C07" w:rsidP="00160C07">
            <w:pPr>
              <w:spacing w:before="60" w:after="60" w:line="240" w:lineRule="auto"/>
              <w:rPr>
                <w:sz w:val="18"/>
              </w:rPr>
            </w:pPr>
            <w:r>
              <w:rPr>
                <w:sz w:val="18"/>
              </w:rPr>
              <w:t xml:space="preserve">Výzkumné programy </w:t>
            </w:r>
            <w:proofErr w:type="spellStart"/>
            <w:r>
              <w:rPr>
                <w:sz w:val="18"/>
              </w:rPr>
              <w:t>Biocevu</w:t>
            </w:r>
            <w:proofErr w:type="spellEnd"/>
            <w:r>
              <w:rPr>
                <w:sz w:val="18"/>
              </w:rPr>
              <w:t xml:space="preserve"> jsou orientovány do vybraných oblastí biotechnologií a biomedicíny. (funkční genetika, buněčná biologie a virologie, strukturní biologie a proteinové inženýrství, bio materiály, vývoj léčebných a diagnostických postupů. </w:t>
            </w:r>
          </w:p>
          <w:p w:rsidR="002972F3" w:rsidRPr="00160C07" w:rsidRDefault="002972F3" w:rsidP="002972F3">
            <w:pPr>
              <w:spacing w:before="60" w:after="60" w:line="240" w:lineRule="auto"/>
              <w:rPr>
                <w:sz w:val="18"/>
              </w:rPr>
            </w:pPr>
            <w:proofErr w:type="spellStart"/>
            <w:r>
              <w:rPr>
                <w:sz w:val="18"/>
              </w:rPr>
              <w:t>Biocev</w:t>
            </w:r>
            <w:proofErr w:type="spellEnd"/>
            <w:r>
              <w:rPr>
                <w:sz w:val="18"/>
              </w:rPr>
              <w:t xml:space="preserve"> je členem celoevropské sítě výzkumných infrastruktur, již v</w:t>
            </w:r>
            <w:r w:rsidRPr="002972F3">
              <w:rPr>
                <w:sz w:val="18"/>
              </w:rPr>
              <w:t xml:space="preserve"> roce 2010 se zapojil do konsorcia Euro-</w:t>
            </w:r>
            <w:proofErr w:type="spellStart"/>
            <w:r w:rsidRPr="002972F3">
              <w:rPr>
                <w:sz w:val="18"/>
              </w:rPr>
              <w:t>BioImaging</w:t>
            </w:r>
            <w:proofErr w:type="spellEnd"/>
            <w:r w:rsidRPr="002972F3">
              <w:rPr>
                <w:sz w:val="18"/>
              </w:rPr>
              <w:t xml:space="preserve"> a v červnu 2011 se </w:t>
            </w:r>
            <w:proofErr w:type="spellStart"/>
            <w:r w:rsidRPr="002972F3">
              <w:rPr>
                <w:sz w:val="18"/>
              </w:rPr>
              <w:t>B</w:t>
            </w:r>
            <w:r>
              <w:rPr>
                <w:sz w:val="18"/>
              </w:rPr>
              <w:t>iocev</w:t>
            </w:r>
            <w:proofErr w:type="spellEnd"/>
            <w:r w:rsidRPr="002972F3">
              <w:rPr>
                <w:sz w:val="18"/>
              </w:rPr>
              <w:t xml:space="preserve"> zapojil do sítě</w:t>
            </w:r>
            <w:r>
              <w:rPr>
                <w:sz w:val="18"/>
              </w:rPr>
              <w:t xml:space="preserve"> </w:t>
            </w:r>
            <w:r w:rsidRPr="002972F3">
              <w:rPr>
                <w:sz w:val="18"/>
              </w:rPr>
              <w:t xml:space="preserve"> </w:t>
            </w:r>
            <w:proofErr w:type="spellStart"/>
            <w:r w:rsidRPr="002972F3">
              <w:rPr>
                <w:sz w:val="18"/>
              </w:rPr>
              <w:t>Instruct</w:t>
            </w:r>
            <w:proofErr w:type="spellEnd"/>
            <w:r w:rsidRPr="002972F3">
              <w:rPr>
                <w:sz w:val="18"/>
              </w:rPr>
              <w:t xml:space="preserve"> – evropské infrastruktury pro i</w:t>
            </w:r>
            <w:r>
              <w:rPr>
                <w:sz w:val="18"/>
              </w:rPr>
              <w:t xml:space="preserve">ntegrovanou strukturní biologii, přímé kontakty má dále např. s </w:t>
            </w:r>
            <w:r w:rsidRPr="002972F3">
              <w:rPr>
                <w:sz w:val="18"/>
              </w:rPr>
              <w:t>ústav Max Planck v</w:t>
            </w:r>
            <w:r>
              <w:rPr>
                <w:sz w:val="18"/>
              </w:rPr>
              <w:t> </w:t>
            </w:r>
            <w:r w:rsidRPr="002972F3">
              <w:rPr>
                <w:sz w:val="18"/>
              </w:rPr>
              <w:t>Německu</w:t>
            </w:r>
            <w:r>
              <w:rPr>
                <w:sz w:val="18"/>
              </w:rPr>
              <w:t xml:space="preserve">,  </w:t>
            </w:r>
            <w:proofErr w:type="spellStart"/>
            <w:r>
              <w:rPr>
                <w:sz w:val="18"/>
              </w:rPr>
              <w:t>Pasteruovým</w:t>
            </w:r>
            <w:proofErr w:type="spellEnd"/>
            <w:r>
              <w:rPr>
                <w:sz w:val="18"/>
              </w:rPr>
              <w:t xml:space="preserve"> ústavem a obdobnými ústavy ve Velké Británii, Finsku, Německu, Rakousku, Polsku, Francii, </w:t>
            </w:r>
            <w:proofErr w:type="gramStart"/>
            <w:r>
              <w:rPr>
                <w:sz w:val="18"/>
              </w:rPr>
              <w:t>Itálii  apod.</w:t>
            </w:r>
            <w:proofErr w:type="gramEnd"/>
            <w:r>
              <w:rPr>
                <w:sz w:val="18"/>
              </w:rPr>
              <w:t xml:space="preserve"> </w:t>
            </w:r>
          </w:p>
        </w:tc>
      </w:tr>
      <w:tr w:rsidR="00D2753C" w:rsidTr="009C6D60">
        <w:tc>
          <w:tcPr>
            <w:tcW w:w="2133" w:type="dxa"/>
            <w:gridSpan w:val="2"/>
          </w:tcPr>
          <w:p w:rsidR="00D2753C" w:rsidRDefault="00D2753C" w:rsidP="000B7BB7">
            <w:pPr>
              <w:spacing w:before="60" w:after="60"/>
              <w:rPr>
                <w:rFonts w:ascii="Arial" w:hAnsi="Arial" w:cs="Arial"/>
                <w:b/>
                <w:sz w:val="20"/>
              </w:rPr>
            </w:pPr>
            <w:r>
              <w:rPr>
                <w:rFonts w:ascii="Arial" w:hAnsi="Arial" w:cs="Arial"/>
                <w:b/>
                <w:sz w:val="20"/>
              </w:rPr>
              <w:t>Poznatky z návštěvy týmu zmocněnce pro udržitelnost</w:t>
            </w:r>
          </w:p>
        </w:tc>
        <w:tc>
          <w:tcPr>
            <w:tcW w:w="7473" w:type="dxa"/>
            <w:gridSpan w:val="4"/>
          </w:tcPr>
          <w:p w:rsidR="006E2E2C" w:rsidRDefault="006E2E2C" w:rsidP="00DD26D3">
            <w:pPr>
              <w:spacing w:before="60" w:after="60" w:line="240" w:lineRule="auto"/>
              <w:rPr>
                <w:sz w:val="18"/>
              </w:rPr>
            </w:pPr>
            <w:r>
              <w:rPr>
                <w:sz w:val="18"/>
              </w:rPr>
              <w:t>Centrum v polovině března bylo ve stavu vnitřních stavebních úprav: instalace vzduchotechniky, elektroinstalace, podhledů, postupné vnější zateplování zdí objektů a jejich příprava pro montáž finální fasády. Na stavbě se pracuje ve dvanáctihodinových směnách a část pracovníků dodavatelských firem pracuje i o sobotách a nedělích. Ve spolupráci s obcí je řešeno rozšíření čističky odpadních vod a přístupové komunikace.</w:t>
            </w:r>
          </w:p>
          <w:p w:rsidR="00D2753C" w:rsidRDefault="006E2E2C" w:rsidP="00DD26D3">
            <w:pPr>
              <w:spacing w:before="60" w:after="60" w:line="240" w:lineRule="auto"/>
              <w:rPr>
                <w:sz w:val="18"/>
              </w:rPr>
            </w:pPr>
            <w:r>
              <w:rPr>
                <w:sz w:val="18"/>
              </w:rPr>
              <w:t xml:space="preserve">Dle harmonogramu výstavby by předání objektu k vybavení nábytkem a přístroji mělo proběhnout během prázdninových měsíců a září. </w:t>
            </w:r>
          </w:p>
          <w:p w:rsidR="006E2E2C" w:rsidRDefault="006E2E2C" w:rsidP="00DD26D3">
            <w:pPr>
              <w:spacing w:before="60" w:after="60" w:line="240" w:lineRule="auto"/>
              <w:rPr>
                <w:sz w:val="18"/>
              </w:rPr>
            </w:pPr>
            <w:r>
              <w:rPr>
                <w:sz w:val="18"/>
              </w:rPr>
              <w:t xml:space="preserve">Zbývající čtvrtletí roku je určeno k stěhování pracovníků do nových prostor, osvojení a zprovoznění centra a jeho přípravy do rutinního provozu. </w:t>
            </w:r>
          </w:p>
        </w:tc>
      </w:tr>
      <w:tr w:rsidR="00D2753C" w:rsidTr="009C6D60">
        <w:tc>
          <w:tcPr>
            <w:tcW w:w="2133" w:type="dxa"/>
            <w:gridSpan w:val="2"/>
          </w:tcPr>
          <w:p w:rsidR="00D2753C" w:rsidRDefault="00D2753C" w:rsidP="000B7BB7">
            <w:pPr>
              <w:spacing w:before="60" w:after="60"/>
              <w:rPr>
                <w:rFonts w:ascii="Arial" w:hAnsi="Arial" w:cs="Arial"/>
                <w:b/>
                <w:sz w:val="20"/>
              </w:rPr>
            </w:pPr>
            <w:r>
              <w:rPr>
                <w:rFonts w:ascii="Arial" w:hAnsi="Arial" w:cs="Arial"/>
                <w:b/>
                <w:sz w:val="20"/>
              </w:rPr>
              <w:t>Zařazení projektu do rizikové skupiny</w:t>
            </w:r>
            <w:r w:rsidR="00C43F6D">
              <w:rPr>
                <w:rFonts w:ascii="Arial" w:hAnsi="Arial" w:cs="Arial"/>
                <w:b/>
                <w:sz w:val="20"/>
              </w:rPr>
              <w:t xml:space="preserve"> z hlediska udržitelnosti</w:t>
            </w:r>
          </w:p>
        </w:tc>
        <w:tc>
          <w:tcPr>
            <w:tcW w:w="7473" w:type="dxa"/>
            <w:gridSpan w:val="4"/>
          </w:tcPr>
          <w:p w:rsidR="00D2753C" w:rsidRDefault="006E2E2C" w:rsidP="00DD26D3">
            <w:pPr>
              <w:spacing w:before="60" w:after="60" w:line="240" w:lineRule="auto"/>
              <w:rPr>
                <w:sz w:val="18"/>
              </w:rPr>
            </w:pPr>
            <w:r>
              <w:rPr>
                <w:sz w:val="18"/>
              </w:rPr>
              <w:t>C – zdůvodnění</w:t>
            </w:r>
          </w:p>
          <w:p w:rsidR="006E2E2C" w:rsidRPr="006E2E2C" w:rsidRDefault="006E2E2C" w:rsidP="006E2E2C">
            <w:pPr>
              <w:pStyle w:val="Odstavecseseznamem"/>
              <w:numPr>
                <w:ilvl w:val="0"/>
                <w:numId w:val="25"/>
              </w:numPr>
              <w:spacing w:before="60" w:after="60" w:line="240" w:lineRule="auto"/>
              <w:rPr>
                <w:sz w:val="18"/>
              </w:rPr>
            </w:pPr>
            <w:r>
              <w:rPr>
                <w:sz w:val="18"/>
              </w:rPr>
              <w:t>Centrum není dostavěno, s převedením do rutinního provozu se počítá v samém záměru roku.</w:t>
            </w:r>
          </w:p>
        </w:tc>
      </w:tr>
      <w:tr w:rsidR="00D2753C" w:rsidTr="009C6D60">
        <w:tc>
          <w:tcPr>
            <w:tcW w:w="2133" w:type="dxa"/>
            <w:gridSpan w:val="2"/>
          </w:tcPr>
          <w:p w:rsidR="00D2753C" w:rsidRDefault="00D2753C" w:rsidP="000B7BB7">
            <w:pPr>
              <w:spacing w:before="60" w:after="60"/>
              <w:rPr>
                <w:rFonts w:ascii="Arial" w:hAnsi="Arial" w:cs="Arial"/>
                <w:b/>
                <w:sz w:val="20"/>
              </w:rPr>
            </w:pPr>
            <w:r>
              <w:rPr>
                <w:rFonts w:ascii="Arial" w:hAnsi="Arial" w:cs="Arial"/>
                <w:b/>
                <w:sz w:val="20"/>
              </w:rPr>
              <w:t>Poznámka</w:t>
            </w:r>
          </w:p>
        </w:tc>
        <w:tc>
          <w:tcPr>
            <w:tcW w:w="7473" w:type="dxa"/>
            <w:gridSpan w:val="4"/>
          </w:tcPr>
          <w:p w:rsidR="00D2753C" w:rsidRDefault="00D2753C" w:rsidP="00DD26D3">
            <w:pPr>
              <w:spacing w:before="60" w:after="60" w:line="240" w:lineRule="auto"/>
              <w:rPr>
                <w:sz w:val="18"/>
              </w:rPr>
            </w:pPr>
          </w:p>
        </w:tc>
      </w:tr>
    </w:tbl>
    <w:p w:rsidR="00A7545D" w:rsidRDefault="00A7545D"/>
    <w:sectPr w:rsidR="00A754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FD9" w:rsidRDefault="006B5FD9" w:rsidP="00450F88">
      <w:pPr>
        <w:spacing w:after="0" w:line="240" w:lineRule="auto"/>
      </w:pPr>
      <w:r>
        <w:separator/>
      </w:r>
    </w:p>
  </w:endnote>
  <w:endnote w:type="continuationSeparator" w:id="0">
    <w:p w:rsidR="006B5FD9" w:rsidRDefault="006B5FD9" w:rsidP="00450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charset w:val="EE"/>
    <w:family w:val="swiss"/>
    <w:pitch w:val="variable"/>
    <w:sig w:usb0="A00002EF" w:usb1="4000207B" w:usb2="00000000" w:usb3="00000000" w:csb0="0000019F" w:csb1="00000000"/>
  </w:font>
  <w:font w:name="Aharoni">
    <w:panose1 w:val="02010803020104030203"/>
    <w:charset w:val="B1"/>
    <w:family w:val="auto"/>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FD9" w:rsidRDefault="006B5FD9" w:rsidP="00450F88">
      <w:pPr>
        <w:spacing w:after="0" w:line="240" w:lineRule="auto"/>
      </w:pPr>
      <w:r>
        <w:separator/>
      </w:r>
    </w:p>
  </w:footnote>
  <w:footnote w:type="continuationSeparator" w:id="0">
    <w:p w:rsidR="006B5FD9" w:rsidRDefault="006B5FD9" w:rsidP="00450F88">
      <w:pPr>
        <w:spacing w:after="0" w:line="240" w:lineRule="auto"/>
      </w:pPr>
      <w:r>
        <w:continuationSeparator/>
      </w:r>
    </w:p>
  </w:footnote>
  <w:footnote w:id="1">
    <w:p w:rsidR="00450F88" w:rsidRDefault="00450F88" w:rsidP="00450F88">
      <w:pPr>
        <w:pStyle w:val="Textpoznpodarou"/>
      </w:pPr>
      <w:r>
        <w:rPr>
          <w:rStyle w:val="Znakapoznpodarou"/>
        </w:rPr>
        <w:footnoteRef/>
      </w:r>
      <w:r w:rsidRPr="001E4D78">
        <w:rPr>
          <w:sz w:val="18"/>
          <w:szCs w:val="18"/>
        </w:rPr>
        <w:t>Jako méně závažná podstatná změna se bude posuzovat pouze časový údaj (s přesností na čtvrtletí), nikoliv věcná charakteristika milníku.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D7A"/>
    <w:multiLevelType w:val="hybridMultilevel"/>
    <w:tmpl w:val="10866436"/>
    <w:lvl w:ilvl="0" w:tplc="079A0076">
      <w:start w:val="1"/>
      <w:numFmt w:val="bullet"/>
      <w:pStyle w:val="Odrka2"/>
      <w:lvlText w:val="o"/>
      <w:lvlJc w:val="left"/>
      <w:pPr>
        <w:ind w:left="2120" w:hanging="360"/>
      </w:pPr>
      <w:rPr>
        <w:rFonts w:ascii="Courier New" w:hAnsi="Courier New" w:cs="Courier New" w:hint="default"/>
      </w:rPr>
    </w:lvl>
    <w:lvl w:ilvl="1" w:tplc="04050003" w:tentative="1">
      <w:start w:val="1"/>
      <w:numFmt w:val="bullet"/>
      <w:lvlText w:val="o"/>
      <w:lvlJc w:val="left"/>
      <w:pPr>
        <w:ind w:left="2840" w:hanging="360"/>
      </w:pPr>
      <w:rPr>
        <w:rFonts w:ascii="Courier New" w:hAnsi="Courier New" w:cs="Courier New" w:hint="default"/>
      </w:rPr>
    </w:lvl>
    <w:lvl w:ilvl="2" w:tplc="04050005" w:tentative="1">
      <w:start w:val="1"/>
      <w:numFmt w:val="bullet"/>
      <w:lvlText w:val=""/>
      <w:lvlJc w:val="left"/>
      <w:pPr>
        <w:ind w:left="3560" w:hanging="360"/>
      </w:pPr>
      <w:rPr>
        <w:rFonts w:ascii="Wingdings" w:hAnsi="Wingdings" w:hint="default"/>
      </w:rPr>
    </w:lvl>
    <w:lvl w:ilvl="3" w:tplc="04050001" w:tentative="1">
      <w:start w:val="1"/>
      <w:numFmt w:val="bullet"/>
      <w:lvlText w:val=""/>
      <w:lvlJc w:val="left"/>
      <w:pPr>
        <w:ind w:left="4280" w:hanging="360"/>
      </w:pPr>
      <w:rPr>
        <w:rFonts w:ascii="Symbol" w:hAnsi="Symbol" w:hint="default"/>
      </w:rPr>
    </w:lvl>
    <w:lvl w:ilvl="4" w:tplc="04050003" w:tentative="1">
      <w:start w:val="1"/>
      <w:numFmt w:val="bullet"/>
      <w:lvlText w:val="o"/>
      <w:lvlJc w:val="left"/>
      <w:pPr>
        <w:ind w:left="5000" w:hanging="360"/>
      </w:pPr>
      <w:rPr>
        <w:rFonts w:ascii="Courier New" w:hAnsi="Courier New" w:cs="Courier New" w:hint="default"/>
      </w:rPr>
    </w:lvl>
    <w:lvl w:ilvl="5" w:tplc="04050005" w:tentative="1">
      <w:start w:val="1"/>
      <w:numFmt w:val="bullet"/>
      <w:lvlText w:val=""/>
      <w:lvlJc w:val="left"/>
      <w:pPr>
        <w:ind w:left="5720" w:hanging="360"/>
      </w:pPr>
      <w:rPr>
        <w:rFonts w:ascii="Wingdings" w:hAnsi="Wingdings" w:hint="default"/>
      </w:rPr>
    </w:lvl>
    <w:lvl w:ilvl="6" w:tplc="04050001" w:tentative="1">
      <w:start w:val="1"/>
      <w:numFmt w:val="bullet"/>
      <w:lvlText w:val=""/>
      <w:lvlJc w:val="left"/>
      <w:pPr>
        <w:ind w:left="6440" w:hanging="360"/>
      </w:pPr>
      <w:rPr>
        <w:rFonts w:ascii="Symbol" w:hAnsi="Symbol" w:hint="default"/>
      </w:rPr>
    </w:lvl>
    <w:lvl w:ilvl="7" w:tplc="04050003" w:tentative="1">
      <w:start w:val="1"/>
      <w:numFmt w:val="bullet"/>
      <w:lvlText w:val="o"/>
      <w:lvlJc w:val="left"/>
      <w:pPr>
        <w:ind w:left="7160" w:hanging="360"/>
      </w:pPr>
      <w:rPr>
        <w:rFonts w:ascii="Courier New" w:hAnsi="Courier New" w:cs="Courier New" w:hint="default"/>
      </w:rPr>
    </w:lvl>
    <w:lvl w:ilvl="8" w:tplc="04050005" w:tentative="1">
      <w:start w:val="1"/>
      <w:numFmt w:val="bullet"/>
      <w:lvlText w:val=""/>
      <w:lvlJc w:val="left"/>
      <w:pPr>
        <w:ind w:left="7880" w:hanging="360"/>
      </w:pPr>
      <w:rPr>
        <w:rFonts w:ascii="Wingdings" w:hAnsi="Wingdings" w:hint="default"/>
      </w:rPr>
    </w:lvl>
  </w:abstractNum>
  <w:abstractNum w:abstractNumId="1">
    <w:nsid w:val="0F0C6B0C"/>
    <w:multiLevelType w:val="hybridMultilevel"/>
    <w:tmpl w:val="E4BA361A"/>
    <w:lvl w:ilvl="0" w:tplc="8CC27CC4">
      <w:start w:val="1"/>
      <w:numFmt w:val="bullet"/>
      <w:lvlText w:val="-"/>
      <w:lvlJc w:val="left"/>
      <w:pPr>
        <w:ind w:left="905" w:hanging="360"/>
      </w:pPr>
      <w:rPr>
        <w:rFonts w:ascii="Calibri" w:hAnsi="Calibri" w:hint="default"/>
      </w:rPr>
    </w:lvl>
    <w:lvl w:ilvl="1" w:tplc="04050003" w:tentative="1">
      <w:start w:val="1"/>
      <w:numFmt w:val="bullet"/>
      <w:lvlText w:val="o"/>
      <w:lvlJc w:val="left"/>
      <w:pPr>
        <w:ind w:left="1625" w:hanging="360"/>
      </w:pPr>
      <w:rPr>
        <w:rFonts w:ascii="Courier New" w:hAnsi="Courier New" w:cs="Courier New" w:hint="default"/>
      </w:rPr>
    </w:lvl>
    <w:lvl w:ilvl="2" w:tplc="04050005" w:tentative="1">
      <w:start w:val="1"/>
      <w:numFmt w:val="bullet"/>
      <w:lvlText w:val=""/>
      <w:lvlJc w:val="left"/>
      <w:pPr>
        <w:ind w:left="2345" w:hanging="360"/>
      </w:pPr>
      <w:rPr>
        <w:rFonts w:ascii="Wingdings" w:hAnsi="Wingdings" w:hint="default"/>
      </w:rPr>
    </w:lvl>
    <w:lvl w:ilvl="3" w:tplc="04050001" w:tentative="1">
      <w:start w:val="1"/>
      <w:numFmt w:val="bullet"/>
      <w:lvlText w:val=""/>
      <w:lvlJc w:val="left"/>
      <w:pPr>
        <w:ind w:left="3065" w:hanging="360"/>
      </w:pPr>
      <w:rPr>
        <w:rFonts w:ascii="Symbol" w:hAnsi="Symbol" w:hint="default"/>
      </w:rPr>
    </w:lvl>
    <w:lvl w:ilvl="4" w:tplc="04050003" w:tentative="1">
      <w:start w:val="1"/>
      <w:numFmt w:val="bullet"/>
      <w:lvlText w:val="o"/>
      <w:lvlJc w:val="left"/>
      <w:pPr>
        <w:ind w:left="3785" w:hanging="360"/>
      </w:pPr>
      <w:rPr>
        <w:rFonts w:ascii="Courier New" w:hAnsi="Courier New" w:cs="Courier New" w:hint="default"/>
      </w:rPr>
    </w:lvl>
    <w:lvl w:ilvl="5" w:tplc="04050005" w:tentative="1">
      <w:start w:val="1"/>
      <w:numFmt w:val="bullet"/>
      <w:lvlText w:val=""/>
      <w:lvlJc w:val="left"/>
      <w:pPr>
        <w:ind w:left="4505" w:hanging="360"/>
      </w:pPr>
      <w:rPr>
        <w:rFonts w:ascii="Wingdings" w:hAnsi="Wingdings" w:hint="default"/>
      </w:rPr>
    </w:lvl>
    <w:lvl w:ilvl="6" w:tplc="04050001" w:tentative="1">
      <w:start w:val="1"/>
      <w:numFmt w:val="bullet"/>
      <w:lvlText w:val=""/>
      <w:lvlJc w:val="left"/>
      <w:pPr>
        <w:ind w:left="5225" w:hanging="360"/>
      </w:pPr>
      <w:rPr>
        <w:rFonts w:ascii="Symbol" w:hAnsi="Symbol" w:hint="default"/>
      </w:rPr>
    </w:lvl>
    <w:lvl w:ilvl="7" w:tplc="04050003" w:tentative="1">
      <w:start w:val="1"/>
      <w:numFmt w:val="bullet"/>
      <w:lvlText w:val="o"/>
      <w:lvlJc w:val="left"/>
      <w:pPr>
        <w:ind w:left="5945" w:hanging="360"/>
      </w:pPr>
      <w:rPr>
        <w:rFonts w:ascii="Courier New" w:hAnsi="Courier New" w:cs="Courier New" w:hint="default"/>
      </w:rPr>
    </w:lvl>
    <w:lvl w:ilvl="8" w:tplc="04050005" w:tentative="1">
      <w:start w:val="1"/>
      <w:numFmt w:val="bullet"/>
      <w:lvlText w:val=""/>
      <w:lvlJc w:val="left"/>
      <w:pPr>
        <w:ind w:left="6665" w:hanging="360"/>
      </w:pPr>
      <w:rPr>
        <w:rFonts w:ascii="Wingdings" w:hAnsi="Wingdings" w:hint="default"/>
      </w:rPr>
    </w:lvl>
  </w:abstractNum>
  <w:abstractNum w:abstractNumId="2">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3">
    <w:nsid w:val="41E8300D"/>
    <w:multiLevelType w:val="hybridMultilevel"/>
    <w:tmpl w:val="4A7CF9C0"/>
    <w:lvl w:ilvl="0" w:tplc="CE5C2BD8">
      <w:start w:val="1"/>
      <w:numFmt w:val="bullet"/>
      <w:pStyle w:val="Odrka5"/>
      <w:lvlText w:val=""/>
      <w:lvlJc w:val="left"/>
      <w:pPr>
        <w:ind w:left="1381"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4">
    <w:nsid w:val="4FBA54EF"/>
    <w:multiLevelType w:val="hybridMultilevel"/>
    <w:tmpl w:val="1C707DB2"/>
    <w:lvl w:ilvl="0" w:tplc="D2D0FFEC">
      <w:start w:val="1"/>
      <w:numFmt w:val="decimal"/>
      <w:pStyle w:val="Nadpis9"/>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518A6B26"/>
    <w:multiLevelType w:val="hybridMultilevel"/>
    <w:tmpl w:val="D3B09364"/>
    <w:lvl w:ilvl="0" w:tplc="AA003F68">
      <w:start w:val="1"/>
      <w:numFmt w:val="decimal"/>
      <w:pStyle w:val="Nadpis8"/>
      <w:lvlText w:val="2.%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24F6AD3"/>
    <w:multiLevelType w:val="hybridMultilevel"/>
    <w:tmpl w:val="375293FE"/>
    <w:lvl w:ilvl="0" w:tplc="448880D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52B6462E"/>
    <w:multiLevelType w:val="multilevel"/>
    <w:tmpl w:val="9E025F20"/>
    <w:lvl w:ilvl="0">
      <w:start w:val="1"/>
      <w:numFmt w:val="decimal"/>
      <w:pStyle w:val="Textodstavce"/>
      <w:isLgl/>
      <w:lvlText w:val="(%1)"/>
      <w:lvlJc w:val="left"/>
      <w:pPr>
        <w:tabs>
          <w:tab w:val="num" w:pos="785"/>
        </w:tabs>
        <w:ind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5F797848"/>
    <w:multiLevelType w:val="hybridMultilevel"/>
    <w:tmpl w:val="895E6DF4"/>
    <w:lvl w:ilvl="0" w:tplc="0680E0DA">
      <w:start w:val="1"/>
      <w:numFmt w:val="decimal"/>
      <w:pStyle w:val="Nadpis7"/>
      <w:lvlText w:val="2.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3D0727D"/>
    <w:multiLevelType w:val="hybridMultilevel"/>
    <w:tmpl w:val="3DEE4B6E"/>
    <w:lvl w:ilvl="0" w:tplc="B3A2C594">
      <w:start w:val="1"/>
      <w:numFmt w:val="bullet"/>
      <w:pStyle w:val="Odrka3"/>
      <w:lvlText w:val="□"/>
      <w:lvlJc w:val="left"/>
      <w:pPr>
        <w:ind w:left="1381" w:hanging="360"/>
      </w:pPr>
      <w:rPr>
        <w:rFonts w:ascii="Calibri" w:hAnsi="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nsid w:val="655E2316"/>
    <w:multiLevelType w:val="hybridMultilevel"/>
    <w:tmpl w:val="D61EE7AE"/>
    <w:lvl w:ilvl="0" w:tplc="C4F0B72E">
      <w:start w:val="1"/>
      <w:numFmt w:val="bullet"/>
      <w:pStyle w:val="Odrka4"/>
      <w:lvlText w:val=""/>
      <w:lvlJc w:val="left"/>
      <w:pPr>
        <w:ind w:left="1381"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65E26814"/>
    <w:multiLevelType w:val="hybridMultilevel"/>
    <w:tmpl w:val="29725B18"/>
    <w:lvl w:ilvl="0" w:tplc="D63C6AD6">
      <w:start w:val="1"/>
      <w:numFmt w:val="bullet"/>
      <w:pStyle w:val="Odrka1-"/>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4DE4122"/>
    <w:multiLevelType w:val="hybridMultilevel"/>
    <w:tmpl w:val="DE367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9742B48"/>
    <w:multiLevelType w:val="hybridMultilevel"/>
    <w:tmpl w:val="68C24DE4"/>
    <w:lvl w:ilvl="0" w:tplc="A3F4522C">
      <w:start w:val="2"/>
      <w:numFmt w:val="bullet"/>
      <w:pStyle w:val="Odrka-"/>
      <w:lvlText w:val="-"/>
      <w:lvlJc w:val="left"/>
      <w:pPr>
        <w:ind w:left="1400" w:hanging="360"/>
      </w:pPr>
      <w:rPr>
        <w:rFonts w:ascii="Times New Roman" w:eastAsia="Times New Roman" w:hAnsi="Times New Roman"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6"/>
  </w:num>
  <w:num w:numId="2">
    <w:abstractNumId w:val="7"/>
  </w:num>
  <w:num w:numId="3">
    <w:abstractNumId w:val="2"/>
  </w:num>
  <w:num w:numId="4">
    <w:abstractNumId w:val="7"/>
  </w:num>
  <w:num w:numId="5">
    <w:abstractNumId w:val="7"/>
  </w:num>
  <w:num w:numId="6">
    <w:abstractNumId w:val="0"/>
  </w:num>
  <w:num w:numId="7">
    <w:abstractNumId w:val="9"/>
  </w:num>
  <w:num w:numId="8">
    <w:abstractNumId w:val="10"/>
  </w:num>
  <w:num w:numId="9">
    <w:abstractNumId w:val="3"/>
  </w:num>
  <w:num w:numId="10">
    <w:abstractNumId w:val="11"/>
  </w:num>
  <w:num w:numId="11">
    <w:abstractNumId w:val="8"/>
  </w:num>
  <w:num w:numId="12">
    <w:abstractNumId w:val="5"/>
  </w:num>
  <w:num w:numId="13">
    <w:abstractNumId w:val="4"/>
  </w:num>
  <w:num w:numId="14">
    <w:abstractNumId w:val="7"/>
  </w:num>
  <w:num w:numId="15">
    <w:abstractNumId w:val="2"/>
  </w:num>
  <w:num w:numId="16">
    <w:abstractNumId w:val="7"/>
  </w:num>
  <w:num w:numId="17">
    <w:abstractNumId w:val="7"/>
  </w:num>
  <w:num w:numId="18">
    <w:abstractNumId w:val="13"/>
  </w:num>
  <w:num w:numId="19">
    <w:abstractNumId w:val="0"/>
  </w:num>
  <w:num w:numId="20">
    <w:abstractNumId w:val="9"/>
  </w:num>
  <w:num w:numId="21">
    <w:abstractNumId w:val="10"/>
  </w:num>
  <w:num w:numId="22">
    <w:abstractNumId w:val="3"/>
  </w:num>
  <w:num w:numId="23">
    <w:abstractNumId w:val="11"/>
  </w:num>
  <w:num w:numId="24">
    <w:abstractNumId w:val="12"/>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2C5"/>
    <w:rsid w:val="00002DBE"/>
    <w:rsid w:val="0004245B"/>
    <w:rsid w:val="0005178F"/>
    <w:rsid w:val="000A69DE"/>
    <w:rsid w:val="000B7BB7"/>
    <w:rsid w:val="000F0945"/>
    <w:rsid w:val="0010270A"/>
    <w:rsid w:val="00160C07"/>
    <w:rsid w:val="0018459D"/>
    <w:rsid w:val="001845D5"/>
    <w:rsid w:val="001B09DB"/>
    <w:rsid w:val="001B2134"/>
    <w:rsid w:val="00235AE1"/>
    <w:rsid w:val="0027150F"/>
    <w:rsid w:val="002972F3"/>
    <w:rsid w:val="002A102B"/>
    <w:rsid w:val="002B4A3E"/>
    <w:rsid w:val="002C69A4"/>
    <w:rsid w:val="003A7879"/>
    <w:rsid w:val="0040544F"/>
    <w:rsid w:val="00431B1E"/>
    <w:rsid w:val="00450F88"/>
    <w:rsid w:val="004B6147"/>
    <w:rsid w:val="004C4832"/>
    <w:rsid w:val="004D6F6B"/>
    <w:rsid w:val="004F562A"/>
    <w:rsid w:val="00500997"/>
    <w:rsid w:val="0052281E"/>
    <w:rsid w:val="00526313"/>
    <w:rsid w:val="00595603"/>
    <w:rsid w:val="005B245F"/>
    <w:rsid w:val="005D613D"/>
    <w:rsid w:val="005F27AE"/>
    <w:rsid w:val="00601A2D"/>
    <w:rsid w:val="00616641"/>
    <w:rsid w:val="00686EA8"/>
    <w:rsid w:val="006963BC"/>
    <w:rsid w:val="006B5FD9"/>
    <w:rsid w:val="006E2E2C"/>
    <w:rsid w:val="007011BD"/>
    <w:rsid w:val="00727F05"/>
    <w:rsid w:val="00733E14"/>
    <w:rsid w:val="00737A93"/>
    <w:rsid w:val="00742563"/>
    <w:rsid w:val="00774A9C"/>
    <w:rsid w:val="007A62D7"/>
    <w:rsid w:val="0081225A"/>
    <w:rsid w:val="0081392A"/>
    <w:rsid w:val="008146D9"/>
    <w:rsid w:val="008353DD"/>
    <w:rsid w:val="00851BA1"/>
    <w:rsid w:val="008A1912"/>
    <w:rsid w:val="009360DE"/>
    <w:rsid w:val="009372B3"/>
    <w:rsid w:val="009C6D60"/>
    <w:rsid w:val="009D000F"/>
    <w:rsid w:val="009E437E"/>
    <w:rsid w:val="00A0019C"/>
    <w:rsid w:val="00A431A3"/>
    <w:rsid w:val="00A71305"/>
    <w:rsid w:val="00A74241"/>
    <w:rsid w:val="00A7545D"/>
    <w:rsid w:val="00AA442B"/>
    <w:rsid w:val="00AD65D3"/>
    <w:rsid w:val="00AE72C5"/>
    <w:rsid w:val="00AF6EBB"/>
    <w:rsid w:val="00B07516"/>
    <w:rsid w:val="00B27F57"/>
    <w:rsid w:val="00B31B5B"/>
    <w:rsid w:val="00BD1371"/>
    <w:rsid w:val="00C217DD"/>
    <w:rsid w:val="00C43F6D"/>
    <w:rsid w:val="00C56390"/>
    <w:rsid w:val="00C92258"/>
    <w:rsid w:val="00CC6243"/>
    <w:rsid w:val="00D03FD2"/>
    <w:rsid w:val="00D2753C"/>
    <w:rsid w:val="00D81C48"/>
    <w:rsid w:val="00DA6654"/>
    <w:rsid w:val="00DA7033"/>
    <w:rsid w:val="00DD26D3"/>
    <w:rsid w:val="00E05352"/>
    <w:rsid w:val="00E20092"/>
    <w:rsid w:val="00E43C3D"/>
    <w:rsid w:val="00E71CB7"/>
    <w:rsid w:val="00EB4F15"/>
    <w:rsid w:val="00EC3BBE"/>
    <w:rsid w:val="00ED1D38"/>
    <w:rsid w:val="00ED769D"/>
    <w:rsid w:val="00EE2A12"/>
    <w:rsid w:val="00F0067F"/>
    <w:rsid w:val="00F34368"/>
    <w:rsid w:val="00F74C5F"/>
    <w:rsid w:val="00F84BEB"/>
    <w:rsid w:val="00F9010E"/>
    <w:rsid w:val="00FA0F95"/>
    <w:rsid w:val="00FD37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uiPriority w:val="99"/>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uiPriority w:val="99"/>
    <w:rsid w:val="009372B3"/>
    <w:rPr>
      <w:rFonts w:eastAsia="Times New Roman"/>
    </w:rPr>
  </w:style>
  <w:style w:type="character" w:customStyle="1" w:styleId="TextpoznpodarouChar">
    <w:name w:val="Text pozn. pod čarou Char"/>
    <w:link w:val="Textpoznpodarou"/>
    <w:uiPriority w:val="99"/>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aliases w:val="EN Footnote Reference"/>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My Style 1,List Paragraph1"/>
    <w:basedOn w:val="Normln"/>
    <w:link w:val="OdstavecseseznamemChar"/>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uiPriority w:val="10"/>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unhideWhenUsed/>
    <w:rsid w:val="00E43C3D"/>
    <w:rPr>
      <w:sz w:val="16"/>
      <w:szCs w:val="16"/>
    </w:rPr>
  </w:style>
  <w:style w:type="paragraph" w:styleId="Textkomente">
    <w:name w:val="annotation text"/>
    <w:basedOn w:val="Normln"/>
    <w:link w:val="TextkomenteChar"/>
    <w:uiPriority w:val="99"/>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 w:type="character" w:customStyle="1" w:styleId="OdstavecseseznamemChar">
    <w:name w:val="Odstavec se seznamem Char"/>
    <w:aliases w:val="My Style 1 Char,List Paragraph1 Char"/>
    <w:link w:val="Odstavecseseznamem"/>
    <w:uiPriority w:val="34"/>
    <w:rsid w:val="004F562A"/>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uiPriority w:val="99"/>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uiPriority w:val="99"/>
    <w:rsid w:val="009372B3"/>
    <w:rPr>
      <w:rFonts w:eastAsia="Times New Roman"/>
    </w:rPr>
  </w:style>
  <w:style w:type="character" w:customStyle="1" w:styleId="TextpoznpodarouChar">
    <w:name w:val="Text pozn. pod čarou Char"/>
    <w:link w:val="Textpoznpodarou"/>
    <w:uiPriority w:val="99"/>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aliases w:val="EN Footnote Reference"/>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My Style 1,List Paragraph1"/>
    <w:basedOn w:val="Normln"/>
    <w:link w:val="OdstavecseseznamemChar"/>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uiPriority w:val="10"/>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unhideWhenUsed/>
    <w:rsid w:val="00E43C3D"/>
    <w:rPr>
      <w:sz w:val="16"/>
      <w:szCs w:val="16"/>
    </w:rPr>
  </w:style>
  <w:style w:type="paragraph" w:styleId="Textkomente">
    <w:name w:val="annotation text"/>
    <w:basedOn w:val="Normln"/>
    <w:link w:val="TextkomenteChar"/>
    <w:uiPriority w:val="99"/>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 w:type="character" w:customStyle="1" w:styleId="OdstavecseseznamemChar">
    <w:name w:val="Odstavec se seznamem Char"/>
    <w:aliases w:val="My Style 1 Char,List Paragraph1 Char"/>
    <w:link w:val="Odstavecseseznamem"/>
    <w:uiPriority w:val="34"/>
    <w:rsid w:val="004F562A"/>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02190">
      <w:bodyDiv w:val="1"/>
      <w:marLeft w:val="0"/>
      <w:marRight w:val="0"/>
      <w:marTop w:val="0"/>
      <w:marBottom w:val="0"/>
      <w:divBdr>
        <w:top w:val="none" w:sz="0" w:space="0" w:color="auto"/>
        <w:left w:val="none" w:sz="0" w:space="0" w:color="auto"/>
        <w:bottom w:val="none" w:sz="0" w:space="0" w:color="auto"/>
        <w:right w:val="none" w:sz="0" w:space="0" w:color="auto"/>
      </w:divBdr>
    </w:div>
    <w:div w:id="769813771">
      <w:bodyDiv w:val="1"/>
      <w:marLeft w:val="0"/>
      <w:marRight w:val="0"/>
      <w:marTop w:val="0"/>
      <w:marBottom w:val="0"/>
      <w:divBdr>
        <w:top w:val="none" w:sz="0" w:space="0" w:color="auto"/>
        <w:left w:val="none" w:sz="0" w:space="0" w:color="auto"/>
        <w:bottom w:val="none" w:sz="0" w:space="0" w:color="auto"/>
        <w:right w:val="none" w:sz="0" w:space="0" w:color="auto"/>
      </w:divBdr>
    </w:div>
    <w:div w:id="1096900200">
      <w:bodyDiv w:val="1"/>
      <w:marLeft w:val="0"/>
      <w:marRight w:val="0"/>
      <w:marTop w:val="0"/>
      <w:marBottom w:val="0"/>
      <w:divBdr>
        <w:top w:val="none" w:sz="0" w:space="0" w:color="auto"/>
        <w:left w:val="none" w:sz="0" w:space="0" w:color="auto"/>
        <w:bottom w:val="none" w:sz="0" w:space="0" w:color="auto"/>
        <w:right w:val="none" w:sz="0" w:space="0" w:color="auto"/>
      </w:divBdr>
    </w:div>
    <w:div w:id="135484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0C072-0560-415A-897E-F5CCAB4AF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2412</Words>
  <Characters>14235</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VŠE</Company>
  <LinksUpToDate>false</LinksUpToDate>
  <CharactersWithSpaces>16614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Veber</dc:creator>
  <cp:lastModifiedBy>Veber Jaromír</cp:lastModifiedBy>
  <cp:revision>4</cp:revision>
  <dcterms:created xsi:type="dcterms:W3CDTF">2015-04-01T07:30:00Z</dcterms:created>
  <dcterms:modified xsi:type="dcterms:W3CDTF">2015-04-01T07:57:00Z</dcterms:modified>
</cp:coreProperties>
</file>