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6597A" w:rsidRDefault="001963AF">
      <w:pPr>
        <w:widowControl w:val="0"/>
        <w:spacing w:after="0"/>
      </w:pPr>
      <w:r>
        <w:rPr>
          <w:rFonts w:ascii="Arial" w:eastAsia="Arial" w:hAnsi="Arial" w:cs="Arial"/>
        </w:rPr>
        <w:t xml:space="preserve">Možné modely podpory dlouhodobé spolupráce akademické a podnikové sféry v rámci aplikovaného výzkumu klíčových </w:t>
      </w:r>
      <w:proofErr w:type="gramStart"/>
      <w:r>
        <w:rPr>
          <w:rFonts w:ascii="Arial" w:eastAsia="Arial" w:hAnsi="Arial" w:cs="Arial"/>
        </w:rPr>
        <w:t>oblastech</w:t>
      </w:r>
      <w:proofErr w:type="gramEnd"/>
    </w:p>
    <w:p w:rsidR="00F6597A" w:rsidRDefault="001963AF">
      <w:pPr>
        <w:widowControl w:val="0"/>
        <w:spacing w:after="0"/>
      </w:pPr>
      <w:r>
        <w:rPr>
          <w:rFonts w:ascii="Arial" w:eastAsia="Arial" w:hAnsi="Arial" w:cs="Arial"/>
        </w:rPr>
        <w:t>(pracovní popis)</w:t>
      </w:r>
    </w:p>
    <w:p w:rsidR="00F6597A" w:rsidRDefault="00F6597A">
      <w:pPr>
        <w:widowControl w:val="0"/>
        <w:spacing w:after="0"/>
      </w:pPr>
    </w:p>
    <w:tbl>
      <w:tblPr>
        <w:tblStyle w:val="a"/>
        <w:tblW w:w="1414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42"/>
        <w:gridCol w:w="3402"/>
        <w:gridCol w:w="3595"/>
        <w:gridCol w:w="3068"/>
        <w:gridCol w:w="2835"/>
      </w:tblGrid>
      <w:tr w:rsidR="00F6597A">
        <w:tc>
          <w:tcPr>
            <w:tcW w:w="1242" w:type="dxa"/>
            <w:shd w:val="clear" w:color="auto" w:fill="D9D9D9"/>
          </w:tcPr>
          <w:p w:rsidR="00F6597A" w:rsidRDefault="00F6597A">
            <w:pPr>
              <w:spacing w:before="60" w:after="60"/>
            </w:pPr>
          </w:p>
        </w:tc>
        <w:tc>
          <w:tcPr>
            <w:tcW w:w="3402" w:type="dxa"/>
            <w:shd w:val="clear" w:color="auto" w:fill="D9D9D9"/>
          </w:tcPr>
          <w:p w:rsidR="00F6597A" w:rsidRDefault="001963AF">
            <w:pPr>
              <w:spacing w:before="60" w:after="60"/>
              <w:jc w:val="center"/>
            </w:pPr>
            <w:r>
              <w:rPr>
                <w:rFonts w:ascii="Cambria" w:eastAsia="Cambria" w:hAnsi="Cambria" w:cs="Cambria"/>
                <w:sz w:val="20"/>
                <w:szCs w:val="20"/>
              </w:rPr>
              <w:t>Model 1</w:t>
            </w:r>
          </w:p>
          <w:p w:rsidR="00F6597A" w:rsidRDefault="001963AF">
            <w:pPr>
              <w:spacing w:before="60" w:after="60"/>
              <w:jc w:val="center"/>
            </w:pPr>
            <w:r>
              <w:rPr>
                <w:rFonts w:ascii="Cambria" w:eastAsia="Cambria" w:hAnsi="Cambria" w:cs="Cambria"/>
                <w:b/>
                <w:sz w:val="20"/>
                <w:szCs w:val="20"/>
              </w:rPr>
              <w:t>Program Národní centra kompetence (NCK)</w:t>
            </w:r>
          </w:p>
        </w:tc>
        <w:tc>
          <w:tcPr>
            <w:tcW w:w="3595" w:type="dxa"/>
            <w:shd w:val="clear" w:color="auto" w:fill="D9D9D9"/>
          </w:tcPr>
          <w:p w:rsidR="00F6597A" w:rsidRDefault="001963AF">
            <w:pPr>
              <w:spacing w:before="60" w:after="60"/>
              <w:jc w:val="center"/>
            </w:pPr>
            <w:r>
              <w:rPr>
                <w:rFonts w:ascii="Cambria" w:eastAsia="Cambria" w:hAnsi="Cambria" w:cs="Cambria"/>
                <w:sz w:val="20"/>
                <w:szCs w:val="20"/>
              </w:rPr>
              <w:t>Model 2</w:t>
            </w:r>
          </w:p>
          <w:p w:rsidR="00F6597A" w:rsidRDefault="001963AF">
            <w:pPr>
              <w:spacing w:before="60" w:after="60"/>
              <w:jc w:val="center"/>
            </w:pPr>
            <w:r>
              <w:rPr>
                <w:rFonts w:ascii="Cambria" w:eastAsia="Cambria" w:hAnsi="Cambria" w:cs="Cambria"/>
                <w:b/>
                <w:sz w:val="20"/>
                <w:szCs w:val="20"/>
              </w:rPr>
              <w:t>Christian Doppler</w:t>
            </w:r>
          </w:p>
        </w:tc>
        <w:tc>
          <w:tcPr>
            <w:tcW w:w="3068" w:type="dxa"/>
            <w:shd w:val="clear" w:color="auto" w:fill="D9D9D9"/>
          </w:tcPr>
          <w:p w:rsidR="00F6597A" w:rsidRDefault="001963AF">
            <w:pPr>
              <w:spacing w:before="60" w:after="60"/>
              <w:jc w:val="center"/>
            </w:pPr>
            <w:r>
              <w:rPr>
                <w:rFonts w:ascii="Cambria" w:eastAsia="Cambria" w:hAnsi="Cambria" w:cs="Cambria"/>
                <w:sz w:val="20"/>
                <w:szCs w:val="20"/>
              </w:rPr>
              <w:t>Model 3</w:t>
            </w:r>
          </w:p>
          <w:p w:rsidR="00F6597A" w:rsidRDefault="001963AF">
            <w:pPr>
              <w:spacing w:before="60" w:after="60"/>
              <w:jc w:val="center"/>
            </w:pPr>
            <w:proofErr w:type="spellStart"/>
            <w:r>
              <w:rPr>
                <w:rFonts w:ascii="Cambria" w:eastAsia="Cambria" w:hAnsi="Cambria" w:cs="Cambria"/>
                <w:b/>
                <w:sz w:val="20"/>
                <w:szCs w:val="20"/>
              </w:rPr>
              <w:t>Fraunhoferova</w:t>
            </w:r>
            <w:proofErr w:type="spellEnd"/>
            <w:r>
              <w:rPr>
                <w:rFonts w:ascii="Cambria" w:eastAsia="Cambria" w:hAnsi="Cambria" w:cs="Cambria"/>
                <w:b/>
                <w:sz w:val="20"/>
                <w:szCs w:val="20"/>
              </w:rPr>
              <w:t xml:space="preserve"> společnost</w:t>
            </w:r>
          </w:p>
          <w:p w:rsidR="00F6597A" w:rsidRDefault="001963AF">
            <w:pPr>
              <w:spacing w:before="60" w:after="60"/>
              <w:jc w:val="center"/>
            </w:pPr>
            <w:r>
              <w:rPr>
                <w:rFonts w:ascii="Cambria" w:eastAsia="Cambria" w:hAnsi="Cambria" w:cs="Cambria"/>
                <w:b/>
                <w:sz w:val="20"/>
                <w:szCs w:val="20"/>
              </w:rPr>
              <w:t>(</w:t>
            </w:r>
            <w:proofErr w:type="spellStart"/>
            <w:r>
              <w:rPr>
                <w:rFonts w:ascii="Cambria" w:eastAsia="Cambria" w:hAnsi="Cambria" w:cs="Cambria"/>
                <w:b/>
                <w:sz w:val="20"/>
                <w:szCs w:val="20"/>
              </w:rPr>
              <w:t>Fraunhofergesellschaft</w:t>
            </w:r>
            <w:proofErr w:type="spellEnd"/>
            <w:r>
              <w:rPr>
                <w:rFonts w:ascii="Cambria" w:eastAsia="Cambria" w:hAnsi="Cambria" w:cs="Cambria"/>
                <w:b/>
                <w:sz w:val="20"/>
                <w:szCs w:val="20"/>
              </w:rPr>
              <w:t>)</w:t>
            </w:r>
          </w:p>
          <w:p w:rsidR="00F6597A" w:rsidRDefault="001963AF">
            <w:pPr>
              <w:spacing w:before="60" w:after="60"/>
              <w:jc w:val="center"/>
            </w:pPr>
            <w:r>
              <w:rPr>
                <w:rFonts w:ascii="Cambria" w:eastAsia="Cambria" w:hAnsi="Cambria" w:cs="Cambria"/>
                <w:b/>
                <w:sz w:val="20"/>
                <w:szCs w:val="20"/>
              </w:rPr>
              <w:t>(</w:t>
            </w:r>
            <w:proofErr w:type="spellStart"/>
            <w:r>
              <w:rPr>
                <w:rFonts w:ascii="Cambria" w:eastAsia="Cambria" w:hAnsi="Cambria" w:cs="Cambria"/>
                <w:b/>
                <w:sz w:val="20"/>
                <w:szCs w:val="20"/>
              </w:rPr>
              <w:t>FhG</w:t>
            </w:r>
            <w:proofErr w:type="spellEnd"/>
            <w:r>
              <w:rPr>
                <w:rFonts w:ascii="Cambria" w:eastAsia="Cambria" w:hAnsi="Cambria" w:cs="Cambria"/>
                <w:b/>
                <w:sz w:val="20"/>
                <w:szCs w:val="20"/>
              </w:rPr>
              <w:t>)</w:t>
            </w:r>
          </w:p>
        </w:tc>
        <w:tc>
          <w:tcPr>
            <w:tcW w:w="2835" w:type="dxa"/>
            <w:shd w:val="clear" w:color="auto" w:fill="D9D9D9"/>
          </w:tcPr>
          <w:p w:rsidR="00F6597A" w:rsidRDefault="001963AF">
            <w:pPr>
              <w:spacing w:before="60" w:after="60"/>
              <w:jc w:val="center"/>
            </w:pPr>
            <w:r>
              <w:rPr>
                <w:rFonts w:ascii="Cambria" w:eastAsia="Cambria" w:hAnsi="Cambria" w:cs="Cambria"/>
                <w:sz w:val="20"/>
                <w:szCs w:val="20"/>
              </w:rPr>
              <w:t>Model 4</w:t>
            </w:r>
          </w:p>
          <w:p w:rsidR="00F6597A" w:rsidRDefault="001963AF">
            <w:pPr>
              <w:spacing w:before="60" w:after="60"/>
              <w:jc w:val="center"/>
            </w:pPr>
            <w:r>
              <w:rPr>
                <w:rFonts w:ascii="Cambria" w:eastAsia="Cambria" w:hAnsi="Cambria" w:cs="Cambria"/>
                <w:b/>
                <w:sz w:val="20"/>
                <w:szCs w:val="20"/>
              </w:rPr>
              <w:t>Výzkumné klastry</w:t>
            </w:r>
          </w:p>
          <w:p w:rsidR="00F6597A" w:rsidRDefault="001963AF">
            <w:pPr>
              <w:spacing w:before="60" w:after="60"/>
              <w:jc w:val="center"/>
            </w:pPr>
            <w:r>
              <w:rPr>
                <w:rFonts w:ascii="Cambria" w:eastAsia="Cambria" w:hAnsi="Cambria" w:cs="Cambria"/>
                <w:sz w:val="20"/>
                <w:szCs w:val="20"/>
              </w:rPr>
              <w:t>(dle vzoru Německa a Rakouska)</w:t>
            </w:r>
          </w:p>
        </w:tc>
      </w:tr>
      <w:tr w:rsidR="00F6597A">
        <w:tc>
          <w:tcPr>
            <w:tcW w:w="1242" w:type="dxa"/>
          </w:tcPr>
          <w:p w:rsidR="00F6597A" w:rsidRDefault="001963AF">
            <w:pPr>
              <w:spacing w:before="60" w:after="60"/>
            </w:pPr>
            <w:r>
              <w:rPr>
                <w:rFonts w:ascii="Cambria" w:eastAsia="Cambria" w:hAnsi="Cambria" w:cs="Cambria"/>
                <w:sz w:val="16"/>
                <w:szCs w:val="16"/>
              </w:rPr>
              <w:t>Záměr</w:t>
            </w:r>
          </w:p>
        </w:tc>
        <w:tc>
          <w:tcPr>
            <w:tcW w:w="3402" w:type="dxa"/>
          </w:tcPr>
          <w:p w:rsidR="00F6597A" w:rsidRDefault="001963AF">
            <w:pPr>
              <w:spacing w:before="60" w:after="60"/>
            </w:pPr>
            <w:r>
              <w:rPr>
                <w:rFonts w:ascii="Cambria" w:eastAsia="Cambria" w:hAnsi="Cambria" w:cs="Cambria"/>
                <w:sz w:val="16"/>
                <w:szCs w:val="16"/>
              </w:rPr>
              <w:t>Program je zaměřen na vznik cca 5 - 8 velkých komplexních průmyslově orientovaných center s mezinárodním přesahem a potenciálem přelomových inovací. Záměrem je také propojit dosud málo nebo vůbec nekomunikující odvětví (např. strojírenství s 3D tiskem apod</w:t>
            </w:r>
            <w:r>
              <w:rPr>
                <w:rFonts w:ascii="Cambria" w:eastAsia="Cambria" w:hAnsi="Cambria" w:cs="Cambria"/>
                <w:sz w:val="16"/>
                <w:szCs w:val="16"/>
              </w:rPr>
              <w:t xml:space="preserve">.). Dále by NCK měla zásadním způsobem zvýšit efektivitu výzkumu zvýšením interdisciplinarity, včetně zapojení společenskovědního výzkumu. Synergicky provázat již existující úspěšná centra, která vznikla za podpory TA ČR (Centra kompetence), GA ČR (Centra </w:t>
            </w:r>
            <w:r>
              <w:rPr>
                <w:rFonts w:ascii="Cambria" w:eastAsia="Cambria" w:hAnsi="Cambria" w:cs="Cambria"/>
                <w:sz w:val="16"/>
                <w:szCs w:val="16"/>
              </w:rPr>
              <w:t xml:space="preserve">excelence) a operačních programů (zejména tzv. </w:t>
            </w:r>
            <w:proofErr w:type="spellStart"/>
            <w:r>
              <w:rPr>
                <w:rFonts w:ascii="Cambria" w:eastAsia="Cambria" w:hAnsi="Cambria" w:cs="Cambria"/>
                <w:sz w:val="16"/>
                <w:szCs w:val="16"/>
              </w:rPr>
              <w:t>VaVpI</w:t>
            </w:r>
            <w:proofErr w:type="spellEnd"/>
            <w:r>
              <w:rPr>
                <w:rFonts w:ascii="Cambria" w:eastAsia="Cambria" w:hAnsi="Cambria" w:cs="Cambria"/>
                <w:sz w:val="16"/>
                <w:szCs w:val="16"/>
              </w:rPr>
              <w:t xml:space="preserve"> Centra) s dalšími výzkumnými centry a jednotkami do jednoho integrovaného systému. NCK by neměla být pouhým pokračováním stávajících Center kompetence. </w:t>
            </w:r>
          </w:p>
          <w:p w:rsidR="00F6597A" w:rsidRDefault="001963AF">
            <w:pPr>
              <w:spacing w:before="60" w:after="60"/>
            </w:pPr>
            <w:r>
              <w:rPr>
                <w:rFonts w:ascii="Cambria" w:eastAsia="Cambria" w:hAnsi="Cambria" w:cs="Cambria"/>
                <w:sz w:val="16"/>
                <w:szCs w:val="16"/>
              </w:rPr>
              <w:t xml:space="preserve">NCK by měla pokrýt prioritně požadavky průmyslu a </w:t>
            </w:r>
            <w:r>
              <w:rPr>
                <w:rFonts w:ascii="Cambria" w:eastAsia="Cambria" w:hAnsi="Cambria" w:cs="Cambria"/>
                <w:sz w:val="16"/>
                <w:szCs w:val="16"/>
              </w:rPr>
              <w:t>služeb v oblasti transferu technologií, prolomit bariéru spolupráce akademické komunity s aplikační sférou. NCK by měla mít schopnost mezinárodní spolupráce, opírající se o renomé zapojených osobností.</w:t>
            </w:r>
          </w:p>
        </w:tc>
        <w:tc>
          <w:tcPr>
            <w:tcW w:w="3595" w:type="dxa"/>
          </w:tcPr>
          <w:p w:rsidR="00F6597A" w:rsidRDefault="001963AF">
            <w:pPr>
              <w:spacing w:before="60" w:after="60"/>
            </w:pPr>
            <w:r>
              <w:rPr>
                <w:rFonts w:ascii="Cambria" w:eastAsia="Cambria" w:hAnsi="Cambria" w:cs="Cambria"/>
                <w:sz w:val="16"/>
                <w:szCs w:val="16"/>
              </w:rPr>
              <w:t>Spolupráce mezi inovativními firmami a vědci, konkrétn</w:t>
            </w:r>
            <w:r>
              <w:rPr>
                <w:rFonts w:ascii="Cambria" w:eastAsia="Cambria" w:hAnsi="Cambria" w:cs="Cambria"/>
                <w:sz w:val="16"/>
                <w:szCs w:val="16"/>
              </w:rPr>
              <w:t>ě podporou vzniku výzkumných jednotek (</w:t>
            </w:r>
            <w:r>
              <w:rPr>
                <w:rFonts w:ascii="Cambria" w:eastAsia="Cambria" w:hAnsi="Cambria" w:cs="Cambria"/>
                <w:b/>
                <w:sz w:val="16"/>
                <w:szCs w:val="16"/>
              </w:rPr>
              <w:t>Laboratoře Christiana Dopplera, CDL</w:t>
            </w:r>
            <w:r>
              <w:rPr>
                <w:rFonts w:ascii="Cambria" w:eastAsia="Cambria" w:hAnsi="Cambria" w:cs="Cambria"/>
                <w:sz w:val="16"/>
                <w:szCs w:val="16"/>
              </w:rPr>
              <w:t>) zaměřených na aplikovaný výzkum. Může být podporován i základní výzkum, který však musí končit konkrétní aplikací (orientovaný základní výzkum).</w:t>
            </w:r>
          </w:p>
        </w:tc>
        <w:tc>
          <w:tcPr>
            <w:tcW w:w="3068" w:type="dxa"/>
          </w:tcPr>
          <w:p w:rsidR="00F6597A" w:rsidRDefault="001963AF">
            <w:pPr>
              <w:spacing w:before="60" w:after="60"/>
            </w:pPr>
            <w:bookmarkStart w:id="0" w:name="_tdq6z2tsr66m" w:colFirst="0" w:colLast="0"/>
            <w:bookmarkEnd w:id="0"/>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byla založena v roce 1949, její</w:t>
            </w:r>
            <w:r>
              <w:rPr>
                <w:rFonts w:ascii="Cambria" w:eastAsia="Cambria" w:hAnsi="Cambria" w:cs="Cambria"/>
                <w:sz w:val="16"/>
                <w:szCs w:val="16"/>
              </w:rPr>
              <w:t xml:space="preserve">m cílem provádění aplikovaného výzkum s přímým užitkem pro soukromou sféru a ku prospěchu celé společnosti.  </w:t>
            </w:r>
          </w:p>
          <w:p w:rsidR="00F6597A" w:rsidRDefault="001963AF">
            <w:pPr>
              <w:spacing w:before="60" w:after="60"/>
            </w:pPr>
            <w:r>
              <w:rPr>
                <w:rFonts w:ascii="Cambria" w:eastAsia="Cambria" w:hAnsi="Cambria" w:cs="Cambria"/>
                <w:sz w:val="16"/>
                <w:szCs w:val="16"/>
              </w:rPr>
              <w:t>Instituce této společnosti jsou více zaměřeny na specifické technologické oblasti (laser, bezpečnost IT, materiály atd.), spíše než na jeden průmy</w:t>
            </w:r>
            <w:r>
              <w:rPr>
                <w:rFonts w:ascii="Cambria" w:eastAsia="Cambria" w:hAnsi="Cambria" w:cs="Cambria"/>
                <w:sz w:val="16"/>
                <w:szCs w:val="16"/>
              </w:rPr>
              <w:t>slový sektor (</w:t>
            </w:r>
            <w:proofErr w:type="spellStart"/>
            <w:r>
              <w:rPr>
                <w:rFonts w:ascii="Cambria" w:eastAsia="Cambria" w:hAnsi="Cambria" w:cs="Cambria"/>
                <w:sz w:val="16"/>
                <w:szCs w:val="16"/>
              </w:rPr>
              <w:t>automotiv</w:t>
            </w:r>
            <w:proofErr w:type="spellEnd"/>
            <w:r>
              <w:rPr>
                <w:rFonts w:ascii="Cambria" w:eastAsia="Cambria" w:hAnsi="Cambria" w:cs="Cambria"/>
                <w:sz w:val="16"/>
                <w:szCs w:val="16"/>
              </w:rPr>
              <w:t>, potraviny, těžební průmysl apod.).</w:t>
            </w:r>
          </w:p>
        </w:tc>
        <w:tc>
          <w:tcPr>
            <w:tcW w:w="2835" w:type="dxa"/>
          </w:tcPr>
          <w:p w:rsidR="00F6597A" w:rsidRDefault="00F6597A">
            <w:pPr>
              <w:spacing w:before="60" w:after="60"/>
            </w:pPr>
          </w:p>
        </w:tc>
      </w:tr>
      <w:tr w:rsidR="00F6597A">
        <w:tc>
          <w:tcPr>
            <w:tcW w:w="1242" w:type="dxa"/>
          </w:tcPr>
          <w:p w:rsidR="00F6597A" w:rsidRDefault="001963AF">
            <w:pPr>
              <w:spacing w:before="60" w:after="60"/>
            </w:pPr>
            <w:r>
              <w:rPr>
                <w:rFonts w:ascii="Cambria" w:eastAsia="Cambria" w:hAnsi="Cambria" w:cs="Cambria"/>
                <w:sz w:val="16"/>
                <w:szCs w:val="16"/>
              </w:rPr>
              <w:t>Forma</w:t>
            </w:r>
          </w:p>
        </w:tc>
        <w:tc>
          <w:tcPr>
            <w:tcW w:w="3402" w:type="dxa"/>
          </w:tcPr>
          <w:p w:rsidR="00F6597A" w:rsidRDefault="001963AF">
            <w:pPr>
              <w:spacing w:before="60" w:after="60"/>
            </w:pPr>
            <w:r>
              <w:rPr>
                <w:rFonts w:ascii="Cambria" w:eastAsia="Cambria" w:hAnsi="Cambria" w:cs="Cambria"/>
                <w:sz w:val="16"/>
                <w:szCs w:val="16"/>
              </w:rPr>
              <w:t>Každé nově zřízené NCK vznikne jako organizace s právní subjektivitou (tj. s vlastním IČO).</w:t>
            </w:r>
          </w:p>
        </w:tc>
        <w:tc>
          <w:tcPr>
            <w:tcW w:w="3595" w:type="dxa"/>
          </w:tcPr>
          <w:p w:rsidR="00F6597A" w:rsidRDefault="001963AF">
            <w:pPr>
              <w:spacing w:before="60" w:after="60"/>
            </w:pPr>
            <w:r>
              <w:rPr>
                <w:rFonts w:ascii="Cambria" w:eastAsia="Cambria" w:hAnsi="Cambria" w:cs="Cambria"/>
                <w:sz w:val="16"/>
                <w:szCs w:val="16"/>
              </w:rPr>
              <w:t>CDG je neziskovým sdružením, organizováno jako asociace. Podniky, které mají zájem o dlouhodobý výzkum (ne krátká řešení) jsou členem CDG a podílejí se na rozvoji strategií finanční podpory. Vědci a komerční subjekty společně určují výzkumný program. Přísp</w:t>
            </w:r>
            <w:r>
              <w:rPr>
                <w:rFonts w:ascii="Cambria" w:eastAsia="Cambria" w:hAnsi="Cambria" w:cs="Cambria"/>
                <w:sz w:val="16"/>
                <w:szCs w:val="16"/>
              </w:rPr>
              <w:t xml:space="preserve">ěvek (který je potom využit k financování konkrétního projektu) platí podniky CDG v hotovosti (příspěvek in </w:t>
            </w:r>
            <w:proofErr w:type="spellStart"/>
            <w:r>
              <w:rPr>
                <w:rFonts w:ascii="Cambria" w:eastAsia="Cambria" w:hAnsi="Cambria" w:cs="Cambria"/>
                <w:sz w:val="16"/>
                <w:szCs w:val="16"/>
              </w:rPr>
              <w:t>kind</w:t>
            </w:r>
            <w:proofErr w:type="spellEnd"/>
            <w:r>
              <w:rPr>
                <w:rFonts w:ascii="Cambria" w:eastAsia="Cambria" w:hAnsi="Cambria" w:cs="Cambria"/>
                <w:sz w:val="16"/>
                <w:szCs w:val="16"/>
              </w:rPr>
              <w:t xml:space="preserve"> není povolen). </w:t>
            </w:r>
          </w:p>
        </w:tc>
        <w:tc>
          <w:tcPr>
            <w:tcW w:w="3068" w:type="dxa"/>
          </w:tcPr>
          <w:p w:rsidR="00F6597A" w:rsidRDefault="001963AF">
            <w:pPr>
              <w:spacing w:before="60" w:after="60"/>
            </w:pPr>
            <w:r>
              <w:rPr>
                <w:rFonts w:ascii="Cambria" w:eastAsia="Cambria" w:hAnsi="Cambria" w:cs="Cambria"/>
                <w:sz w:val="16"/>
                <w:szCs w:val="16"/>
              </w:rPr>
              <w:t>Společnost veřejného práva zřízená státem. Není obdobou obchodních společností tak, jak je známe v českém právním prostředí.</w:t>
            </w:r>
          </w:p>
          <w:p w:rsidR="00F6597A" w:rsidRDefault="001963AF">
            <w:pPr>
              <w:spacing w:before="60" w:after="60"/>
            </w:pPr>
            <w:bookmarkStart w:id="1" w:name="_ps71sip2ji71" w:colFirst="0" w:colLast="0"/>
            <w:bookmarkEnd w:id="1"/>
            <w:proofErr w:type="spellStart"/>
            <w:r>
              <w:rPr>
                <w:rFonts w:ascii="Cambria" w:eastAsia="Cambria" w:hAnsi="Cambria" w:cs="Cambria"/>
                <w:sz w:val="16"/>
                <w:szCs w:val="16"/>
              </w:rPr>
              <w:t>Fr</w:t>
            </w:r>
            <w:r>
              <w:rPr>
                <w:rFonts w:ascii="Cambria" w:eastAsia="Cambria" w:hAnsi="Cambria" w:cs="Cambria"/>
                <w:sz w:val="16"/>
                <w:szCs w:val="16"/>
              </w:rPr>
              <w:t>aunhoferovy</w:t>
            </w:r>
            <w:proofErr w:type="spellEnd"/>
            <w:r>
              <w:rPr>
                <w:rFonts w:ascii="Cambria" w:eastAsia="Cambria" w:hAnsi="Cambria" w:cs="Cambria"/>
                <w:sz w:val="16"/>
                <w:szCs w:val="16"/>
              </w:rPr>
              <w:t xml:space="preserve"> instituty nejsou z právního hlediska samostatně stojícími subjekty, jejich úkolem je uskutečňovat dlouhodobou výzkumnou strategii mnichovské centrály. </w:t>
            </w:r>
          </w:p>
          <w:p w:rsidR="00F6597A" w:rsidRDefault="001963AF">
            <w:pPr>
              <w:spacing w:before="60" w:after="60"/>
            </w:pPr>
            <w:bookmarkStart w:id="2" w:name="_gjdgxs" w:colFirst="0" w:colLast="0"/>
            <w:bookmarkEnd w:id="2"/>
            <w:proofErr w:type="spellStart"/>
            <w:r>
              <w:rPr>
                <w:rFonts w:ascii="Cambria" w:eastAsia="Cambria" w:hAnsi="Cambria" w:cs="Cambria"/>
                <w:sz w:val="16"/>
                <w:szCs w:val="16"/>
              </w:rPr>
              <w:t>Fraunhoferovy</w:t>
            </w:r>
            <w:proofErr w:type="spellEnd"/>
            <w:r>
              <w:rPr>
                <w:rFonts w:ascii="Cambria" w:eastAsia="Cambria" w:hAnsi="Cambria" w:cs="Cambria"/>
                <w:sz w:val="16"/>
                <w:szCs w:val="16"/>
              </w:rPr>
              <w:t xml:space="preserve"> instituty </w:t>
            </w:r>
            <w:proofErr w:type="gramStart"/>
            <w:r>
              <w:rPr>
                <w:rFonts w:ascii="Cambria" w:eastAsia="Cambria" w:hAnsi="Cambria" w:cs="Cambria"/>
                <w:sz w:val="16"/>
                <w:szCs w:val="16"/>
              </w:rPr>
              <w:t>jednají  – i přes</w:t>
            </w:r>
            <w:proofErr w:type="gramEnd"/>
            <w:r>
              <w:rPr>
                <w:rFonts w:ascii="Cambria" w:eastAsia="Cambria" w:hAnsi="Cambria" w:cs="Cambria"/>
                <w:sz w:val="16"/>
                <w:szCs w:val="16"/>
              </w:rPr>
              <w:t xml:space="preserve"> svůj status neziskových organizací – jako podnikat</w:t>
            </w:r>
            <w:r>
              <w:rPr>
                <w:rFonts w:ascii="Cambria" w:eastAsia="Cambria" w:hAnsi="Cambria" w:cs="Cambria"/>
                <w:sz w:val="16"/>
                <w:szCs w:val="16"/>
              </w:rPr>
              <w:t xml:space="preserve">elské subjekty a výzkumná práce zaměstnanců je silně orientována na odběratele výstupů výzkumu - na </w:t>
            </w:r>
            <w:r>
              <w:rPr>
                <w:rFonts w:ascii="Cambria" w:eastAsia="Cambria" w:hAnsi="Cambria" w:cs="Cambria"/>
                <w:sz w:val="16"/>
                <w:szCs w:val="16"/>
              </w:rPr>
              <w:lastRenderedPageBreak/>
              <w:t>zákazníka.</w:t>
            </w:r>
          </w:p>
        </w:tc>
        <w:tc>
          <w:tcPr>
            <w:tcW w:w="2835" w:type="dxa"/>
          </w:tcPr>
          <w:p w:rsidR="00F6597A" w:rsidRDefault="00F6597A">
            <w:pPr>
              <w:spacing w:before="60" w:after="60"/>
            </w:pPr>
          </w:p>
        </w:tc>
      </w:tr>
      <w:tr w:rsidR="00F6597A">
        <w:tc>
          <w:tcPr>
            <w:tcW w:w="1242" w:type="dxa"/>
          </w:tcPr>
          <w:p w:rsidR="00F6597A" w:rsidRDefault="001963AF">
            <w:pPr>
              <w:spacing w:before="60" w:after="60"/>
            </w:pPr>
            <w:r>
              <w:rPr>
                <w:rFonts w:ascii="Cambria" w:eastAsia="Cambria" w:hAnsi="Cambria" w:cs="Cambria"/>
                <w:sz w:val="16"/>
                <w:szCs w:val="16"/>
              </w:rPr>
              <w:lastRenderedPageBreak/>
              <w:t xml:space="preserve">Principy řízení/ fungování </w:t>
            </w:r>
          </w:p>
        </w:tc>
        <w:tc>
          <w:tcPr>
            <w:tcW w:w="3402" w:type="dxa"/>
          </w:tcPr>
          <w:p w:rsidR="00F6597A" w:rsidRDefault="001963AF">
            <w:pPr>
              <w:spacing w:before="60" w:after="60"/>
            </w:pPr>
            <w:r>
              <w:rPr>
                <w:rFonts w:ascii="Cambria" w:eastAsia="Cambria" w:hAnsi="Cambria" w:cs="Cambria"/>
                <w:sz w:val="16"/>
                <w:szCs w:val="16"/>
              </w:rPr>
              <w:t>Centra budou budována kolem respektovaných osobností.</w:t>
            </w:r>
          </w:p>
          <w:p w:rsidR="00F6597A" w:rsidRDefault="001963AF">
            <w:pPr>
              <w:spacing w:before="60" w:after="60"/>
            </w:pPr>
            <w:r>
              <w:rPr>
                <w:rFonts w:ascii="Cambria" w:eastAsia="Cambria" w:hAnsi="Cambria" w:cs="Cambria"/>
                <w:sz w:val="16"/>
                <w:szCs w:val="16"/>
              </w:rPr>
              <w:t>Nově vzniklá „entita“ (samostatné IČO) bude zaměstnávat řídíc</w:t>
            </w:r>
            <w:r>
              <w:rPr>
                <w:rFonts w:ascii="Cambria" w:eastAsia="Cambria" w:hAnsi="Cambria" w:cs="Cambria"/>
                <w:sz w:val="16"/>
                <w:szCs w:val="16"/>
              </w:rPr>
              <w:t xml:space="preserve">í a koordinační pracovníky. Dostane finanční prostředky na provoz, přičemž na výzkumné aktivity si bude najímat (smluvně) další partnery (dle inspirace </w:t>
            </w:r>
            <w:proofErr w:type="spellStart"/>
            <w:r>
              <w:rPr>
                <w:rFonts w:ascii="Cambria" w:eastAsia="Cambria" w:hAnsi="Cambria" w:cs="Cambria"/>
                <w:sz w:val="16"/>
                <w:szCs w:val="16"/>
              </w:rPr>
              <w:t>Catapult</w:t>
            </w:r>
            <w:proofErr w:type="spellEnd"/>
            <w:r>
              <w:rPr>
                <w:rFonts w:ascii="Cambria" w:eastAsia="Cambria" w:hAnsi="Cambria" w:cs="Cambria"/>
                <w:sz w:val="16"/>
                <w:szCs w:val="16"/>
              </w:rPr>
              <w:t xml:space="preserve"> center ve Velké Británii). TA ČR stojí nad NCK, neřeší uzavírání smluv. </w:t>
            </w:r>
          </w:p>
          <w:p w:rsidR="00F6597A" w:rsidRDefault="001963AF">
            <w:pPr>
              <w:spacing w:before="60" w:after="60"/>
            </w:pPr>
            <w:r>
              <w:rPr>
                <w:rFonts w:ascii="Cambria" w:eastAsia="Cambria" w:hAnsi="Cambria" w:cs="Cambria"/>
                <w:sz w:val="16"/>
                <w:szCs w:val="16"/>
              </w:rPr>
              <w:t>Nutno zabezpečit vysok</w:t>
            </w:r>
            <w:r>
              <w:rPr>
                <w:rFonts w:ascii="Cambria" w:eastAsia="Cambria" w:hAnsi="Cambria" w:cs="Cambria"/>
                <w:sz w:val="16"/>
                <w:szCs w:val="16"/>
              </w:rPr>
              <w:t>ou autonomii jednotlivých NCK v oblasti směrování, hospodaření s prostředky a vnitřní struktury, podléhaly by kontrole Rady programu NCK. Na řízení “entity” se bude podílet tzv. “konsorciální rada”, ve které budou mj. zástupci průmyslu / soukromého sektoru</w:t>
            </w:r>
            <w:r>
              <w:rPr>
                <w:rFonts w:ascii="Cambria" w:eastAsia="Cambria" w:hAnsi="Cambria" w:cs="Cambria"/>
                <w:sz w:val="16"/>
                <w:szCs w:val="16"/>
              </w:rPr>
              <w:t>. Klíčové bude stanovit role a odpovědnosti jednotlivých aktérů.</w:t>
            </w:r>
          </w:p>
          <w:p w:rsidR="00F6597A" w:rsidRDefault="001963AF">
            <w:pPr>
              <w:spacing w:before="60" w:after="60"/>
            </w:pPr>
            <w:r>
              <w:rPr>
                <w:rFonts w:ascii="Cambria" w:eastAsia="Cambria" w:hAnsi="Cambria" w:cs="Cambria"/>
                <w:sz w:val="16"/>
                <w:szCs w:val="16"/>
              </w:rPr>
              <w:t>Bude se jednat o centra virtuální, dynamicky propojující ty nejlepší týmy, které má ČR v dané oblasti k dispozici.</w:t>
            </w:r>
          </w:p>
          <w:p w:rsidR="00F6597A" w:rsidRDefault="001963AF">
            <w:pPr>
              <w:spacing w:before="60" w:after="60"/>
            </w:pPr>
            <w:r>
              <w:rPr>
                <w:rFonts w:ascii="Cambria" w:eastAsia="Cambria" w:hAnsi="Cambria" w:cs="Cambria"/>
                <w:sz w:val="16"/>
                <w:szCs w:val="16"/>
              </w:rPr>
              <w:t>Program NCK by byl řízen Radou programu NCK, kterou by jmenoval TA ČR (třeti</w:t>
            </w:r>
            <w:r>
              <w:rPr>
                <w:rFonts w:ascii="Cambria" w:eastAsia="Cambria" w:hAnsi="Cambria" w:cs="Cambria"/>
                <w:sz w:val="16"/>
                <w:szCs w:val="16"/>
              </w:rPr>
              <w:t>na zástupců průmyslové sféry, třetina z akademického prostředí, třetina ze zástupců státu včetně TA ČR).</w:t>
            </w:r>
          </w:p>
          <w:p w:rsidR="00F6597A" w:rsidRDefault="001963AF">
            <w:pPr>
              <w:spacing w:before="60" w:after="60"/>
            </w:pPr>
            <w:r>
              <w:rPr>
                <w:rFonts w:ascii="Cambria" w:eastAsia="Cambria" w:hAnsi="Cambria" w:cs="Cambria"/>
                <w:sz w:val="16"/>
                <w:szCs w:val="16"/>
              </w:rPr>
              <w:t xml:space="preserve">Nutno nastavit kritéria pravidelného hodnocení NCK (např. 2 – 4 letá perioda), viz samostatný odstavec dále v textu. </w:t>
            </w:r>
          </w:p>
          <w:p w:rsidR="00F6597A" w:rsidRDefault="001963AF">
            <w:pPr>
              <w:spacing w:before="60" w:after="60"/>
            </w:pPr>
            <w:r>
              <w:rPr>
                <w:rFonts w:ascii="Cambria" w:eastAsia="Cambria" w:hAnsi="Cambria" w:cs="Cambria"/>
                <w:b/>
                <w:sz w:val="16"/>
                <w:szCs w:val="16"/>
              </w:rPr>
              <w:t>Principy výběru/ věcného zaměření</w:t>
            </w:r>
            <w:r>
              <w:rPr>
                <w:rFonts w:ascii="Cambria" w:eastAsia="Cambria" w:hAnsi="Cambria" w:cs="Cambria"/>
                <w:b/>
                <w:sz w:val="16"/>
                <w:szCs w:val="16"/>
              </w:rPr>
              <w:t xml:space="preserve"> center:</w:t>
            </w:r>
          </w:p>
          <w:p w:rsidR="00F6597A" w:rsidRDefault="001963AF">
            <w:pPr>
              <w:spacing w:before="60" w:after="60"/>
            </w:pPr>
            <w:proofErr w:type="gramStart"/>
            <w:r>
              <w:rPr>
                <w:rFonts w:ascii="Cambria" w:eastAsia="Cambria" w:hAnsi="Cambria" w:cs="Cambria"/>
                <w:sz w:val="16"/>
                <w:szCs w:val="16"/>
              </w:rPr>
              <w:t>1.Tematické</w:t>
            </w:r>
            <w:proofErr w:type="gramEnd"/>
            <w:r>
              <w:rPr>
                <w:rFonts w:ascii="Cambria" w:eastAsia="Cambria" w:hAnsi="Cambria" w:cs="Cambria"/>
                <w:sz w:val="16"/>
                <w:szCs w:val="16"/>
              </w:rPr>
              <w:t xml:space="preserve"> zaměření Center by mělo být stanoveno na základě kombinace principů </w:t>
            </w:r>
            <w:proofErr w:type="spellStart"/>
            <w:r>
              <w:rPr>
                <w:rFonts w:ascii="Cambria" w:eastAsia="Cambria" w:hAnsi="Cambria" w:cs="Cambria"/>
                <w:sz w:val="16"/>
                <w:szCs w:val="16"/>
              </w:rPr>
              <w:t>bottom</w:t>
            </w:r>
            <w:proofErr w:type="spellEnd"/>
            <w:r>
              <w:rPr>
                <w:rFonts w:ascii="Cambria" w:eastAsia="Cambria" w:hAnsi="Cambria" w:cs="Cambria"/>
                <w:sz w:val="16"/>
                <w:szCs w:val="16"/>
              </w:rPr>
              <w:t>-up a top-</w:t>
            </w:r>
            <w:proofErr w:type="spellStart"/>
            <w:r>
              <w:rPr>
                <w:rFonts w:ascii="Cambria" w:eastAsia="Cambria" w:hAnsi="Cambria" w:cs="Cambria"/>
                <w:sz w:val="16"/>
                <w:szCs w:val="16"/>
              </w:rPr>
              <w:t>down</w:t>
            </w:r>
            <w:proofErr w:type="spellEnd"/>
            <w:r>
              <w:rPr>
                <w:rFonts w:ascii="Cambria" w:eastAsia="Cambria" w:hAnsi="Cambria" w:cs="Cambria"/>
                <w:sz w:val="16"/>
                <w:szCs w:val="16"/>
              </w:rPr>
              <w:t xml:space="preserve"> a mělo by být stanoveno na základě konsenzu zúčastněných aktérů. Centra by měla tematicky vycházet z potřeb společnosti, průmyslu, sféry služeb, s</w:t>
            </w:r>
            <w:r>
              <w:rPr>
                <w:rFonts w:ascii="Cambria" w:eastAsia="Cambria" w:hAnsi="Cambria" w:cs="Cambria"/>
                <w:sz w:val="16"/>
                <w:szCs w:val="16"/>
              </w:rPr>
              <w:t xml:space="preserve">e silnou účastí SPD a dalších asociací, ale zároveň být v souladu s klíčovými strategickými dokumenty ČR (zejména NP </w:t>
            </w:r>
            <w:proofErr w:type="spellStart"/>
            <w:r>
              <w:rPr>
                <w:rFonts w:ascii="Cambria" w:eastAsia="Cambria" w:hAnsi="Cambria" w:cs="Cambria"/>
                <w:sz w:val="16"/>
                <w:szCs w:val="16"/>
              </w:rPr>
              <w:t>VaVaI</w:t>
            </w:r>
            <w:proofErr w:type="spellEnd"/>
            <w:r>
              <w:rPr>
                <w:rFonts w:ascii="Cambria" w:eastAsia="Cambria" w:hAnsi="Cambria" w:cs="Cambria"/>
                <w:sz w:val="16"/>
                <w:szCs w:val="16"/>
              </w:rPr>
              <w:t xml:space="preserve"> 2016 a Národní RIS3 strategií). V rámci procesu výběru/ustavení Center by měly být využity také principy mezinárodního hodnocení, ted</w:t>
            </w:r>
            <w:r>
              <w:rPr>
                <w:rFonts w:ascii="Cambria" w:eastAsia="Cambria" w:hAnsi="Cambria" w:cs="Cambria"/>
                <w:sz w:val="16"/>
                <w:szCs w:val="16"/>
              </w:rPr>
              <w:t>y přizvány významné osobnosti z relevantních oblastí výzkumu ze zahraničí.</w:t>
            </w:r>
          </w:p>
          <w:p w:rsidR="00F6597A" w:rsidRDefault="001963AF">
            <w:pPr>
              <w:spacing w:before="60" w:after="60"/>
            </w:pPr>
            <w:proofErr w:type="gramStart"/>
            <w:r>
              <w:rPr>
                <w:rFonts w:ascii="Cambria" w:eastAsia="Cambria" w:hAnsi="Cambria" w:cs="Cambria"/>
                <w:sz w:val="16"/>
                <w:szCs w:val="16"/>
              </w:rPr>
              <w:t>2.Předběžně</w:t>
            </w:r>
            <w:proofErr w:type="gramEnd"/>
            <w:r>
              <w:rPr>
                <w:rFonts w:ascii="Cambria" w:eastAsia="Cambria" w:hAnsi="Cambria" w:cs="Cambria"/>
                <w:sz w:val="16"/>
                <w:szCs w:val="16"/>
              </w:rPr>
              <w:t xml:space="preserve"> se stanoví počet center a jejich tematické zaměření. Celkově je předpokládán vznik 5 - 8 center. Výběr může být ovšem i </w:t>
            </w:r>
            <w:r>
              <w:rPr>
                <w:rFonts w:ascii="Cambria" w:eastAsia="Cambria" w:hAnsi="Cambria" w:cs="Cambria"/>
                <w:sz w:val="16"/>
                <w:szCs w:val="16"/>
              </w:rPr>
              <w:lastRenderedPageBreak/>
              <w:t>rozfázovaný s tím, že např. v prvním kole může bý</w:t>
            </w:r>
            <w:r>
              <w:rPr>
                <w:rFonts w:ascii="Cambria" w:eastAsia="Cambria" w:hAnsi="Cambria" w:cs="Cambria"/>
                <w:sz w:val="16"/>
                <w:szCs w:val="16"/>
              </w:rPr>
              <w:t xml:space="preserve">t vybrána většina center a v případném druhém kole mohou být </w:t>
            </w:r>
            <w:proofErr w:type="spellStart"/>
            <w:r>
              <w:rPr>
                <w:rFonts w:ascii="Cambria" w:eastAsia="Cambria" w:hAnsi="Cambria" w:cs="Cambria"/>
                <w:sz w:val="16"/>
                <w:szCs w:val="16"/>
              </w:rPr>
              <w:t>dovybrána</w:t>
            </w:r>
            <w:proofErr w:type="spellEnd"/>
            <w:r>
              <w:rPr>
                <w:rFonts w:ascii="Cambria" w:eastAsia="Cambria" w:hAnsi="Cambria" w:cs="Cambria"/>
                <w:sz w:val="16"/>
                <w:szCs w:val="16"/>
              </w:rPr>
              <w:t xml:space="preserve"> 1 - 2 další centra.</w:t>
            </w:r>
          </w:p>
          <w:p w:rsidR="00F6597A" w:rsidRDefault="001963AF">
            <w:pPr>
              <w:spacing w:before="60" w:after="60"/>
            </w:pPr>
            <w:proofErr w:type="gramStart"/>
            <w:r>
              <w:rPr>
                <w:rFonts w:ascii="Cambria" w:eastAsia="Cambria" w:hAnsi="Cambria" w:cs="Cambria"/>
                <w:sz w:val="16"/>
                <w:szCs w:val="16"/>
              </w:rPr>
              <w:t>3.Nesmí</w:t>
            </w:r>
            <w:proofErr w:type="gramEnd"/>
            <w:r>
              <w:rPr>
                <w:rFonts w:ascii="Cambria" w:eastAsia="Cambria" w:hAnsi="Cambria" w:cs="Cambria"/>
                <w:sz w:val="16"/>
                <w:szCs w:val="16"/>
              </w:rPr>
              <w:t xml:space="preserve"> docházet k významnějším překryvům kompetence – později na základě zkušeností stanovit dlouhodobější ukotvení. Zároveň bude přihlédnuto k synergiím multidisciplinárního výzkumu.</w:t>
            </w:r>
          </w:p>
          <w:p w:rsidR="00F6597A" w:rsidRDefault="001963AF">
            <w:pPr>
              <w:spacing w:before="60" w:after="60"/>
            </w:pPr>
            <w:r>
              <w:rPr>
                <w:rFonts w:ascii="Cambria" w:eastAsia="Cambria" w:hAnsi="Cambria" w:cs="Cambria"/>
                <w:b/>
                <w:sz w:val="16"/>
                <w:szCs w:val="16"/>
              </w:rPr>
              <w:t>První návrh postupu výběru:</w:t>
            </w:r>
          </w:p>
          <w:p w:rsidR="00F6597A" w:rsidRDefault="001963AF">
            <w:pPr>
              <w:spacing w:before="60" w:after="60"/>
            </w:pPr>
            <w:proofErr w:type="gramStart"/>
            <w:r>
              <w:rPr>
                <w:rFonts w:ascii="Cambria" w:eastAsia="Cambria" w:hAnsi="Cambria" w:cs="Cambria"/>
                <w:sz w:val="16"/>
                <w:szCs w:val="16"/>
              </w:rPr>
              <w:t>1.Stanovení</w:t>
            </w:r>
            <w:proofErr w:type="gramEnd"/>
            <w:r>
              <w:rPr>
                <w:rFonts w:ascii="Cambria" w:eastAsia="Cambria" w:hAnsi="Cambria" w:cs="Cambria"/>
                <w:sz w:val="16"/>
                <w:szCs w:val="16"/>
              </w:rPr>
              <w:t xml:space="preserve"> témat / zaměření jednotlivých c</w:t>
            </w:r>
            <w:r>
              <w:rPr>
                <w:rFonts w:ascii="Cambria" w:eastAsia="Cambria" w:hAnsi="Cambria" w:cs="Cambria"/>
                <w:sz w:val="16"/>
                <w:szCs w:val="16"/>
              </w:rPr>
              <w:t>enter.</w:t>
            </w:r>
          </w:p>
          <w:p w:rsidR="00F6597A" w:rsidRDefault="001963AF">
            <w:pPr>
              <w:spacing w:before="60" w:after="60"/>
            </w:pPr>
            <w:proofErr w:type="gramStart"/>
            <w:r>
              <w:rPr>
                <w:rFonts w:ascii="Cambria" w:eastAsia="Cambria" w:hAnsi="Cambria" w:cs="Cambria"/>
                <w:sz w:val="16"/>
                <w:szCs w:val="16"/>
              </w:rPr>
              <w:t>2.V 1. kole</w:t>
            </w:r>
            <w:proofErr w:type="gramEnd"/>
            <w:r>
              <w:rPr>
                <w:rFonts w:ascii="Cambria" w:eastAsia="Cambria" w:hAnsi="Cambria" w:cs="Cambria"/>
                <w:sz w:val="16"/>
                <w:szCs w:val="16"/>
              </w:rPr>
              <w:t xml:space="preserve"> soutěže podávají návrh na zřízení NCK osobnosti (osobnosti budou osloveny, ale bude i možnost se volně přihlásit) – 10 stránková vize, shrnutí dosavadních výsledků odborných, výsledků při řízení větších projektů, prokázání schopnosti tra</w:t>
            </w:r>
            <w:r>
              <w:rPr>
                <w:rFonts w:ascii="Cambria" w:eastAsia="Cambria" w:hAnsi="Cambria" w:cs="Cambria"/>
                <w:sz w:val="16"/>
                <w:szCs w:val="16"/>
              </w:rPr>
              <w:t>nsferu technologií, mezinárodní zkušenosti  - je vhodné, aby se případně 2-3 osobnosti spojily do jednoho předkladatelského týmu.</w:t>
            </w:r>
          </w:p>
          <w:p w:rsidR="00F6597A" w:rsidRDefault="001963AF">
            <w:pPr>
              <w:spacing w:before="60" w:after="60"/>
            </w:pPr>
            <w:proofErr w:type="gramStart"/>
            <w:r>
              <w:rPr>
                <w:rFonts w:ascii="Cambria" w:eastAsia="Cambria" w:hAnsi="Cambria" w:cs="Cambria"/>
                <w:sz w:val="16"/>
                <w:szCs w:val="16"/>
              </w:rPr>
              <w:t>3.Z těchto</w:t>
            </w:r>
            <w:proofErr w:type="gramEnd"/>
            <w:r>
              <w:rPr>
                <w:rFonts w:ascii="Cambria" w:eastAsia="Cambria" w:hAnsi="Cambria" w:cs="Cambria"/>
                <w:sz w:val="16"/>
                <w:szCs w:val="16"/>
              </w:rPr>
              <w:t xml:space="preserve"> návrhů se vybere cca 20 návrhů ve vhodném odborném rozložení tak, aby na jedno zamýšlené NCK připadaly 2-3 návrhy. </w:t>
            </w:r>
            <w:r>
              <w:rPr>
                <w:rFonts w:ascii="Cambria" w:eastAsia="Cambria" w:hAnsi="Cambria" w:cs="Cambria"/>
                <w:sz w:val="16"/>
                <w:szCs w:val="16"/>
              </w:rPr>
              <w:t>Jejich navrhovatelé budou vyzváni, aby podali plný návrh ve smyslu navrženého zadání. Vybraní vedoucí budou mít měsíc na podání připomínek k úplnému zadání. TA ČR je s nimi probere a poté vydá finální zadání. Na jeho zpracování by měla být lhůta cca 2-3 mě</w:t>
            </w:r>
            <w:r>
              <w:rPr>
                <w:rFonts w:ascii="Cambria" w:eastAsia="Cambria" w:hAnsi="Cambria" w:cs="Cambria"/>
                <w:sz w:val="16"/>
                <w:szCs w:val="16"/>
              </w:rPr>
              <w:t>síce.</w:t>
            </w:r>
          </w:p>
          <w:p w:rsidR="00F6597A" w:rsidRDefault="001963AF">
            <w:pPr>
              <w:spacing w:before="60" w:after="60"/>
            </w:pPr>
            <w:proofErr w:type="gramStart"/>
            <w:r>
              <w:rPr>
                <w:rFonts w:ascii="Cambria" w:eastAsia="Cambria" w:hAnsi="Cambria" w:cs="Cambria"/>
                <w:sz w:val="16"/>
                <w:szCs w:val="16"/>
              </w:rPr>
              <w:t>4.Ve</w:t>
            </w:r>
            <w:proofErr w:type="gramEnd"/>
            <w:r>
              <w:rPr>
                <w:rFonts w:ascii="Cambria" w:eastAsia="Cambria" w:hAnsi="Cambria" w:cs="Cambria"/>
                <w:sz w:val="16"/>
                <w:szCs w:val="16"/>
              </w:rPr>
              <w:t xml:space="preserve"> 2. kole dojde k výběru na základě negociací. </w:t>
            </w:r>
          </w:p>
          <w:p w:rsidR="00F6597A" w:rsidRDefault="001963AF">
            <w:pPr>
              <w:spacing w:before="60" w:after="60"/>
            </w:pPr>
            <w:r>
              <w:rPr>
                <w:rFonts w:ascii="Cambria" w:eastAsia="Cambria" w:hAnsi="Cambria" w:cs="Cambria"/>
                <w:sz w:val="16"/>
                <w:szCs w:val="16"/>
              </w:rPr>
              <w:t>Výběr a negociace budou koordinovány Radou programu NCK. Zapojeny budou významné osobnosti z relevantních oblastí výzkumu ze zahraničí.</w:t>
            </w:r>
          </w:p>
        </w:tc>
        <w:tc>
          <w:tcPr>
            <w:tcW w:w="3595" w:type="dxa"/>
          </w:tcPr>
          <w:p w:rsidR="00F6597A" w:rsidRDefault="001963AF">
            <w:pPr>
              <w:spacing w:before="60" w:after="60"/>
            </w:pPr>
            <w:r>
              <w:rPr>
                <w:rFonts w:ascii="Cambria" w:eastAsia="Cambria" w:hAnsi="Cambria" w:cs="Cambria"/>
                <w:sz w:val="16"/>
                <w:szCs w:val="16"/>
              </w:rPr>
              <w:lastRenderedPageBreak/>
              <w:t>Projekt je předložen CDG, které provede jeho posouzení. Nejprve</w:t>
            </w:r>
            <w:r>
              <w:rPr>
                <w:rFonts w:ascii="Cambria" w:eastAsia="Cambria" w:hAnsi="Cambria" w:cs="Cambria"/>
                <w:sz w:val="16"/>
                <w:szCs w:val="16"/>
              </w:rPr>
              <w:t xml:space="preserve"> vědeckým senátem CDG (složen z odborníků univerzit a podniků), po souhlasu je projekt předložen na hodnocení peer </w:t>
            </w:r>
            <w:proofErr w:type="spellStart"/>
            <w:r>
              <w:rPr>
                <w:rFonts w:ascii="Cambria" w:eastAsia="Cambria" w:hAnsi="Cambria" w:cs="Cambria"/>
                <w:sz w:val="16"/>
                <w:szCs w:val="16"/>
              </w:rPr>
              <w:t>review</w:t>
            </w:r>
            <w:proofErr w:type="spellEnd"/>
            <w:r>
              <w:rPr>
                <w:rFonts w:ascii="Cambria" w:eastAsia="Cambria" w:hAnsi="Cambria" w:cs="Cambria"/>
                <w:sz w:val="16"/>
                <w:szCs w:val="16"/>
              </w:rPr>
              <w:t xml:space="preserve"> (tři zahraniční oponenti). Pokud je projekt doporučen, rozhoduje kuratorium asociace. Vše trvá asi půl roku. Řešitelský tým nemá právn</w:t>
            </w:r>
            <w:r>
              <w:rPr>
                <w:rFonts w:ascii="Cambria" w:eastAsia="Cambria" w:hAnsi="Cambria" w:cs="Cambria"/>
                <w:sz w:val="16"/>
                <w:szCs w:val="16"/>
              </w:rPr>
              <w:t>í subjektivitu. Smlouva je uzavírána mezi univerzitou a CDG.</w:t>
            </w:r>
          </w:p>
        </w:tc>
        <w:tc>
          <w:tcPr>
            <w:tcW w:w="3068" w:type="dxa"/>
          </w:tcPr>
          <w:p w:rsidR="00F6597A" w:rsidRDefault="001963AF">
            <w:pPr>
              <w:spacing w:before="60" w:after="60"/>
            </w:pPr>
            <w:proofErr w:type="spellStart"/>
            <w:r>
              <w:rPr>
                <w:rFonts w:ascii="Cambria" w:eastAsia="Cambria" w:hAnsi="Cambria" w:cs="Cambria"/>
                <w:sz w:val="16"/>
                <w:szCs w:val="16"/>
              </w:rPr>
              <w:t>Fraunhoferova</w:t>
            </w:r>
            <w:proofErr w:type="spellEnd"/>
            <w:r>
              <w:rPr>
                <w:rFonts w:ascii="Cambria" w:eastAsia="Cambria" w:hAnsi="Cambria" w:cs="Cambria"/>
                <w:sz w:val="16"/>
                <w:szCs w:val="16"/>
              </w:rPr>
              <w:t xml:space="preserve"> společnost představuje zastřešující entitu, na kterou jsou napojeny smluvním vztahem </w:t>
            </w:r>
            <w:proofErr w:type="spellStart"/>
            <w:r>
              <w:rPr>
                <w:rFonts w:ascii="Cambria" w:eastAsia="Cambria" w:hAnsi="Cambria" w:cs="Cambria"/>
                <w:sz w:val="16"/>
                <w:szCs w:val="16"/>
              </w:rPr>
              <w:t>Fraunhoferovy</w:t>
            </w:r>
            <w:proofErr w:type="spellEnd"/>
            <w:r>
              <w:rPr>
                <w:rFonts w:ascii="Cambria" w:eastAsia="Cambria" w:hAnsi="Cambria" w:cs="Cambria"/>
                <w:sz w:val="16"/>
                <w:szCs w:val="16"/>
              </w:rPr>
              <w:t xml:space="preserve"> instituty (přijetí na žádost institutů). Tyto instituty se zaměřují na konkrétní o</w:t>
            </w:r>
            <w:r>
              <w:rPr>
                <w:rFonts w:ascii="Cambria" w:eastAsia="Cambria" w:hAnsi="Cambria" w:cs="Cambria"/>
                <w:sz w:val="16"/>
                <w:szCs w:val="16"/>
              </w:rPr>
              <w:t xml:space="preserve">blasti výzkumu a vývoje, a vznikají a zanikají dle potřeb a výkonů v daném segmentu. Jsou tvořeny zdola, tedy nikoli ze strany </w:t>
            </w:r>
            <w:proofErr w:type="spellStart"/>
            <w:r>
              <w:rPr>
                <w:rFonts w:ascii="Cambria" w:eastAsia="Cambria" w:hAnsi="Cambria" w:cs="Cambria"/>
                <w:sz w:val="16"/>
                <w:szCs w:val="16"/>
              </w:rPr>
              <w:t>Fraunhoferovy</w:t>
            </w:r>
            <w:proofErr w:type="spellEnd"/>
            <w:r>
              <w:rPr>
                <w:rFonts w:ascii="Cambria" w:eastAsia="Cambria" w:hAnsi="Cambria" w:cs="Cambria"/>
                <w:sz w:val="16"/>
                <w:szCs w:val="16"/>
              </w:rPr>
              <w:t xml:space="preserve"> společnosti, ale ze strany aktérů výzkumu a vývoje, následně pak žádají o přijetí do klastru a status </w:t>
            </w:r>
            <w:proofErr w:type="spellStart"/>
            <w:r>
              <w:rPr>
                <w:rFonts w:ascii="Cambria" w:eastAsia="Cambria" w:hAnsi="Cambria" w:cs="Cambria"/>
                <w:sz w:val="16"/>
                <w:szCs w:val="16"/>
              </w:rPr>
              <w:t>Fraunhoferova</w:t>
            </w:r>
            <w:proofErr w:type="spellEnd"/>
            <w:r>
              <w:rPr>
                <w:rFonts w:ascii="Cambria" w:eastAsia="Cambria" w:hAnsi="Cambria" w:cs="Cambria"/>
                <w:sz w:val="16"/>
                <w:szCs w:val="16"/>
              </w:rPr>
              <w:t xml:space="preserve"> institutu. </w:t>
            </w:r>
          </w:p>
          <w:p w:rsidR="00F6597A" w:rsidRDefault="001963AF">
            <w:pPr>
              <w:spacing w:before="60" w:after="60"/>
            </w:pPr>
            <w:bookmarkStart w:id="3" w:name="_t0qqdykw6e7q" w:colFirst="0" w:colLast="0"/>
            <w:bookmarkEnd w:id="3"/>
            <w:proofErr w:type="spellStart"/>
            <w:r>
              <w:rPr>
                <w:rFonts w:ascii="Cambria" w:eastAsia="Cambria" w:hAnsi="Cambria" w:cs="Cambria"/>
                <w:sz w:val="16"/>
                <w:szCs w:val="16"/>
              </w:rPr>
              <w:t>Fraunhoferova</w:t>
            </w:r>
            <w:proofErr w:type="spellEnd"/>
            <w:r>
              <w:rPr>
                <w:rFonts w:ascii="Cambria" w:eastAsia="Cambria" w:hAnsi="Cambria" w:cs="Cambria"/>
                <w:sz w:val="16"/>
                <w:szCs w:val="16"/>
              </w:rPr>
              <w:t xml:space="preserve"> společnost má, po organizační stránce, obdobnou podobu, jako např. v České republice Akademie věd ČR, s tím rozdílem, že instituty nejsou tvořeny shora jako u Akademie věd, a zároveň Akademie věd nemá vazby na průmysl a tržní sfé</w:t>
            </w:r>
            <w:r>
              <w:rPr>
                <w:rFonts w:ascii="Cambria" w:eastAsia="Cambria" w:hAnsi="Cambria" w:cs="Cambria"/>
                <w:sz w:val="16"/>
                <w:szCs w:val="16"/>
              </w:rPr>
              <w:t xml:space="preserve">ru, přičemž tyto vazby jsou naprosto klíčové, z čehož se odvíjí i rozdílný model financování. Akademie věd ČR je zaměřena na výzkum základní, nelze tedy sledovat ekonomický potenciál jednotlivých ústavů stejným způsobem, jako u </w:t>
            </w:r>
            <w:proofErr w:type="spellStart"/>
            <w:proofErr w:type="gramStart"/>
            <w:r>
              <w:rPr>
                <w:rFonts w:ascii="Cambria" w:eastAsia="Cambria" w:hAnsi="Cambria" w:cs="Cambria"/>
                <w:sz w:val="16"/>
                <w:szCs w:val="16"/>
              </w:rPr>
              <w:t>Fraunhoferovi</w:t>
            </w:r>
            <w:proofErr w:type="spellEnd"/>
            <w:proofErr w:type="gramEnd"/>
            <w:r>
              <w:rPr>
                <w:rFonts w:ascii="Cambria" w:eastAsia="Cambria" w:hAnsi="Cambria" w:cs="Cambria"/>
                <w:sz w:val="16"/>
                <w:szCs w:val="16"/>
              </w:rPr>
              <w:t xml:space="preserve"> společnosti, n</w:t>
            </w:r>
            <w:r>
              <w:rPr>
                <w:rFonts w:ascii="Cambria" w:eastAsia="Cambria" w:hAnsi="Cambria" w:cs="Cambria"/>
                <w:sz w:val="16"/>
                <w:szCs w:val="16"/>
              </w:rPr>
              <w:t>icméně minimálně struktura je porovnatelná.</w:t>
            </w:r>
          </w:p>
          <w:p w:rsidR="00F6597A" w:rsidRDefault="001963AF">
            <w:pPr>
              <w:spacing w:after="200" w:line="276" w:lineRule="auto"/>
            </w:pPr>
            <w:proofErr w:type="spellStart"/>
            <w:r>
              <w:rPr>
                <w:rFonts w:ascii="Cambria" w:eastAsia="Cambria" w:hAnsi="Cambria" w:cs="Cambria"/>
                <w:sz w:val="16"/>
                <w:szCs w:val="16"/>
              </w:rPr>
              <w:t>Fraunhoferova</w:t>
            </w:r>
            <w:proofErr w:type="spellEnd"/>
            <w:r>
              <w:rPr>
                <w:rFonts w:ascii="Cambria" w:eastAsia="Cambria" w:hAnsi="Cambria" w:cs="Cambria"/>
                <w:sz w:val="16"/>
                <w:szCs w:val="16"/>
              </w:rPr>
              <w:t xml:space="preserve"> společnost je nevýdělečná společnost, jednotlivé instituty mají částečnou autonomii, nicméně jsou povinny respektovat strategie a cíle stanovené centrálou. To umožňuje udržovat nastavený směr a záro</w:t>
            </w:r>
            <w:r>
              <w:rPr>
                <w:rFonts w:ascii="Cambria" w:eastAsia="Cambria" w:hAnsi="Cambria" w:cs="Cambria"/>
                <w:sz w:val="16"/>
                <w:szCs w:val="16"/>
              </w:rPr>
              <w:t xml:space="preserve">veň reagovat na aktuální potřeby trhu. </w:t>
            </w:r>
          </w:p>
          <w:p w:rsidR="00F6597A" w:rsidRDefault="001963AF">
            <w:pPr>
              <w:spacing w:after="200" w:line="276" w:lineRule="auto"/>
            </w:pPr>
            <w:r>
              <w:rPr>
                <w:rFonts w:ascii="Cambria" w:eastAsia="Cambria" w:hAnsi="Cambria" w:cs="Cambria"/>
                <w:sz w:val="16"/>
                <w:szCs w:val="16"/>
              </w:rPr>
              <w:t xml:space="preserve">Poměrně složitá struktura </w:t>
            </w:r>
            <w:proofErr w:type="spellStart"/>
            <w:r>
              <w:rPr>
                <w:rFonts w:ascii="Cambria" w:eastAsia="Cambria" w:hAnsi="Cambria" w:cs="Cambria"/>
                <w:sz w:val="16"/>
                <w:szCs w:val="16"/>
              </w:rPr>
              <w:t>Fraunhoferovy</w:t>
            </w:r>
            <w:proofErr w:type="spellEnd"/>
            <w:r>
              <w:rPr>
                <w:rFonts w:ascii="Cambria" w:eastAsia="Cambria" w:hAnsi="Cambria" w:cs="Cambria"/>
                <w:sz w:val="16"/>
                <w:szCs w:val="16"/>
              </w:rPr>
              <w:t xml:space="preserve"> společnost zahrnuje senát, shromáždění členů, výkonnou radu, prezidentskou </w:t>
            </w:r>
            <w:proofErr w:type="gramStart"/>
            <w:r>
              <w:rPr>
                <w:rFonts w:ascii="Cambria" w:eastAsia="Cambria" w:hAnsi="Cambria" w:cs="Cambria"/>
                <w:sz w:val="16"/>
                <w:szCs w:val="16"/>
              </w:rPr>
              <w:t>radu  a vědecko-technický</w:t>
            </w:r>
            <w:proofErr w:type="gramEnd"/>
            <w:r>
              <w:rPr>
                <w:rFonts w:ascii="Cambria" w:eastAsia="Cambria" w:hAnsi="Cambria" w:cs="Cambria"/>
                <w:sz w:val="16"/>
                <w:szCs w:val="16"/>
              </w:rPr>
              <w:t xml:space="preserve"> poradní výbor. </w:t>
            </w:r>
          </w:p>
          <w:p w:rsidR="00F6597A" w:rsidRDefault="001963AF">
            <w:pPr>
              <w:spacing w:after="200" w:line="276" w:lineRule="auto"/>
            </w:pPr>
            <w:r>
              <w:rPr>
                <w:rFonts w:ascii="Cambria" w:eastAsia="Cambria" w:hAnsi="Cambria" w:cs="Cambria"/>
                <w:sz w:val="16"/>
                <w:szCs w:val="16"/>
              </w:rPr>
              <w:t>Propojení institutů a univerzit je zajištěno souběhem funkc</w:t>
            </w:r>
            <w:r>
              <w:rPr>
                <w:rFonts w:ascii="Cambria" w:eastAsia="Cambria" w:hAnsi="Cambria" w:cs="Cambria"/>
                <w:sz w:val="16"/>
                <w:szCs w:val="16"/>
              </w:rPr>
              <w:t xml:space="preserve">í na partnerských univerzitách a ve </w:t>
            </w:r>
            <w:proofErr w:type="spellStart"/>
            <w:r>
              <w:rPr>
                <w:rFonts w:ascii="Cambria" w:eastAsia="Cambria" w:hAnsi="Cambria" w:cs="Cambria"/>
                <w:sz w:val="16"/>
                <w:szCs w:val="16"/>
              </w:rPr>
              <w:t>Fraunhoferově</w:t>
            </w:r>
            <w:proofErr w:type="spellEnd"/>
            <w:r>
              <w:rPr>
                <w:rFonts w:ascii="Cambria" w:eastAsia="Cambria" w:hAnsi="Cambria" w:cs="Cambria"/>
                <w:sz w:val="16"/>
                <w:szCs w:val="16"/>
              </w:rPr>
              <w:t xml:space="preserve"> společnosti, či jednotlivých institutech, nicméně vysoké </w:t>
            </w:r>
            <w:r>
              <w:rPr>
                <w:rFonts w:ascii="Cambria" w:eastAsia="Cambria" w:hAnsi="Cambria" w:cs="Cambria"/>
                <w:sz w:val="16"/>
                <w:szCs w:val="16"/>
              </w:rPr>
              <w:lastRenderedPageBreak/>
              <w:t>školy zůstávají vně institutu.</w:t>
            </w:r>
          </w:p>
          <w:p w:rsidR="00F6597A" w:rsidRDefault="001963AF">
            <w:pPr>
              <w:spacing w:after="120" w:line="276" w:lineRule="auto"/>
            </w:pPr>
            <w:r>
              <w:rPr>
                <w:rFonts w:ascii="Cambria" w:eastAsia="Cambria" w:hAnsi="Cambria" w:cs="Cambria"/>
                <w:sz w:val="16"/>
                <w:szCs w:val="16"/>
              </w:rPr>
              <w:t xml:space="preserve">Spolupráce mezi univerzitami a jednotlivými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w:t>
            </w:r>
            <w:proofErr w:type="gramStart"/>
            <w:r>
              <w:rPr>
                <w:rFonts w:ascii="Cambria" w:eastAsia="Cambria" w:hAnsi="Cambria" w:cs="Cambria"/>
                <w:sz w:val="16"/>
                <w:szCs w:val="16"/>
              </w:rPr>
              <w:t xml:space="preserve">instituty </w:t>
            </w:r>
            <w:r>
              <w:rPr>
                <w:rFonts w:ascii="Cambria" w:eastAsia="Cambria" w:hAnsi="Cambria" w:cs="Cambria"/>
                <w:sz w:val="16"/>
                <w:szCs w:val="16"/>
                <w:highlight w:val="white"/>
              </w:rPr>
              <w:t xml:space="preserve"> je</w:t>
            </w:r>
            <w:proofErr w:type="gramEnd"/>
            <w:r>
              <w:rPr>
                <w:rFonts w:ascii="Cambria" w:eastAsia="Cambria" w:hAnsi="Cambria" w:cs="Cambria"/>
                <w:sz w:val="16"/>
                <w:szCs w:val="16"/>
                <w:highlight w:val="white"/>
              </w:rPr>
              <w:t xml:space="preserve"> zajišťována mj. osobami ředitelů jednotlivých institutů,</w:t>
            </w:r>
            <w:r>
              <w:rPr>
                <w:rFonts w:ascii="Cambria" w:eastAsia="Cambria" w:hAnsi="Cambria" w:cs="Cambria"/>
                <w:sz w:val="16"/>
                <w:szCs w:val="16"/>
                <w:highlight w:val="white"/>
              </w:rPr>
              <w:t xml:space="preserve"> kteří zpravidla zároveň zastávají profesorské funkce na nejbližších univerzitách. Tímto způsobem dochází ke sdílení výzkumných kapacit (lidské zdroje, laboratoře, přístroje aj.). Navíc díky silné orientaci na </w:t>
            </w:r>
            <w:proofErr w:type="gramStart"/>
            <w:r>
              <w:rPr>
                <w:rFonts w:ascii="Cambria" w:eastAsia="Cambria" w:hAnsi="Cambria" w:cs="Cambria"/>
                <w:sz w:val="16"/>
                <w:szCs w:val="16"/>
                <w:highlight w:val="white"/>
              </w:rPr>
              <w:t>zákazníka  dochází</w:t>
            </w:r>
            <w:proofErr w:type="gramEnd"/>
            <w:r>
              <w:rPr>
                <w:rFonts w:ascii="Cambria" w:eastAsia="Cambria" w:hAnsi="Cambria" w:cs="Cambria"/>
                <w:sz w:val="16"/>
                <w:szCs w:val="16"/>
                <w:highlight w:val="white"/>
              </w:rPr>
              <w:t xml:space="preserve"> ke vzájemnému provázání a i</w:t>
            </w:r>
            <w:r>
              <w:rPr>
                <w:rFonts w:ascii="Cambria" w:eastAsia="Cambria" w:hAnsi="Cambria" w:cs="Cambria"/>
                <w:sz w:val="16"/>
                <w:szCs w:val="16"/>
                <w:highlight w:val="white"/>
              </w:rPr>
              <w:t>ntegrování všech hráčů inovačního ekosystému.</w:t>
            </w:r>
          </w:p>
          <w:p w:rsidR="00F6597A" w:rsidRDefault="00F6597A">
            <w:pPr>
              <w:spacing w:after="200" w:line="276" w:lineRule="auto"/>
            </w:pPr>
          </w:p>
        </w:tc>
        <w:tc>
          <w:tcPr>
            <w:tcW w:w="2835" w:type="dxa"/>
          </w:tcPr>
          <w:p w:rsidR="00F6597A" w:rsidRDefault="00F6597A">
            <w:pPr>
              <w:spacing w:after="200" w:line="276" w:lineRule="auto"/>
            </w:pPr>
          </w:p>
        </w:tc>
      </w:tr>
      <w:tr w:rsidR="00F6597A">
        <w:tc>
          <w:tcPr>
            <w:tcW w:w="1242" w:type="dxa"/>
          </w:tcPr>
          <w:p w:rsidR="00F6597A" w:rsidRDefault="001963AF">
            <w:pPr>
              <w:spacing w:before="60" w:after="60"/>
            </w:pPr>
            <w:r>
              <w:rPr>
                <w:rFonts w:ascii="Cambria" w:eastAsia="Cambria" w:hAnsi="Cambria" w:cs="Cambria"/>
                <w:sz w:val="16"/>
                <w:szCs w:val="16"/>
              </w:rPr>
              <w:lastRenderedPageBreak/>
              <w:t>Financování</w:t>
            </w:r>
          </w:p>
        </w:tc>
        <w:tc>
          <w:tcPr>
            <w:tcW w:w="3402" w:type="dxa"/>
          </w:tcPr>
          <w:p w:rsidR="00F6597A" w:rsidRDefault="001963AF">
            <w:pPr>
              <w:spacing w:before="60" w:after="60"/>
            </w:pPr>
            <w:r>
              <w:rPr>
                <w:rFonts w:ascii="Cambria" w:eastAsia="Cambria" w:hAnsi="Cambria" w:cs="Cambria"/>
                <w:sz w:val="16"/>
                <w:szCs w:val="16"/>
              </w:rPr>
              <w:t>Model financování samotného výzkumu by mohl být obdobně jako u podprogramu 1 programu GAMA.</w:t>
            </w:r>
          </w:p>
        </w:tc>
        <w:tc>
          <w:tcPr>
            <w:tcW w:w="3595" w:type="dxa"/>
          </w:tcPr>
          <w:p w:rsidR="00F6597A" w:rsidRDefault="001963AF">
            <w:pPr>
              <w:spacing w:before="60" w:after="60"/>
            </w:pPr>
            <w:r>
              <w:rPr>
                <w:rFonts w:ascii="Cambria" w:eastAsia="Cambria" w:hAnsi="Cambria" w:cs="Cambria"/>
                <w:sz w:val="16"/>
                <w:szCs w:val="16"/>
              </w:rPr>
              <w:t>Podpora je složena z 50 % z příspěvku státu a z 50 % z příspěvku firmy.</w:t>
            </w:r>
          </w:p>
        </w:tc>
        <w:tc>
          <w:tcPr>
            <w:tcW w:w="3068" w:type="dxa"/>
          </w:tcPr>
          <w:p w:rsidR="00F6597A" w:rsidRDefault="001963AF">
            <w:pPr>
              <w:spacing w:before="60" w:after="60" w:line="276" w:lineRule="auto"/>
            </w:pPr>
            <w:r>
              <w:rPr>
                <w:rFonts w:ascii="Cambria" w:eastAsia="Cambria" w:hAnsi="Cambria" w:cs="Cambria"/>
                <w:sz w:val="16"/>
                <w:szCs w:val="16"/>
              </w:rPr>
              <w:t xml:space="preserve">Přibližně 65 % finančních prostředků pochází z vlastní činnosti institutů, a 35 % pochází z veřejných zdrojů.   </w:t>
            </w:r>
          </w:p>
          <w:p w:rsidR="00F6597A" w:rsidRDefault="001963AF">
            <w:pPr>
              <w:spacing w:before="60" w:after="60"/>
            </w:pPr>
            <w:r>
              <w:rPr>
                <w:rFonts w:ascii="Cambria" w:eastAsia="Cambria" w:hAnsi="Cambria" w:cs="Cambria"/>
                <w:sz w:val="16"/>
                <w:szCs w:val="16"/>
              </w:rPr>
              <w:t xml:space="preserve">Struktura původu příjmů je považována za dobře vybalancovanou, neboť: </w:t>
            </w:r>
          </w:p>
          <w:p w:rsidR="00F6597A" w:rsidRDefault="001963AF">
            <w:pPr>
              <w:numPr>
                <w:ilvl w:val="0"/>
                <w:numId w:val="6"/>
              </w:numPr>
              <w:spacing w:before="60" w:after="60"/>
              <w:ind w:left="247" w:hanging="135"/>
              <w:contextualSpacing/>
              <w:rPr>
                <w:rFonts w:ascii="Cambria" w:eastAsia="Cambria" w:hAnsi="Cambria" w:cs="Cambria"/>
                <w:sz w:val="16"/>
                <w:szCs w:val="16"/>
              </w:rPr>
            </w:pPr>
            <w:r>
              <w:rPr>
                <w:rFonts w:ascii="Cambria" w:eastAsia="Cambria" w:hAnsi="Cambria" w:cs="Cambria"/>
                <w:sz w:val="16"/>
                <w:szCs w:val="16"/>
              </w:rPr>
              <w:t xml:space="preserve">30% - příjmů z průmyslu dovoluje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demonstrovat její schopnost transfe</w:t>
            </w:r>
            <w:r>
              <w:rPr>
                <w:rFonts w:ascii="Cambria" w:eastAsia="Cambria" w:hAnsi="Cambria" w:cs="Cambria"/>
                <w:sz w:val="16"/>
                <w:szCs w:val="16"/>
              </w:rPr>
              <w:t>rovat výstupy výzkumu na trh;</w:t>
            </w:r>
          </w:p>
          <w:p w:rsidR="00F6597A" w:rsidRDefault="001963AF">
            <w:pPr>
              <w:numPr>
                <w:ilvl w:val="0"/>
                <w:numId w:val="6"/>
              </w:numPr>
              <w:spacing w:before="60" w:after="60"/>
              <w:ind w:left="247" w:hanging="135"/>
              <w:contextualSpacing/>
              <w:rPr>
                <w:rFonts w:ascii="Cambria" w:eastAsia="Cambria" w:hAnsi="Cambria" w:cs="Cambria"/>
                <w:sz w:val="16"/>
                <w:szCs w:val="16"/>
              </w:rPr>
            </w:pPr>
            <w:r>
              <w:rPr>
                <w:rFonts w:ascii="Cambria" w:eastAsia="Cambria" w:hAnsi="Cambria" w:cs="Cambria"/>
                <w:sz w:val="16"/>
                <w:szCs w:val="16"/>
              </w:rPr>
              <w:t xml:space="preserve">30% příjmů z veřejné podpory (programy německých </w:t>
            </w:r>
            <w:proofErr w:type="gramStart"/>
            <w:r>
              <w:rPr>
                <w:rFonts w:ascii="Cambria" w:eastAsia="Cambria" w:hAnsi="Cambria" w:cs="Cambria"/>
                <w:sz w:val="16"/>
                <w:szCs w:val="16"/>
              </w:rPr>
              <w:t>ministerstvech</w:t>
            </w:r>
            <w:proofErr w:type="gramEnd"/>
            <w:r>
              <w:rPr>
                <w:rFonts w:ascii="Cambria" w:eastAsia="Cambria" w:hAnsi="Cambria" w:cs="Cambria"/>
                <w:sz w:val="16"/>
                <w:szCs w:val="16"/>
              </w:rPr>
              <w:t xml:space="preserve"> nebo EU) dovoluje zapojení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do oblasti </w:t>
            </w:r>
            <w:proofErr w:type="spellStart"/>
            <w:r>
              <w:rPr>
                <w:rFonts w:ascii="Cambria" w:eastAsia="Cambria" w:hAnsi="Cambria" w:cs="Cambria"/>
                <w:sz w:val="16"/>
                <w:szCs w:val="16"/>
              </w:rPr>
              <w:lastRenderedPageBreak/>
              <w:t>prekomerčního</w:t>
            </w:r>
            <w:proofErr w:type="spellEnd"/>
            <w:r>
              <w:rPr>
                <w:rFonts w:ascii="Cambria" w:eastAsia="Cambria" w:hAnsi="Cambria" w:cs="Cambria"/>
                <w:sz w:val="16"/>
                <w:szCs w:val="16"/>
              </w:rPr>
              <w:t xml:space="preserve"> výzkumu;</w:t>
            </w:r>
          </w:p>
          <w:p w:rsidR="00F6597A" w:rsidRDefault="001963AF">
            <w:pPr>
              <w:numPr>
                <w:ilvl w:val="0"/>
                <w:numId w:val="6"/>
              </w:numPr>
              <w:spacing w:before="60" w:after="60"/>
              <w:ind w:left="247" w:hanging="135"/>
              <w:contextualSpacing/>
              <w:rPr>
                <w:rFonts w:ascii="Cambria" w:eastAsia="Cambria" w:hAnsi="Cambria" w:cs="Cambria"/>
                <w:sz w:val="16"/>
                <w:szCs w:val="16"/>
              </w:rPr>
            </w:pPr>
            <w:proofErr w:type="gramStart"/>
            <w:r>
              <w:rPr>
                <w:rFonts w:ascii="Cambria" w:eastAsia="Cambria" w:hAnsi="Cambria" w:cs="Cambria"/>
                <w:sz w:val="16"/>
                <w:szCs w:val="16"/>
              </w:rPr>
              <w:t>35%  institucionální</w:t>
            </w:r>
            <w:proofErr w:type="gramEnd"/>
            <w:r>
              <w:rPr>
                <w:rFonts w:ascii="Cambria" w:eastAsia="Cambria" w:hAnsi="Cambria" w:cs="Cambria"/>
                <w:sz w:val="16"/>
                <w:szCs w:val="16"/>
              </w:rPr>
              <w:t xml:space="preserve"> podpory dovoluje provádět výzkum orientovaný do budoucnosti (blue-</w:t>
            </w:r>
            <w:proofErr w:type="spellStart"/>
            <w:r>
              <w:rPr>
                <w:rFonts w:ascii="Cambria" w:eastAsia="Cambria" w:hAnsi="Cambria" w:cs="Cambria"/>
                <w:sz w:val="16"/>
                <w:szCs w:val="16"/>
              </w:rPr>
              <w:t>sky</w:t>
            </w:r>
            <w:proofErr w:type="spellEnd"/>
            <w:r>
              <w:rPr>
                <w:rFonts w:ascii="Cambria" w:eastAsia="Cambria" w:hAnsi="Cambria" w:cs="Cambria"/>
                <w:sz w:val="16"/>
                <w:szCs w:val="16"/>
              </w:rPr>
              <w:t xml:space="preserve"> </w:t>
            </w:r>
            <w:proofErr w:type="spellStart"/>
            <w:r>
              <w:rPr>
                <w:rFonts w:ascii="Cambria" w:eastAsia="Cambria" w:hAnsi="Cambria" w:cs="Cambria"/>
                <w:sz w:val="16"/>
                <w:szCs w:val="16"/>
              </w:rPr>
              <w:t>resear</w:t>
            </w:r>
            <w:r>
              <w:rPr>
                <w:rFonts w:ascii="Cambria" w:eastAsia="Cambria" w:hAnsi="Cambria" w:cs="Cambria"/>
                <w:sz w:val="16"/>
                <w:szCs w:val="16"/>
              </w:rPr>
              <w:t>ch</w:t>
            </w:r>
            <w:proofErr w:type="spellEnd"/>
            <w:r>
              <w:rPr>
                <w:rFonts w:ascii="Cambria" w:eastAsia="Cambria" w:hAnsi="Cambria" w:cs="Cambria"/>
                <w:sz w:val="16"/>
                <w:szCs w:val="16"/>
              </w:rPr>
              <w:t>, výzkum s vysokou rizikovostí);</w:t>
            </w:r>
          </w:p>
          <w:p w:rsidR="00F6597A" w:rsidRDefault="001963AF">
            <w:pPr>
              <w:numPr>
                <w:ilvl w:val="0"/>
                <w:numId w:val="6"/>
              </w:numPr>
              <w:spacing w:before="60" w:after="60"/>
              <w:ind w:left="247" w:hanging="135"/>
              <w:contextualSpacing/>
              <w:rPr>
                <w:rFonts w:ascii="Cambria" w:eastAsia="Cambria" w:hAnsi="Cambria" w:cs="Cambria"/>
                <w:sz w:val="16"/>
                <w:szCs w:val="16"/>
              </w:rPr>
            </w:pPr>
            <w:r>
              <w:rPr>
                <w:rFonts w:ascii="Cambria" w:eastAsia="Cambria" w:hAnsi="Cambria" w:cs="Cambria"/>
                <w:sz w:val="16"/>
                <w:szCs w:val="16"/>
              </w:rPr>
              <w:t>5% tvoří investice a obranný výzkum.</w:t>
            </w:r>
          </w:p>
          <w:p w:rsidR="00F6597A" w:rsidRDefault="001963AF">
            <w:pPr>
              <w:spacing w:before="60" w:after="60"/>
            </w:pPr>
            <w:r>
              <w:rPr>
                <w:rFonts w:ascii="Cambria" w:eastAsia="Cambria" w:hAnsi="Cambria" w:cs="Cambria"/>
                <w:sz w:val="16"/>
                <w:szCs w:val="16"/>
              </w:rPr>
              <w:t xml:space="preserve">Přibližně 65 % finančních prostředků pochází z </w:t>
            </w:r>
            <w:r>
              <w:rPr>
                <w:rFonts w:ascii="Cambria" w:eastAsia="Cambria" w:hAnsi="Cambria" w:cs="Cambria"/>
                <w:b/>
                <w:sz w:val="16"/>
                <w:szCs w:val="16"/>
              </w:rPr>
              <w:t>vlastní výzkumné činnosti institutů</w:t>
            </w:r>
            <w:r>
              <w:rPr>
                <w:rFonts w:ascii="Cambria" w:eastAsia="Cambria" w:hAnsi="Cambria" w:cs="Cambria"/>
                <w:sz w:val="16"/>
                <w:szCs w:val="16"/>
              </w:rPr>
              <w:t xml:space="preserve">. Do této činnosti se počítají  </w:t>
            </w:r>
          </w:p>
          <w:p w:rsidR="00F6597A" w:rsidRDefault="001963AF">
            <w:pPr>
              <w:numPr>
                <w:ilvl w:val="0"/>
                <w:numId w:val="9"/>
              </w:numPr>
              <w:spacing w:before="60" w:after="60"/>
              <w:ind w:left="247" w:hanging="135"/>
              <w:contextualSpacing/>
              <w:rPr>
                <w:rFonts w:ascii="Cambria" w:eastAsia="Cambria" w:hAnsi="Cambria" w:cs="Cambria"/>
                <w:sz w:val="16"/>
                <w:szCs w:val="16"/>
              </w:rPr>
            </w:pPr>
            <w:r>
              <w:rPr>
                <w:rFonts w:ascii="Cambria" w:eastAsia="Cambria" w:hAnsi="Cambria" w:cs="Cambria"/>
                <w:sz w:val="16"/>
                <w:szCs w:val="16"/>
              </w:rPr>
              <w:t xml:space="preserve">příjmy z výzkumné činnosti pro </w:t>
            </w:r>
            <w:proofErr w:type="gramStart"/>
            <w:r>
              <w:rPr>
                <w:rFonts w:ascii="Cambria" w:eastAsia="Cambria" w:hAnsi="Cambria" w:cs="Cambria"/>
                <w:sz w:val="16"/>
                <w:szCs w:val="16"/>
              </w:rPr>
              <w:t>trh ( výzkumu</w:t>
            </w:r>
            <w:proofErr w:type="gramEnd"/>
            <w:r>
              <w:rPr>
                <w:rFonts w:ascii="Cambria" w:eastAsia="Cambria" w:hAnsi="Cambria" w:cs="Cambria"/>
                <w:sz w:val="16"/>
                <w:szCs w:val="16"/>
              </w:rPr>
              <w:t xml:space="preserve"> na zakázku, spin </w:t>
            </w:r>
            <w:proofErr w:type="spellStart"/>
            <w:r>
              <w:rPr>
                <w:rFonts w:ascii="Cambria" w:eastAsia="Cambria" w:hAnsi="Cambria" w:cs="Cambria"/>
                <w:sz w:val="16"/>
                <w:szCs w:val="16"/>
              </w:rPr>
              <w:t>out</w:t>
            </w:r>
            <w:proofErr w:type="spellEnd"/>
            <w:r>
              <w:rPr>
                <w:rFonts w:ascii="Cambria" w:eastAsia="Cambria" w:hAnsi="Cambria" w:cs="Cambria"/>
                <w:sz w:val="16"/>
                <w:szCs w:val="16"/>
              </w:rPr>
              <w:t xml:space="preserve">, příjmy z licencí)= 35%, </w:t>
            </w:r>
          </w:p>
          <w:p w:rsidR="00F6597A" w:rsidRDefault="001963AF">
            <w:pPr>
              <w:numPr>
                <w:ilvl w:val="0"/>
                <w:numId w:val="9"/>
              </w:numPr>
              <w:spacing w:before="60" w:after="60"/>
              <w:ind w:left="247" w:hanging="135"/>
              <w:contextualSpacing/>
              <w:rPr>
                <w:rFonts w:ascii="Cambria" w:eastAsia="Cambria" w:hAnsi="Cambria" w:cs="Cambria"/>
                <w:sz w:val="16"/>
                <w:szCs w:val="16"/>
              </w:rPr>
            </w:pPr>
            <w:r>
              <w:rPr>
                <w:rFonts w:ascii="Cambria" w:eastAsia="Cambria" w:hAnsi="Cambria" w:cs="Cambria"/>
                <w:sz w:val="16"/>
                <w:szCs w:val="16"/>
              </w:rPr>
              <w:t>příjmy z výzkumné činnosti financované veřejnou podporou (německé vládní instituce, EU, atp.) = 30%</w:t>
            </w:r>
          </w:p>
          <w:p w:rsidR="00F6597A" w:rsidRDefault="001963AF">
            <w:pPr>
              <w:spacing w:before="60" w:after="60"/>
            </w:pPr>
            <w:r>
              <w:rPr>
                <w:rFonts w:ascii="Cambria" w:eastAsia="Cambria" w:hAnsi="Cambria" w:cs="Cambria"/>
                <w:sz w:val="16"/>
                <w:szCs w:val="16"/>
              </w:rPr>
              <w:t xml:space="preserve">Zbylých ca 35 % je rozdělováno na základě dosahovaných výsledků </w:t>
            </w:r>
            <w:r>
              <w:rPr>
                <w:rFonts w:ascii="Cambria" w:eastAsia="Cambria" w:hAnsi="Cambria" w:cs="Cambria"/>
                <w:sz w:val="16"/>
                <w:szCs w:val="16"/>
              </w:rPr>
              <w:t xml:space="preserve">jako </w:t>
            </w:r>
            <w:r>
              <w:rPr>
                <w:rFonts w:ascii="Cambria" w:eastAsia="Cambria" w:hAnsi="Cambria" w:cs="Cambria"/>
                <w:b/>
                <w:sz w:val="16"/>
                <w:szCs w:val="16"/>
              </w:rPr>
              <w:t>institucionální podpora</w:t>
            </w:r>
            <w:r>
              <w:rPr>
                <w:rFonts w:ascii="Cambria" w:eastAsia="Cambria" w:hAnsi="Cambria" w:cs="Cambria"/>
                <w:sz w:val="16"/>
                <w:szCs w:val="16"/>
              </w:rPr>
              <w:t>, z toho:</w:t>
            </w:r>
          </w:p>
          <w:p w:rsidR="00F6597A" w:rsidRDefault="001963AF">
            <w:pPr>
              <w:numPr>
                <w:ilvl w:val="0"/>
                <w:numId w:val="4"/>
              </w:numPr>
              <w:spacing w:before="60" w:after="60"/>
              <w:ind w:left="247" w:hanging="135"/>
              <w:contextualSpacing/>
              <w:rPr>
                <w:rFonts w:ascii="Cambria" w:eastAsia="Cambria" w:hAnsi="Cambria" w:cs="Cambria"/>
                <w:sz w:val="16"/>
                <w:szCs w:val="16"/>
              </w:rPr>
            </w:pPr>
            <w:proofErr w:type="gramStart"/>
            <w:r>
              <w:rPr>
                <w:rFonts w:ascii="Cambria" w:eastAsia="Cambria" w:hAnsi="Cambria" w:cs="Cambria"/>
                <w:sz w:val="16"/>
                <w:szCs w:val="16"/>
              </w:rPr>
              <w:t>z  federálního</w:t>
            </w:r>
            <w:proofErr w:type="gramEnd"/>
            <w:r>
              <w:rPr>
                <w:rFonts w:ascii="Cambria" w:eastAsia="Cambria" w:hAnsi="Cambria" w:cs="Cambria"/>
                <w:sz w:val="16"/>
                <w:szCs w:val="16"/>
              </w:rPr>
              <w:t xml:space="preserve"> rozpočtu 90%;</w:t>
            </w:r>
          </w:p>
          <w:p w:rsidR="00F6597A" w:rsidRDefault="001963AF">
            <w:pPr>
              <w:numPr>
                <w:ilvl w:val="0"/>
                <w:numId w:val="4"/>
              </w:numPr>
              <w:spacing w:before="60" w:after="60"/>
              <w:ind w:left="247" w:hanging="135"/>
              <w:contextualSpacing/>
              <w:rPr>
                <w:rFonts w:ascii="Cambria" w:eastAsia="Cambria" w:hAnsi="Cambria" w:cs="Cambria"/>
                <w:sz w:val="16"/>
                <w:szCs w:val="16"/>
              </w:rPr>
            </w:pPr>
            <w:r>
              <w:rPr>
                <w:rFonts w:ascii="Cambria" w:eastAsia="Cambria" w:hAnsi="Cambria" w:cs="Cambria"/>
                <w:sz w:val="16"/>
                <w:szCs w:val="16"/>
              </w:rPr>
              <w:t>z rozpočtu spolkových zemí 10%.</w:t>
            </w:r>
          </w:p>
          <w:p w:rsidR="00F6597A" w:rsidRDefault="001963AF">
            <w:pPr>
              <w:spacing w:before="60" w:after="60"/>
            </w:pPr>
            <w:r>
              <w:rPr>
                <w:rFonts w:ascii="Cambria" w:eastAsia="Cambria" w:hAnsi="Cambria" w:cs="Cambria"/>
                <w:sz w:val="16"/>
                <w:szCs w:val="16"/>
              </w:rPr>
              <w:t xml:space="preserve">Institucionální podpora je pro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významná v tom smyslu, že neodvádí pozornost od výzkumu samotného tím, že by se instituce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musely věnovat vyděláváním “</w:t>
            </w:r>
            <w:r>
              <w:rPr>
                <w:rFonts w:ascii="Cambria" w:eastAsia="Cambria" w:hAnsi="Cambria" w:cs="Cambria"/>
                <w:sz w:val="16"/>
                <w:szCs w:val="16"/>
              </w:rPr>
              <w:t xml:space="preserve">rychlých peněz” (měření, testy, certifikace, konzultační služby apod.), nebo se </w:t>
            </w:r>
            <w:proofErr w:type="gramStart"/>
            <w:r>
              <w:rPr>
                <w:rFonts w:ascii="Cambria" w:eastAsia="Cambria" w:hAnsi="Cambria" w:cs="Cambria"/>
                <w:sz w:val="16"/>
                <w:szCs w:val="16"/>
              </w:rPr>
              <w:t>obchodně  zaměřovat</w:t>
            </w:r>
            <w:proofErr w:type="gramEnd"/>
            <w:r>
              <w:rPr>
                <w:rFonts w:ascii="Cambria" w:eastAsia="Cambria" w:hAnsi="Cambria" w:cs="Cambria"/>
                <w:sz w:val="16"/>
                <w:szCs w:val="16"/>
              </w:rPr>
              <w:t xml:space="preserve"> na oblasti, kde již dominuje soukromý sektor.</w:t>
            </w:r>
          </w:p>
          <w:p w:rsidR="00F6597A" w:rsidRDefault="001963AF">
            <w:pPr>
              <w:spacing w:before="60" w:after="60"/>
            </w:pPr>
            <w:r>
              <w:rPr>
                <w:rFonts w:ascii="Cambria" w:eastAsia="Cambria" w:hAnsi="Cambria" w:cs="Cambria"/>
                <w:sz w:val="16"/>
                <w:szCs w:val="16"/>
              </w:rPr>
              <w:t xml:space="preserve">Institucionální podpora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není vázána na žádnou oblast ekonomiky, vědy ani </w:t>
            </w:r>
            <w:proofErr w:type="gramStart"/>
            <w:r>
              <w:rPr>
                <w:rFonts w:ascii="Cambria" w:eastAsia="Cambria" w:hAnsi="Cambria" w:cs="Cambria"/>
                <w:sz w:val="16"/>
                <w:szCs w:val="16"/>
              </w:rPr>
              <w:t>další  podmínky</w:t>
            </w:r>
            <w:proofErr w:type="gramEnd"/>
            <w:r>
              <w:rPr>
                <w:rFonts w:ascii="Cambria" w:eastAsia="Cambria" w:hAnsi="Cambria" w:cs="Cambria"/>
                <w:sz w:val="16"/>
                <w:szCs w:val="16"/>
              </w:rPr>
              <w:t xml:space="preserve"> pro typy výdajů (</w:t>
            </w:r>
            <w:r>
              <w:rPr>
                <w:rFonts w:ascii="Cambria" w:eastAsia="Cambria" w:hAnsi="Cambria" w:cs="Cambria"/>
                <w:sz w:val="16"/>
                <w:szCs w:val="16"/>
              </w:rPr>
              <w:t xml:space="preserve">projekty, investice apod.). Co do alokace zdrojů </w:t>
            </w:r>
            <w:proofErr w:type="gramStart"/>
            <w:r>
              <w:rPr>
                <w:rFonts w:ascii="Cambria" w:eastAsia="Cambria" w:hAnsi="Cambria" w:cs="Cambria"/>
                <w:sz w:val="16"/>
                <w:szCs w:val="16"/>
              </w:rPr>
              <w:t>svým  jednotlivým</w:t>
            </w:r>
            <w:proofErr w:type="gramEnd"/>
            <w:r>
              <w:rPr>
                <w:rFonts w:ascii="Cambria" w:eastAsia="Cambria" w:hAnsi="Cambria" w:cs="Cambria"/>
                <w:sz w:val="16"/>
                <w:szCs w:val="16"/>
              </w:rPr>
              <w:t xml:space="preserve"> institutům je mnichovská centrála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svobodná, přičemž dodržuje tyto zásady:</w:t>
            </w:r>
          </w:p>
          <w:p w:rsidR="00F6597A" w:rsidRDefault="001963AF">
            <w:pPr>
              <w:numPr>
                <w:ilvl w:val="0"/>
                <w:numId w:val="8"/>
              </w:numPr>
              <w:spacing w:before="60" w:after="60"/>
              <w:ind w:left="247" w:hanging="135"/>
              <w:contextualSpacing/>
              <w:rPr>
                <w:rFonts w:ascii="Cambria" w:eastAsia="Cambria" w:hAnsi="Cambria" w:cs="Cambria"/>
                <w:sz w:val="16"/>
                <w:szCs w:val="16"/>
              </w:rPr>
            </w:pPr>
            <w:r>
              <w:rPr>
                <w:rFonts w:ascii="Cambria" w:eastAsia="Cambria" w:hAnsi="Cambria" w:cs="Cambria"/>
                <w:sz w:val="16"/>
                <w:szCs w:val="16"/>
              </w:rPr>
              <w:t xml:space="preserve">rovnice pro přerozdělování institucionální </w:t>
            </w:r>
            <w:proofErr w:type="gramStart"/>
            <w:r>
              <w:rPr>
                <w:rFonts w:ascii="Cambria" w:eastAsia="Cambria" w:hAnsi="Cambria" w:cs="Cambria"/>
                <w:sz w:val="16"/>
                <w:szCs w:val="16"/>
              </w:rPr>
              <w:t>podpory  je</w:t>
            </w:r>
            <w:proofErr w:type="gramEnd"/>
            <w:r>
              <w:rPr>
                <w:rFonts w:ascii="Cambria" w:eastAsia="Cambria" w:hAnsi="Cambria" w:cs="Cambria"/>
                <w:sz w:val="16"/>
                <w:szCs w:val="16"/>
              </w:rPr>
              <w:t xml:space="preserve"> transparentní všem institucím (bez záruky rovného příjmu</w:t>
            </w:r>
            <w:r>
              <w:rPr>
                <w:rFonts w:ascii="Cambria" w:eastAsia="Cambria" w:hAnsi="Cambria" w:cs="Cambria"/>
                <w:sz w:val="16"/>
                <w:szCs w:val="16"/>
              </w:rPr>
              <w:t>)</w:t>
            </w:r>
          </w:p>
          <w:p w:rsidR="00F6597A" w:rsidRDefault="001963AF">
            <w:pPr>
              <w:numPr>
                <w:ilvl w:val="0"/>
                <w:numId w:val="8"/>
              </w:numPr>
              <w:spacing w:before="60" w:after="60"/>
              <w:ind w:left="247" w:hanging="135"/>
              <w:contextualSpacing/>
              <w:rPr>
                <w:rFonts w:ascii="Cambria" w:eastAsia="Cambria" w:hAnsi="Cambria" w:cs="Cambria"/>
                <w:sz w:val="16"/>
                <w:szCs w:val="16"/>
              </w:rPr>
            </w:pPr>
            <w:r>
              <w:rPr>
                <w:rFonts w:ascii="Cambria" w:eastAsia="Cambria" w:hAnsi="Cambria" w:cs="Cambria"/>
                <w:sz w:val="16"/>
                <w:szCs w:val="16"/>
              </w:rPr>
              <w:t xml:space="preserve">instituty se musí spolehnout na určitou sumu potřebnou pro střednědobý časový rámec (na základě </w:t>
            </w:r>
            <w:proofErr w:type="spellStart"/>
            <w:r>
              <w:rPr>
                <w:rFonts w:ascii="Cambria" w:eastAsia="Cambria" w:hAnsi="Cambria" w:cs="Cambria"/>
                <w:sz w:val="16"/>
                <w:szCs w:val="16"/>
              </w:rPr>
              <w:t>algorytmu</w:t>
            </w:r>
            <w:proofErr w:type="spellEnd"/>
            <w:r>
              <w:rPr>
                <w:rFonts w:ascii="Cambria" w:eastAsia="Cambria" w:hAnsi="Cambria" w:cs="Cambria"/>
                <w:sz w:val="16"/>
                <w:szCs w:val="16"/>
              </w:rPr>
              <w:t>, dlouhodobých regulací)</w:t>
            </w:r>
          </w:p>
          <w:p w:rsidR="00F6597A" w:rsidRDefault="001963AF">
            <w:pPr>
              <w:numPr>
                <w:ilvl w:val="0"/>
                <w:numId w:val="8"/>
              </w:numPr>
              <w:spacing w:before="60" w:after="60"/>
              <w:ind w:left="247" w:hanging="135"/>
              <w:contextualSpacing/>
              <w:rPr>
                <w:rFonts w:ascii="Cambria" w:eastAsia="Cambria" w:hAnsi="Cambria" w:cs="Cambria"/>
                <w:sz w:val="16"/>
                <w:szCs w:val="16"/>
              </w:rPr>
            </w:pPr>
            <w:r>
              <w:rPr>
                <w:rFonts w:ascii="Cambria" w:eastAsia="Cambria" w:hAnsi="Cambria" w:cs="Cambria"/>
                <w:sz w:val="16"/>
                <w:szCs w:val="16"/>
              </w:rPr>
              <w:t>obsahuje výkonnostní prvek vnášející konkurenci mezi instituty v jejich soutěži o část budgetu (bez velké byrokracie)</w:t>
            </w:r>
          </w:p>
          <w:p w:rsidR="00F6597A" w:rsidRDefault="001963AF">
            <w:pPr>
              <w:numPr>
                <w:ilvl w:val="0"/>
                <w:numId w:val="8"/>
              </w:numPr>
              <w:spacing w:before="60" w:after="60"/>
              <w:ind w:left="247" w:hanging="135"/>
              <w:contextualSpacing/>
              <w:rPr>
                <w:rFonts w:ascii="Cambria" w:eastAsia="Cambria" w:hAnsi="Cambria" w:cs="Cambria"/>
                <w:sz w:val="16"/>
                <w:szCs w:val="16"/>
              </w:rPr>
            </w:pPr>
            <w:r>
              <w:rPr>
                <w:rFonts w:ascii="Cambria" w:eastAsia="Cambria" w:hAnsi="Cambria" w:cs="Cambria"/>
                <w:sz w:val="16"/>
                <w:szCs w:val="16"/>
              </w:rPr>
              <w:lastRenderedPageBreak/>
              <w:t>mnicho</w:t>
            </w:r>
            <w:r>
              <w:rPr>
                <w:rFonts w:ascii="Cambria" w:eastAsia="Cambria" w:hAnsi="Cambria" w:cs="Cambria"/>
                <w:sz w:val="16"/>
                <w:szCs w:val="16"/>
              </w:rPr>
              <w:t xml:space="preserve">vské vedení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musí užít část budgetu na financování společného strategického rozvoje</w:t>
            </w:r>
          </w:p>
          <w:p w:rsidR="00F6597A" w:rsidRDefault="001963AF">
            <w:pPr>
              <w:spacing w:before="60" w:after="60"/>
            </w:pPr>
            <w:r>
              <w:rPr>
                <w:rFonts w:ascii="Cambria" w:eastAsia="Cambria" w:hAnsi="Cambria" w:cs="Cambria"/>
                <w:sz w:val="16"/>
                <w:szCs w:val="16"/>
              </w:rPr>
              <w:t xml:space="preserve">Tyto principy alokace institucionálního financování se odvíjí od tzv. </w:t>
            </w:r>
            <w:proofErr w:type="spellStart"/>
            <w:r>
              <w:rPr>
                <w:rFonts w:ascii="Cambria" w:eastAsia="Cambria" w:hAnsi="Cambria" w:cs="Cambria"/>
                <w:b/>
                <w:sz w:val="16"/>
                <w:szCs w:val="16"/>
              </w:rPr>
              <w:t>Fraunhoferova</w:t>
            </w:r>
            <w:proofErr w:type="spellEnd"/>
            <w:r>
              <w:rPr>
                <w:rFonts w:ascii="Cambria" w:eastAsia="Cambria" w:hAnsi="Cambria" w:cs="Cambria"/>
                <w:b/>
                <w:sz w:val="16"/>
                <w:szCs w:val="16"/>
              </w:rPr>
              <w:t xml:space="preserve"> modelu </w:t>
            </w:r>
            <w:r>
              <w:rPr>
                <w:rFonts w:ascii="Cambria" w:eastAsia="Cambria" w:hAnsi="Cambria" w:cs="Cambria"/>
                <w:sz w:val="16"/>
                <w:szCs w:val="16"/>
              </w:rPr>
              <w:t xml:space="preserve">(zaveden v roce 1973), který se skládá z těchto komponent: </w:t>
            </w:r>
          </w:p>
          <w:p w:rsidR="00F6597A" w:rsidRDefault="001963AF">
            <w:pPr>
              <w:numPr>
                <w:ilvl w:val="0"/>
                <w:numId w:val="5"/>
              </w:numPr>
              <w:spacing w:before="60" w:after="60"/>
              <w:ind w:left="247" w:hanging="270"/>
              <w:contextualSpacing/>
              <w:rPr>
                <w:rFonts w:ascii="Cambria" w:eastAsia="Cambria" w:hAnsi="Cambria" w:cs="Cambria"/>
                <w:sz w:val="16"/>
                <w:szCs w:val="16"/>
              </w:rPr>
            </w:pPr>
            <w:r>
              <w:rPr>
                <w:rFonts w:ascii="Cambria" w:eastAsia="Cambria" w:hAnsi="Cambria" w:cs="Cambria"/>
                <w:sz w:val="16"/>
                <w:szCs w:val="16"/>
              </w:rPr>
              <w:t xml:space="preserve">65% institucionální podpory je jednotlivým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institutům distribuováno na základě příjmů z třetích stran v předcházejícím fiskálním roce. Sem se počítají operační budget, příjmy z průmyslu, příjmy z EK. Tuto část institucionálního financování tvoří:</w:t>
            </w:r>
          </w:p>
          <w:p w:rsidR="00F6597A" w:rsidRDefault="001963AF">
            <w:pPr>
              <w:numPr>
                <w:ilvl w:val="0"/>
                <w:numId w:val="1"/>
              </w:numPr>
              <w:spacing w:before="60" w:after="60"/>
              <w:ind w:hanging="360"/>
              <w:contextualSpacing/>
              <w:rPr>
                <w:rFonts w:ascii="Cambria" w:eastAsia="Cambria" w:hAnsi="Cambria" w:cs="Cambria"/>
                <w:sz w:val="16"/>
                <w:szCs w:val="16"/>
              </w:rPr>
            </w:pPr>
            <w:r>
              <w:rPr>
                <w:rFonts w:ascii="Cambria" w:eastAsia="Cambria" w:hAnsi="Cambria" w:cs="Cambria"/>
                <w:sz w:val="16"/>
                <w:szCs w:val="16"/>
              </w:rPr>
              <w:t>fixní částka 0,6 mil EUR</w:t>
            </w:r>
          </w:p>
          <w:p w:rsidR="00F6597A" w:rsidRDefault="001963AF">
            <w:pPr>
              <w:numPr>
                <w:ilvl w:val="0"/>
                <w:numId w:val="1"/>
              </w:numPr>
              <w:spacing w:before="60" w:after="60"/>
              <w:ind w:hanging="360"/>
              <w:contextualSpacing/>
              <w:rPr>
                <w:rFonts w:ascii="Cambria" w:eastAsia="Cambria" w:hAnsi="Cambria" w:cs="Cambria"/>
                <w:sz w:val="16"/>
                <w:szCs w:val="16"/>
              </w:rPr>
            </w:pPr>
            <w:r>
              <w:rPr>
                <w:rFonts w:ascii="Cambria" w:eastAsia="Cambria" w:hAnsi="Cambria" w:cs="Cambria"/>
                <w:sz w:val="16"/>
                <w:szCs w:val="16"/>
              </w:rPr>
              <w:t>12% z budgetu institutu</w:t>
            </w:r>
          </w:p>
          <w:p w:rsidR="00F6597A" w:rsidRDefault="001963AF">
            <w:pPr>
              <w:numPr>
                <w:ilvl w:val="0"/>
                <w:numId w:val="1"/>
              </w:numPr>
              <w:spacing w:before="60" w:after="60"/>
              <w:ind w:hanging="360"/>
              <w:contextualSpacing/>
              <w:rPr>
                <w:rFonts w:ascii="Cambria" w:eastAsia="Cambria" w:hAnsi="Cambria" w:cs="Cambria"/>
                <w:sz w:val="16"/>
                <w:szCs w:val="16"/>
              </w:rPr>
            </w:pPr>
            <w:r>
              <w:rPr>
                <w:rFonts w:ascii="Cambria" w:eastAsia="Cambria" w:hAnsi="Cambria" w:cs="Cambria"/>
                <w:sz w:val="16"/>
                <w:szCs w:val="16"/>
              </w:rPr>
              <w:t>10-40% na základě výše příjmů z průmyslu</w:t>
            </w:r>
          </w:p>
          <w:p w:rsidR="00F6597A" w:rsidRDefault="001963AF">
            <w:pPr>
              <w:numPr>
                <w:ilvl w:val="0"/>
                <w:numId w:val="1"/>
              </w:numPr>
              <w:spacing w:before="60" w:after="60"/>
              <w:ind w:hanging="360"/>
              <w:contextualSpacing/>
              <w:rPr>
                <w:rFonts w:ascii="Cambria" w:eastAsia="Cambria" w:hAnsi="Cambria" w:cs="Cambria"/>
                <w:sz w:val="16"/>
                <w:szCs w:val="16"/>
              </w:rPr>
            </w:pPr>
            <w:r>
              <w:rPr>
                <w:rFonts w:ascii="Cambria" w:eastAsia="Cambria" w:hAnsi="Cambria" w:cs="Cambria"/>
                <w:sz w:val="16"/>
                <w:szCs w:val="16"/>
              </w:rPr>
              <w:t>15% na základě výše příjmu z veřejných soutěží</w:t>
            </w:r>
          </w:p>
          <w:p w:rsidR="00F6597A" w:rsidRDefault="001963AF">
            <w:pPr>
              <w:spacing w:before="60" w:after="60"/>
            </w:pPr>
            <w:r>
              <w:rPr>
                <w:rFonts w:ascii="Cambria" w:eastAsia="Cambria" w:hAnsi="Cambria" w:cs="Cambria"/>
                <w:sz w:val="16"/>
                <w:szCs w:val="16"/>
              </w:rPr>
              <w:t xml:space="preserve">Využitím speciálního </w:t>
            </w:r>
            <w:proofErr w:type="spellStart"/>
            <w:r>
              <w:rPr>
                <w:rFonts w:ascii="Cambria" w:eastAsia="Cambria" w:hAnsi="Cambria" w:cs="Cambria"/>
                <w:sz w:val="16"/>
                <w:szCs w:val="16"/>
              </w:rPr>
              <w:t>algorytmu</w:t>
            </w:r>
            <w:proofErr w:type="spellEnd"/>
            <w:r>
              <w:rPr>
                <w:rFonts w:ascii="Cambria" w:eastAsia="Cambria" w:hAnsi="Cambria" w:cs="Cambria"/>
                <w:sz w:val="16"/>
                <w:szCs w:val="16"/>
              </w:rPr>
              <w:t xml:space="preserve"> si mohou jednotlivé instituce samy spočítat výši institucionální </w:t>
            </w:r>
            <w:proofErr w:type="spellStart"/>
            <w:r>
              <w:rPr>
                <w:rFonts w:ascii="Cambria" w:eastAsia="Cambria" w:hAnsi="Cambria" w:cs="Cambria"/>
                <w:sz w:val="16"/>
                <w:szCs w:val="16"/>
              </w:rPr>
              <w:t>podproy</w:t>
            </w:r>
            <w:proofErr w:type="spellEnd"/>
            <w:r>
              <w:rPr>
                <w:rFonts w:ascii="Cambria" w:eastAsia="Cambria" w:hAnsi="Cambria" w:cs="Cambria"/>
                <w:sz w:val="16"/>
                <w:szCs w:val="16"/>
              </w:rPr>
              <w:t xml:space="preserve"> plynoucí z cent</w:t>
            </w:r>
            <w:r>
              <w:rPr>
                <w:rFonts w:ascii="Cambria" w:eastAsia="Cambria" w:hAnsi="Cambria" w:cs="Cambria"/>
                <w:sz w:val="16"/>
                <w:szCs w:val="16"/>
              </w:rPr>
              <w:t xml:space="preserve">rály </w:t>
            </w:r>
            <w:proofErr w:type="spellStart"/>
            <w:r>
              <w:rPr>
                <w:rFonts w:ascii="Cambria" w:eastAsia="Cambria" w:hAnsi="Cambria" w:cs="Cambria"/>
                <w:sz w:val="16"/>
                <w:szCs w:val="16"/>
              </w:rPr>
              <w:t>FhG</w:t>
            </w:r>
            <w:proofErr w:type="spellEnd"/>
            <w:r>
              <w:rPr>
                <w:rFonts w:ascii="Cambria" w:eastAsia="Cambria" w:hAnsi="Cambria" w:cs="Cambria"/>
                <w:sz w:val="16"/>
                <w:szCs w:val="16"/>
              </w:rPr>
              <w:t>.</w:t>
            </w:r>
          </w:p>
          <w:p w:rsidR="00F6597A" w:rsidRDefault="001963AF">
            <w:pPr>
              <w:spacing w:before="60" w:after="60"/>
            </w:pP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mají k dispozici dále tyto prostředky:</w:t>
            </w:r>
          </w:p>
          <w:p w:rsidR="00F6597A" w:rsidRDefault="001963AF">
            <w:pPr>
              <w:numPr>
                <w:ilvl w:val="0"/>
                <w:numId w:val="5"/>
              </w:numPr>
              <w:spacing w:before="60" w:after="60"/>
              <w:ind w:left="247" w:hanging="270"/>
              <w:contextualSpacing/>
              <w:rPr>
                <w:rFonts w:ascii="Cambria" w:eastAsia="Cambria" w:hAnsi="Cambria" w:cs="Cambria"/>
                <w:sz w:val="16"/>
                <w:szCs w:val="16"/>
              </w:rPr>
            </w:pPr>
            <w:r>
              <w:rPr>
                <w:rFonts w:ascii="Cambria" w:eastAsia="Cambria" w:hAnsi="Cambria" w:cs="Cambria"/>
                <w:sz w:val="16"/>
                <w:szCs w:val="16"/>
              </w:rPr>
              <w:t xml:space="preserve">15% je alokování </w:t>
            </w:r>
            <w:proofErr w:type="gramStart"/>
            <w:r>
              <w:rPr>
                <w:rFonts w:ascii="Cambria" w:eastAsia="Cambria" w:hAnsi="Cambria" w:cs="Cambria"/>
                <w:sz w:val="16"/>
                <w:szCs w:val="16"/>
              </w:rPr>
              <w:t>na 4  interní</w:t>
            </w:r>
            <w:proofErr w:type="gramEnd"/>
            <w:r>
              <w:rPr>
                <w:rFonts w:ascii="Cambria" w:eastAsia="Cambria" w:hAnsi="Cambria" w:cs="Cambria"/>
                <w:sz w:val="16"/>
                <w:szCs w:val="16"/>
              </w:rPr>
              <w:t xml:space="preserve"> programy, do kterých se mohou instituce v konkurenci s ostatními přihlásit (iniciace nové výzkumné oblasti, nové spolupráce, vysoce rizikový výzkum)</w:t>
            </w:r>
          </w:p>
          <w:p w:rsidR="00F6597A" w:rsidRDefault="001963AF">
            <w:pPr>
              <w:numPr>
                <w:ilvl w:val="0"/>
                <w:numId w:val="5"/>
              </w:numPr>
              <w:spacing w:before="60" w:after="60"/>
              <w:ind w:left="247" w:hanging="270"/>
              <w:contextualSpacing/>
              <w:rPr>
                <w:rFonts w:ascii="Cambria" w:eastAsia="Cambria" w:hAnsi="Cambria" w:cs="Cambria"/>
                <w:sz w:val="16"/>
                <w:szCs w:val="16"/>
              </w:rPr>
            </w:pPr>
            <w:r>
              <w:rPr>
                <w:rFonts w:ascii="Cambria" w:eastAsia="Cambria" w:hAnsi="Cambria" w:cs="Cambria"/>
                <w:sz w:val="16"/>
                <w:szCs w:val="16"/>
              </w:rPr>
              <w:t>10% náleží strategickým</w:t>
            </w:r>
            <w:r>
              <w:rPr>
                <w:rFonts w:ascii="Cambria" w:eastAsia="Cambria" w:hAnsi="Cambria" w:cs="Cambria"/>
                <w:sz w:val="16"/>
                <w:szCs w:val="16"/>
              </w:rPr>
              <w:t xml:space="preserve"> investicím (vybavení), objednávky 2x ročně, rozhodnutí o pořízení vydává centrála na základě strategického plánu instituce</w:t>
            </w:r>
          </w:p>
          <w:p w:rsidR="00F6597A" w:rsidRDefault="001963AF">
            <w:pPr>
              <w:numPr>
                <w:ilvl w:val="0"/>
                <w:numId w:val="5"/>
              </w:numPr>
              <w:spacing w:before="60" w:after="60"/>
              <w:ind w:left="247" w:hanging="270"/>
              <w:contextualSpacing/>
              <w:rPr>
                <w:rFonts w:ascii="Cambria" w:eastAsia="Cambria" w:hAnsi="Cambria" w:cs="Cambria"/>
                <w:sz w:val="16"/>
                <w:szCs w:val="16"/>
              </w:rPr>
            </w:pPr>
            <w:r>
              <w:rPr>
                <w:rFonts w:ascii="Cambria" w:eastAsia="Cambria" w:hAnsi="Cambria" w:cs="Cambria"/>
                <w:sz w:val="16"/>
                <w:szCs w:val="16"/>
              </w:rPr>
              <w:t>10% je určeno na další výdaje (“</w:t>
            </w:r>
            <w:proofErr w:type="gramStart"/>
            <w:r>
              <w:rPr>
                <w:rFonts w:ascii="Cambria" w:eastAsia="Cambria" w:hAnsi="Cambria" w:cs="Cambria"/>
                <w:sz w:val="16"/>
                <w:szCs w:val="16"/>
              </w:rPr>
              <w:t>revitalizace”  institutů</w:t>
            </w:r>
            <w:proofErr w:type="gramEnd"/>
            <w:r>
              <w:rPr>
                <w:rFonts w:ascii="Cambria" w:eastAsia="Cambria" w:hAnsi="Cambria" w:cs="Cambria"/>
                <w:sz w:val="16"/>
                <w:szCs w:val="16"/>
              </w:rPr>
              <w:t xml:space="preserve"> s finančními problémy, první projekty ředitelů zcela nových institutů, zvlá</w:t>
            </w:r>
            <w:r>
              <w:rPr>
                <w:rFonts w:ascii="Cambria" w:eastAsia="Cambria" w:hAnsi="Cambria" w:cs="Cambria"/>
                <w:sz w:val="16"/>
                <w:szCs w:val="16"/>
              </w:rPr>
              <w:t>štní strategické projekty, relokace institutů apod.)</w:t>
            </w:r>
          </w:p>
          <w:p w:rsidR="00F6597A" w:rsidRDefault="001963AF">
            <w:pPr>
              <w:spacing w:before="60" w:after="60"/>
            </w:pPr>
            <w:r>
              <w:rPr>
                <w:rFonts w:ascii="Cambria" w:eastAsia="Cambria" w:hAnsi="Cambria" w:cs="Cambria"/>
                <w:sz w:val="16"/>
                <w:szCs w:val="16"/>
              </w:rPr>
              <w:t xml:space="preserve">Přebytky z předchozího roku mohou být využity v roce následujícím. Stejně tak deficit musí být splacen ze sumy institucionálního financování.  </w:t>
            </w:r>
          </w:p>
          <w:p w:rsidR="00F6597A" w:rsidRDefault="001963AF">
            <w:pPr>
              <w:spacing w:before="60" w:after="60"/>
            </w:pPr>
            <w:r>
              <w:rPr>
                <w:rFonts w:ascii="Cambria" w:eastAsia="Cambria" w:hAnsi="Cambria" w:cs="Cambria"/>
                <w:sz w:val="16"/>
                <w:szCs w:val="16"/>
              </w:rPr>
              <w:t>V úvahu je brána rozdílná struktura příjmů na základě život</w:t>
            </w:r>
            <w:r>
              <w:rPr>
                <w:rFonts w:ascii="Cambria" w:eastAsia="Cambria" w:hAnsi="Cambria" w:cs="Cambria"/>
                <w:sz w:val="16"/>
                <w:szCs w:val="16"/>
              </w:rPr>
              <w:t xml:space="preserve">ního cyklu </w:t>
            </w:r>
            <w:r>
              <w:rPr>
                <w:rFonts w:ascii="Cambria" w:eastAsia="Cambria" w:hAnsi="Cambria" w:cs="Cambria"/>
                <w:sz w:val="16"/>
                <w:szCs w:val="16"/>
              </w:rPr>
              <w:lastRenderedPageBreak/>
              <w:t xml:space="preserve">projektů. Tzn. instituce definují dle vlastního uvážení </w:t>
            </w:r>
            <w:proofErr w:type="gramStart"/>
            <w:r>
              <w:rPr>
                <w:rFonts w:ascii="Cambria" w:eastAsia="Cambria" w:hAnsi="Cambria" w:cs="Cambria"/>
                <w:sz w:val="16"/>
                <w:szCs w:val="16"/>
              </w:rPr>
              <w:t>období  spíše</w:t>
            </w:r>
            <w:proofErr w:type="gramEnd"/>
            <w:r>
              <w:rPr>
                <w:rFonts w:ascii="Cambria" w:eastAsia="Cambria" w:hAnsi="Cambria" w:cs="Cambria"/>
                <w:sz w:val="16"/>
                <w:szCs w:val="16"/>
              </w:rPr>
              <w:t xml:space="preserve"> </w:t>
            </w:r>
            <w:proofErr w:type="spellStart"/>
            <w:r>
              <w:rPr>
                <w:rFonts w:ascii="Cambria" w:eastAsia="Cambria" w:hAnsi="Cambria" w:cs="Cambria"/>
                <w:sz w:val="16"/>
                <w:szCs w:val="16"/>
              </w:rPr>
              <w:t>prekomerčnímu</w:t>
            </w:r>
            <w:proofErr w:type="spellEnd"/>
            <w:r>
              <w:rPr>
                <w:rFonts w:ascii="Cambria" w:eastAsia="Cambria" w:hAnsi="Cambria" w:cs="Cambria"/>
                <w:sz w:val="16"/>
                <w:szCs w:val="16"/>
              </w:rPr>
              <w:t xml:space="preserve"> výzkumu oproti obdobím, kdy dominují smluvní výzkumy či evropské projekty. Zatímco soukromé výzkumné instituce mohou pokrývat náklady na výzkum z příjmů z prodej</w:t>
            </w:r>
            <w:r>
              <w:rPr>
                <w:rFonts w:ascii="Cambria" w:eastAsia="Cambria" w:hAnsi="Cambria" w:cs="Cambria"/>
                <w:sz w:val="16"/>
                <w:szCs w:val="16"/>
              </w:rPr>
              <w:t xml:space="preserve">e výstupů výzkumu,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není dovoleno prodávat produkty ve vysokém objemu za účelem tvorby zisku (neboť jsou veřejnou VO).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je odměňována na základě pokrytí reálných nákladů na výzkum.</w:t>
            </w:r>
          </w:p>
          <w:p w:rsidR="00F6597A" w:rsidRDefault="001963AF">
            <w:pPr>
              <w:spacing w:before="60" w:after="60"/>
            </w:pPr>
            <w:r>
              <w:rPr>
                <w:rFonts w:ascii="Cambria" w:eastAsia="Cambria" w:hAnsi="Cambria" w:cs="Cambria"/>
                <w:sz w:val="16"/>
                <w:szCs w:val="16"/>
              </w:rPr>
              <w:t>Financování mnichovské centrály nemá zvláštní kapitolu centrálního bu</w:t>
            </w:r>
            <w:r>
              <w:rPr>
                <w:rFonts w:ascii="Cambria" w:eastAsia="Cambria" w:hAnsi="Cambria" w:cs="Cambria"/>
                <w:sz w:val="16"/>
                <w:szCs w:val="16"/>
              </w:rPr>
              <w:t>dgetu, ale je zajištěno na základě fixních poplatků jednotlivých institutů (za obligátní služby) nebo na základě využívání speciálních služeb (za fakultativní služby).</w:t>
            </w:r>
          </w:p>
        </w:tc>
        <w:tc>
          <w:tcPr>
            <w:tcW w:w="2835" w:type="dxa"/>
          </w:tcPr>
          <w:p w:rsidR="00F6597A" w:rsidRDefault="00F6597A">
            <w:pPr>
              <w:spacing w:before="60" w:after="60"/>
            </w:pPr>
          </w:p>
        </w:tc>
      </w:tr>
      <w:tr w:rsidR="00F6597A">
        <w:tc>
          <w:tcPr>
            <w:tcW w:w="1242" w:type="dxa"/>
          </w:tcPr>
          <w:p w:rsidR="00F6597A" w:rsidRDefault="001963AF">
            <w:pPr>
              <w:spacing w:before="60" w:after="60"/>
            </w:pPr>
            <w:r>
              <w:rPr>
                <w:rFonts w:ascii="Cambria" w:eastAsia="Cambria" w:hAnsi="Cambria" w:cs="Cambria"/>
                <w:sz w:val="16"/>
                <w:szCs w:val="16"/>
              </w:rPr>
              <w:lastRenderedPageBreak/>
              <w:t>Velikost</w:t>
            </w:r>
          </w:p>
        </w:tc>
        <w:tc>
          <w:tcPr>
            <w:tcW w:w="3402" w:type="dxa"/>
          </w:tcPr>
          <w:p w:rsidR="00F6597A" w:rsidRDefault="001963AF">
            <w:pPr>
              <w:spacing w:before="60" w:after="60"/>
            </w:pPr>
            <w:r>
              <w:rPr>
                <w:rFonts w:ascii="Cambria" w:eastAsia="Cambria" w:hAnsi="Cambria" w:cs="Cambria"/>
                <w:sz w:val="16"/>
                <w:szCs w:val="16"/>
              </w:rPr>
              <w:t xml:space="preserve">Velká komplexní průmyslově orientovaná centra s mezinárodním přesahem a potenciálem přelomových inovací. </w:t>
            </w:r>
          </w:p>
        </w:tc>
        <w:tc>
          <w:tcPr>
            <w:tcW w:w="3595" w:type="dxa"/>
          </w:tcPr>
          <w:p w:rsidR="00F6597A" w:rsidRDefault="001963AF">
            <w:pPr>
              <w:spacing w:before="60" w:after="60"/>
            </w:pPr>
            <w:r>
              <w:rPr>
                <w:rFonts w:ascii="Cambria" w:eastAsia="Cambria" w:hAnsi="Cambria" w:cs="Cambria"/>
                <w:sz w:val="16"/>
                <w:szCs w:val="16"/>
              </w:rPr>
              <w:t>Spíše menší projekty.  Řešitelský tým, který je složen maximálně z 15 pracovníků (minimálně 5) je součásti univerzity (nemá právní subjektivitu).</w:t>
            </w:r>
          </w:p>
        </w:tc>
        <w:tc>
          <w:tcPr>
            <w:tcW w:w="3068" w:type="dxa"/>
          </w:tcPr>
          <w:p w:rsidR="00F6597A" w:rsidRDefault="001963AF">
            <w:pPr>
              <w:spacing w:before="60" w:after="60"/>
            </w:pPr>
            <w:r>
              <w:rPr>
                <w:rFonts w:ascii="Cambria" w:eastAsia="Cambria" w:hAnsi="Cambria" w:cs="Cambria"/>
                <w:sz w:val="16"/>
                <w:szCs w:val="16"/>
              </w:rPr>
              <w:t>67 i</w:t>
            </w:r>
            <w:r>
              <w:rPr>
                <w:rFonts w:ascii="Cambria" w:eastAsia="Cambria" w:hAnsi="Cambria" w:cs="Cambria"/>
                <w:sz w:val="16"/>
                <w:szCs w:val="16"/>
              </w:rPr>
              <w:t xml:space="preserve">nstitucí (k </w:t>
            </w:r>
            <w:proofErr w:type="gramStart"/>
            <w:r>
              <w:rPr>
                <w:rFonts w:ascii="Cambria" w:eastAsia="Cambria" w:hAnsi="Cambria" w:cs="Cambria"/>
                <w:sz w:val="16"/>
                <w:szCs w:val="16"/>
              </w:rPr>
              <w:t>3.1.2017</w:t>
            </w:r>
            <w:proofErr w:type="gramEnd"/>
            <w:r>
              <w:rPr>
                <w:rFonts w:ascii="Cambria" w:eastAsia="Cambria" w:hAnsi="Cambria" w:cs="Cambria"/>
                <w:sz w:val="16"/>
                <w:szCs w:val="16"/>
              </w:rPr>
              <w:t>)</w:t>
            </w:r>
          </w:p>
          <w:p w:rsidR="00F6597A" w:rsidRDefault="001963AF">
            <w:pPr>
              <w:spacing w:before="60" w:after="60"/>
            </w:pPr>
            <w:r>
              <w:rPr>
                <w:rFonts w:ascii="Cambria" w:eastAsia="Cambria" w:hAnsi="Cambria" w:cs="Cambria"/>
                <w:sz w:val="16"/>
                <w:szCs w:val="16"/>
              </w:rPr>
              <w:t>23.000 zaměstnanců</w:t>
            </w:r>
          </w:p>
          <w:p w:rsidR="00F6597A" w:rsidRDefault="001963AF">
            <w:pPr>
              <w:spacing w:before="60" w:after="60"/>
            </w:pPr>
            <w:r>
              <w:rPr>
                <w:rFonts w:ascii="Cambria" w:eastAsia="Cambria" w:hAnsi="Cambria" w:cs="Cambria"/>
                <w:sz w:val="16"/>
                <w:szCs w:val="16"/>
              </w:rPr>
              <w:t xml:space="preserve">2,1 </w:t>
            </w:r>
            <w:proofErr w:type="spellStart"/>
            <w:r>
              <w:rPr>
                <w:rFonts w:ascii="Cambria" w:eastAsia="Cambria" w:hAnsi="Cambria" w:cs="Cambria"/>
                <w:sz w:val="16"/>
                <w:szCs w:val="16"/>
              </w:rPr>
              <w:t>mld</w:t>
            </w:r>
            <w:proofErr w:type="spellEnd"/>
            <w:r>
              <w:rPr>
                <w:rFonts w:ascii="Cambria" w:eastAsia="Cambria" w:hAnsi="Cambria" w:cs="Cambria"/>
                <w:sz w:val="16"/>
                <w:szCs w:val="16"/>
              </w:rPr>
              <w:t xml:space="preserve"> EUR na výzkum, z toho 1,8 </w:t>
            </w:r>
            <w:proofErr w:type="spellStart"/>
            <w:r>
              <w:rPr>
                <w:rFonts w:ascii="Cambria" w:eastAsia="Cambria" w:hAnsi="Cambria" w:cs="Cambria"/>
                <w:sz w:val="16"/>
                <w:szCs w:val="16"/>
              </w:rPr>
              <w:t>mld</w:t>
            </w:r>
            <w:proofErr w:type="spellEnd"/>
            <w:r>
              <w:rPr>
                <w:rFonts w:ascii="Cambria" w:eastAsia="Cambria" w:hAnsi="Cambria" w:cs="Cambria"/>
                <w:sz w:val="16"/>
                <w:szCs w:val="16"/>
              </w:rPr>
              <w:t xml:space="preserve"> EUR smluvního výzkumu</w:t>
            </w:r>
          </w:p>
          <w:p w:rsidR="00F6597A" w:rsidRDefault="001963AF">
            <w:pPr>
              <w:spacing w:before="60" w:after="60"/>
            </w:pPr>
            <w:r>
              <w:rPr>
                <w:rFonts w:ascii="Cambria" w:eastAsia="Cambria" w:hAnsi="Cambria" w:cs="Cambria"/>
                <w:sz w:val="16"/>
                <w:szCs w:val="16"/>
              </w:rPr>
              <w:t>70% zakázek z průmyslu a veřejného sektoru; 30% z federálních a zemských zdrojů</w:t>
            </w:r>
          </w:p>
          <w:p w:rsidR="00F6597A" w:rsidRDefault="001963AF">
            <w:pPr>
              <w:spacing w:before="60" w:after="60"/>
            </w:pPr>
            <w:r>
              <w:rPr>
                <w:rFonts w:ascii="Cambria" w:eastAsia="Cambria" w:hAnsi="Cambria" w:cs="Cambria"/>
                <w:sz w:val="16"/>
                <w:szCs w:val="16"/>
              </w:rPr>
              <w:t>pobočky po celém světě</w:t>
            </w:r>
          </w:p>
          <w:p w:rsidR="00F6597A" w:rsidRDefault="00F6597A">
            <w:pPr>
              <w:spacing w:before="60" w:after="60"/>
            </w:pPr>
          </w:p>
        </w:tc>
        <w:tc>
          <w:tcPr>
            <w:tcW w:w="2835" w:type="dxa"/>
          </w:tcPr>
          <w:p w:rsidR="00F6597A" w:rsidRDefault="00F6597A">
            <w:pPr>
              <w:spacing w:before="60" w:after="60"/>
            </w:pPr>
          </w:p>
        </w:tc>
      </w:tr>
      <w:tr w:rsidR="00F6597A">
        <w:tc>
          <w:tcPr>
            <w:tcW w:w="1242" w:type="dxa"/>
          </w:tcPr>
          <w:p w:rsidR="00F6597A" w:rsidRDefault="001963AF">
            <w:pPr>
              <w:spacing w:before="60" w:after="60"/>
            </w:pPr>
            <w:r>
              <w:rPr>
                <w:rFonts w:ascii="Cambria" w:eastAsia="Cambria" w:hAnsi="Cambria" w:cs="Cambria"/>
                <w:sz w:val="16"/>
                <w:szCs w:val="16"/>
              </w:rPr>
              <w:t>Doba trvání/ Dlouhodobost</w:t>
            </w:r>
          </w:p>
        </w:tc>
        <w:tc>
          <w:tcPr>
            <w:tcW w:w="3402" w:type="dxa"/>
          </w:tcPr>
          <w:p w:rsidR="00F6597A" w:rsidRDefault="001963AF">
            <w:pPr>
              <w:spacing w:before="60" w:after="60"/>
            </w:pPr>
            <w:r>
              <w:rPr>
                <w:rFonts w:ascii="Cambria" w:eastAsia="Cambria" w:hAnsi="Cambria" w:cs="Cambria"/>
                <w:sz w:val="16"/>
                <w:szCs w:val="16"/>
              </w:rPr>
              <w:t>Centra by měla překračo</w:t>
            </w:r>
            <w:r>
              <w:rPr>
                <w:rFonts w:ascii="Cambria" w:eastAsia="Cambria" w:hAnsi="Cambria" w:cs="Cambria"/>
                <w:sz w:val="16"/>
                <w:szCs w:val="16"/>
              </w:rPr>
              <w:t>vat kritickou velikost pro participaci v rozsáhlejších projektech, s dlouhodobým financováním alespoň na 8 let.</w:t>
            </w:r>
          </w:p>
        </w:tc>
        <w:tc>
          <w:tcPr>
            <w:tcW w:w="3595" w:type="dxa"/>
          </w:tcPr>
          <w:p w:rsidR="00F6597A" w:rsidRDefault="001963AF">
            <w:pPr>
              <w:spacing w:before="60" w:after="60"/>
            </w:pPr>
            <w:r>
              <w:rPr>
                <w:rFonts w:ascii="Cambria" w:eastAsia="Cambria" w:hAnsi="Cambria" w:cs="Cambria"/>
                <w:sz w:val="16"/>
                <w:szCs w:val="16"/>
              </w:rPr>
              <w:t>Projekty maximálně 7 let (2+3+2 – kontrola projektu). Preference dlouhodobého výzkumu</w:t>
            </w:r>
          </w:p>
        </w:tc>
        <w:tc>
          <w:tcPr>
            <w:tcW w:w="3068" w:type="dxa"/>
          </w:tcPr>
          <w:p w:rsidR="00F6597A" w:rsidRDefault="001963AF">
            <w:pPr>
              <w:spacing w:before="60" w:after="60"/>
            </w:pPr>
            <w:r>
              <w:rPr>
                <w:rFonts w:ascii="Cambria" w:eastAsia="Cambria" w:hAnsi="Cambria" w:cs="Cambria"/>
                <w:sz w:val="16"/>
                <w:szCs w:val="16"/>
              </w:rPr>
              <w:t xml:space="preserve">Instituce zůstávají členy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pokud dlouhodobě udržují vyr</w:t>
            </w:r>
            <w:r>
              <w:rPr>
                <w:rFonts w:ascii="Cambria" w:eastAsia="Cambria" w:hAnsi="Cambria" w:cs="Cambria"/>
                <w:sz w:val="16"/>
                <w:szCs w:val="16"/>
              </w:rPr>
              <w:t xml:space="preserve">ovnaný rozpočet a pokud vyhovují zóně optimální příjmové struktury, </w:t>
            </w:r>
            <w:proofErr w:type="gramStart"/>
            <w:r>
              <w:rPr>
                <w:rFonts w:ascii="Cambria" w:eastAsia="Cambria" w:hAnsi="Cambria" w:cs="Cambria"/>
                <w:sz w:val="16"/>
                <w:szCs w:val="16"/>
              </w:rPr>
              <w:t>tzn. udrží</w:t>
            </w:r>
            <w:proofErr w:type="gramEnd"/>
            <w:r>
              <w:rPr>
                <w:rFonts w:ascii="Cambria" w:eastAsia="Cambria" w:hAnsi="Cambria" w:cs="Cambria"/>
                <w:sz w:val="16"/>
                <w:szCs w:val="16"/>
              </w:rPr>
              <w:t xml:space="preserve"> proporci 30-50% míry příjmů z průmyslu a 25-45% míry příjmů z veřejných zdrojů. Pokud institut neudrží vyrovnaný rozpočet - tedy pokud náklady na jeho provoz přesahují základní </w:t>
            </w:r>
            <w:r>
              <w:rPr>
                <w:rFonts w:ascii="Cambria" w:eastAsia="Cambria" w:hAnsi="Cambria" w:cs="Cambria"/>
                <w:sz w:val="16"/>
                <w:szCs w:val="16"/>
              </w:rPr>
              <w:t>financování - je povinen “zredukovat svou kapacitu”.</w:t>
            </w:r>
          </w:p>
        </w:tc>
        <w:tc>
          <w:tcPr>
            <w:tcW w:w="2835" w:type="dxa"/>
          </w:tcPr>
          <w:p w:rsidR="00F6597A" w:rsidRDefault="00F6597A">
            <w:pPr>
              <w:spacing w:before="60" w:after="60"/>
            </w:pPr>
          </w:p>
        </w:tc>
      </w:tr>
      <w:tr w:rsidR="00F6597A">
        <w:tc>
          <w:tcPr>
            <w:tcW w:w="1242" w:type="dxa"/>
          </w:tcPr>
          <w:p w:rsidR="00F6597A" w:rsidRDefault="001963AF">
            <w:pPr>
              <w:spacing w:before="60" w:after="60"/>
            </w:pPr>
            <w:r>
              <w:rPr>
                <w:rFonts w:ascii="Cambria" w:eastAsia="Cambria" w:hAnsi="Cambria" w:cs="Cambria"/>
                <w:sz w:val="16"/>
                <w:szCs w:val="16"/>
              </w:rPr>
              <w:t>Flexibilita</w:t>
            </w:r>
          </w:p>
        </w:tc>
        <w:tc>
          <w:tcPr>
            <w:tcW w:w="3402" w:type="dxa"/>
          </w:tcPr>
          <w:p w:rsidR="00F6597A" w:rsidRDefault="001963AF">
            <w:pPr>
              <w:spacing w:before="60" w:after="60"/>
            </w:pPr>
            <w:r>
              <w:rPr>
                <w:rFonts w:ascii="Cambria" w:eastAsia="Cambria" w:hAnsi="Cambria" w:cs="Cambria"/>
                <w:sz w:val="16"/>
                <w:szCs w:val="16"/>
              </w:rPr>
              <w:t>Flexibilita a možnost plynulého navazování a ukončování spolupráce / partnerství je klíčové. Základem NCK bude samostatná entita s vlastním IČO (tvrdé jádro), ke kterému se mohou připojovat další partneři.</w:t>
            </w:r>
          </w:p>
        </w:tc>
        <w:tc>
          <w:tcPr>
            <w:tcW w:w="3595" w:type="dxa"/>
          </w:tcPr>
          <w:p w:rsidR="00F6597A" w:rsidRDefault="001963AF">
            <w:pPr>
              <w:spacing w:before="60" w:after="60"/>
            </w:pPr>
            <w:r>
              <w:rPr>
                <w:rFonts w:ascii="Cambria" w:eastAsia="Cambria" w:hAnsi="Cambria" w:cs="Cambria"/>
                <w:sz w:val="16"/>
                <w:szCs w:val="16"/>
              </w:rPr>
              <w:t>Systém CDG je velmi flexibilní a vyžaduje relativn</w:t>
            </w:r>
            <w:r>
              <w:rPr>
                <w:rFonts w:ascii="Cambria" w:eastAsia="Cambria" w:hAnsi="Cambria" w:cs="Cambria"/>
                <w:sz w:val="16"/>
                <w:szCs w:val="16"/>
              </w:rPr>
              <w:t>ě malou organizační podporu. CDL neexistují jako právnické osoby, v případě ukončení CDL (řádné ukončení projektu, ukončení projektu z důvodů nízké vědecké kvality, ukončení spolupráce ze strany komerčního subjektu) je tak možné laboratoř bez větších probl</w:t>
            </w:r>
            <w:r>
              <w:rPr>
                <w:rFonts w:ascii="Cambria" w:eastAsia="Cambria" w:hAnsi="Cambria" w:cs="Cambria"/>
                <w:sz w:val="16"/>
                <w:szCs w:val="16"/>
              </w:rPr>
              <w:t>émů v krátkém časovém úseku zcela zavřít a projekt ukončit.</w:t>
            </w:r>
          </w:p>
        </w:tc>
        <w:tc>
          <w:tcPr>
            <w:tcW w:w="3068" w:type="dxa"/>
          </w:tcPr>
          <w:p w:rsidR="00F6597A" w:rsidRDefault="001963AF">
            <w:pPr>
              <w:spacing w:before="60" w:after="60"/>
            </w:pPr>
            <w:bookmarkStart w:id="4" w:name="_w6iksrdn2cmp" w:colFirst="0" w:colLast="0"/>
            <w:bookmarkEnd w:id="4"/>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disponuje vysokou mírou flexibility a autonomie co do výzkumného zaměření. Instituty a jejich představitelé nesou odpovědnost za výsledky svých projektů, za vlastní význam a reputaci ve vědeck</w:t>
            </w:r>
            <w:r>
              <w:rPr>
                <w:rFonts w:ascii="Cambria" w:eastAsia="Cambria" w:hAnsi="Cambria" w:cs="Cambria"/>
                <w:sz w:val="16"/>
                <w:szCs w:val="16"/>
              </w:rPr>
              <w:t xml:space="preserve">ém světě, a především za zajištění financování ze zdrojů třetích stran. To vede na jedné straně k vysoké míře autonomie ve výběru výzkumných </w:t>
            </w:r>
            <w:r>
              <w:rPr>
                <w:rFonts w:ascii="Cambria" w:eastAsia="Cambria" w:hAnsi="Cambria" w:cs="Cambria"/>
                <w:sz w:val="16"/>
                <w:szCs w:val="16"/>
              </w:rPr>
              <w:lastRenderedPageBreak/>
              <w:t>priorit, v přidělování zdrojů do výzkumných projektů, v akvizicích a v řízení projektů, na druhé straně k ekonomick</w:t>
            </w:r>
            <w:r>
              <w:rPr>
                <w:rFonts w:ascii="Cambria" w:eastAsia="Cambria" w:hAnsi="Cambria" w:cs="Cambria"/>
                <w:sz w:val="16"/>
                <w:szCs w:val="16"/>
              </w:rPr>
              <w:t>ému tlaku a k orientaci na zákazníka a trh.</w:t>
            </w:r>
          </w:p>
        </w:tc>
        <w:tc>
          <w:tcPr>
            <w:tcW w:w="2835" w:type="dxa"/>
          </w:tcPr>
          <w:p w:rsidR="00F6597A" w:rsidRDefault="00F6597A">
            <w:pPr>
              <w:spacing w:before="60" w:after="60"/>
            </w:pPr>
          </w:p>
        </w:tc>
      </w:tr>
      <w:tr w:rsidR="00F6597A">
        <w:tc>
          <w:tcPr>
            <w:tcW w:w="1242" w:type="dxa"/>
          </w:tcPr>
          <w:p w:rsidR="00F6597A" w:rsidRDefault="001963AF">
            <w:pPr>
              <w:spacing w:before="60" w:after="60"/>
            </w:pPr>
            <w:r>
              <w:rPr>
                <w:rFonts w:ascii="Cambria" w:eastAsia="Cambria" w:hAnsi="Cambria" w:cs="Cambria"/>
                <w:sz w:val="16"/>
                <w:szCs w:val="16"/>
              </w:rPr>
              <w:lastRenderedPageBreak/>
              <w:t>Akademická sféra vs. Průmysl</w:t>
            </w:r>
          </w:p>
        </w:tc>
        <w:tc>
          <w:tcPr>
            <w:tcW w:w="3402" w:type="dxa"/>
          </w:tcPr>
          <w:p w:rsidR="00F6597A" w:rsidRDefault="00F6597A">
            <w:pPr>
              <w:spacing w:before="60" w:after="60"/>
            </w:pPr>
          </w:p>
        </w:tc>
        <w:tc>
          <w:tcPr>
            <w:tcW w:w="3595" w:type="dxa"/>
          </w:tcPr>
          <w:p w:rsidR="00F6597A" w:rsidRDefault="001963AF">
            <w:pPr>
              <w:spacing w:before="60" w:after="60"/>
            </w:pPr>
            <w:r>
              <w:rPr>
                <w:rFonts w:ascii="Cambria" w:eastAsia="Cambria" w:hAnsi="Cambria" w:cs="Cambria"/>
                <w:sz w:val="16"/>
                <w:szCs w:val="16"/>
              </w:rPr>
              <w:t>Vědci a komerční subjekty společně určují výzkumný program, vědci mají vysoký stupeň vědecké svobody. CDL jsou vytvářeny přímo na univerzitách nebo neuniverzitních akademických ins</w:t>
            </w:r>
            <w:r>
              <w:rPr>
                <w:rFonts w:ascii="Cambria" w:eastAsia="Cambria" w:hAnsi="Cambria" w:cs="Cambria"/>
                <w:sz w:val="16"/>
                <w:szCs w:val="16"/>
              </w:rPr>
              <w:t>titucích.</w:t>
            </w:r>
          </w:p>
        </w:tc>
        <w:tc>
          <w:tcPr>
            <w:tcW w:w="3068" w:type="dxa"/>
          </w:tcPr>
          <w:p w:rsidR="00F6597A" w:rsidRDefault="001963AF">
            <w:pPr>
              <w:spacing w:before="60" w:after="60"/>
            </w:pP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tvoří jednu ze třech částí strategického regionálního klastru: Akademická sféra + průmysl +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w:t>
            </w:r>
          </w:p>
          <w:p w:rsidR="00F6597A" w:rsidRDefault="001963AF">
            <w:pPr>
              <w:numPr>
                <w:ilvl w:val="0"/>
                <w:numId w:val="2"/>
              </w:numPr>
              <w:spacing w:before="60" w:after="60"/>
              <w:ind w:left="397" w:hanging="285"/>
              <w:contextualSpacing/>
              <w:rPr>
                <w:rFonts w:ascii="Cambria" w:eastAsia="Cambria" w:hAnsi="Cambria" w:cs="Cambria"/>
                <w:sz w:val="16"/>
                <w:szCs w:val="16"/>
              </w:rPr>
            </w:pPr>
            <w:r>
              <w:rPr>
                <w:rFonts w:ascii="Cambria" w:eastAsia="Cambria" w:hAnsi="Cambria" w:cs="Cambria"/>
                <w:sz w:val="16"/>
                <w:szCs w:val="16"/>
              </w:rPr>
              <w:t xml:space="preserve">Univerzity: základní výzkum, vysoká míra rizika či progresivní technologie </w:t>
            </w:r>
          </w:p>
          <w:p w:rsidR="00F6597A" w:rsidRDefault="001963AF">
            <w:pPr>
              <w:numPr>
                <w:ilvl w:val="0"/>
                <w:numId w:val="2"/>
              </w:numPr>
              <w:spacing w:before="60" w:after="60"/>
              <w:ind w:left="397" w:hanging="285"/>
              <w:contextualSpacing/>
              <w:rPr>
                <w:rFonts w:ascii="Cambria" w:eastAsia="Cambria" w:hAnsi="Cambria" w:cs="Cambria"/>
                <w:sz w:val="16"/>
                <w:szCs w:val="16"/>
              </w:rPr>
            </w:pPr>
            <w:proofErr w:type="spellStart"/>
            <w:r>
              <w:rPr>
                <w:rFonts w:ascii="Cambria" w:eastAsia="Cambria" w:hAnsi="Cambria" w:cs="Cambria"/>
                <w:sz w:val="16"/>
                <w:szCs w:val="16"/>
              </w:rPr>
              <w:t>FhG</w:t>
            </w:r>
            <w:proofErr w:type="spellEnd"/>
            <w:r>
              <w:rPr>
                <w:rFonts w:ascii="Cambria" w:eastAsia="Cambria" w:hAnsi="Cambria" w:cs="Cambria"/>
                <w:sz w:val="16"/>
                <w:szCs w:val="16"/>
              </w:rPr>
              <w:t>: aplikovaný výzkum, experimentální vývoj, orientace na zákazníka</w:t>
            </w:r>
            <w:r>
              <w:rPr>
                <w:rFonts w:ascii="Cambria" w:eastAsia="Cambria" w:hAnsi="Cambria" w:cs="Cambria"/>
                <w:sz w:val="16"/>
                <w:szCs w:val="16"/>
              </w:rPr>
              <w:t xml:space="preserve"> či realizace prototypů </w:t>
            </w:r>
          </w:p>
          <w:p w:rsidR="00F6597A" w:rsidRDefault="001963AF">
            <w:pPr>
              <w:numPr>
                <w:ilvl w:val="0"/>
                <w:numId w:val="2"/>
              </w:numPr>
              <w:spacing w:before="60" w:after="60"/>
              <w:ind w:left="397" w:hanging="285"/>
              <w:contextualSpacing/>
              <w:rPr>
                <w:rFonts w:ascii="Cambria" w:eastAsia="Cambria" w:hAnsi="Cambria" w:cs="Cambria"/>
                <w:sz w:val="16"/>
                <w:szCs w:val="16"/>
              </w:rPr>
            </w:pPr>
            <w:r>
              <w:rPr>
                <w:rFonts w:ascii="Cambria" w:eastAsia="Cambria" w:hAnsi="Cambria" w:cs="Cambria"/>
                <w:sz w:val="16"/>
                <w:szCs w:val="16"/>
              </w:rPr>
              <w:t>Podniky: inovační prostředí orientované na trh, regionální prosperita</w:t>
            </w:r>
          </w:p>
          <w:p w:rsidR="00F6597A" w:rsidRDefault="001963AF">
            <w:pPr>
              <w:spacing w:before="60" w:after="60"/>
            </w:pPr>
            <w:r>
              <w:rPr>
                <w:rFonts w:ascii="Cambria" w:eastAsia="Cambria" w:hAnsi="Cambria" w:cs="Cambria"/>
                <w:sz w:val="16"/>
                <w:szCs w:val="16"/>
              </w:rPr>
              <w:t xml:space="preserve">Všechny prvky se snoubí v osobě ředitele </w:t>
            </w:r>
            <w:proofErr w:type="spellStart"/>
            <w:r>
              <w:rPr>
                <w:rFonts w:ascii="Cambria" w:eastAsia="Cambria" w:hAnsi="Cambria" w:cs="Cambria"/>
                <w:sz w:val="16"/>
                <w:szCs w:val="16"/>
              </w:rPr>
              <w:t>FhG</w:t>
            </w:r>
            <w:proofErr w:type="spellEnd"/>
            <w:r>
              <w:rPr>
                <w:rFonts w:ascii="Cambria" w:eastAsia="Cambria" w:hAnsi="Cambria" w:cs="Cambria"/>
                <w:sz w:val="16"/>
                <w:szCs w:val="16"/>
              </w:rPr>
              <w:t>, který po vzájemné dohodě získává profesorské místo na nejbližší univerzitě (univerzitní prostředí klade důraz na os</w:t>
            </w:r>
            <w:r>
              <w:rPr>
                <w:rFonts w:ascii="Cambria" w:eastAsia="Cambria" w:hAnsi="Cambria" w:cs="Cambria"/>
                <w:sz w:val="16"/>
                <w:szCs w:val="16"/>
              </w:rPr>
              <w:t xml:space="preserve">obnost z akademickými kompetencemi,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na </w:t>
            </w:r>
            <w:proofErr w:type="gramStart"/>
            <w:r>
              <w:rPr>
                <w:rFonts w:ascii="Cambria" w:eastAsia="Cambria" w:hAnsi="Cambria" w:cs="Cambria"/>
                <w:sz w:val="16"/>
                <w:szCs w:val="16"/>
              </w:rPr>
              <w:t>osobnost z kompetencemi</w:t>
            </w:r>
            <w:proofErr w:type="gramEnd"/>
            <w:r>
              <w:rPr>
                <w:rFonts w:ascii="Cambria" w:eastAsia="Cambria" w:hAnsi="Cambria" w:cs="Cambria"/>
                <w:sz w:val="16"/>
                <w:szCs w:val="16"/>
              </w:rPr>
              <w:t xml:space="preserve"> z praxe). Konečná shoda na řediteli synergicky propojuje oba principy.</w:t>
            </w:r>
          </w:p>
          <w:p w:rsidR="00F6597A" w:rsidRDefault="001963AF">
            <w:pPr>
              <w:spacing w:before="60" w:after="60"/>
            </w:pPr>
            <w:r>
              <w:rPr>
                <w:rFonts w:ascii="Cambria" w:eastAsia="Cambria" w:hAnsi="Cambria" w:cs="Cambria"/>
                <w:sz w:val="16"/>
                <w:szCs w:val="16"/>
              </w:rPr>
              <w:t xml:space="preserve">Soukromá sféra je -  vedle vládního sektoru a sektoru služeb - jedním ze zákazníků institutů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w:t>
            </w:r>
          </w:p>
          <w:p w:rsidR="00F6597A" w:rsidRDefault="001963AF">
            <w:pPr>
              <w:spacing w:before="60" w:after="60"/>
            </w:pPr>
            <w:r>
              <w:rPr>
                <w:rFonts w:ascii="Cambria" w:eastAsia="Cambria" w:hAnsi="Cambria" w:cs="Cambria"/>
                <w:b/>
                <w:sz w:val="16"/>
                <w:szCs w:val="16"/>
              </w:rPr>
              <w:t>Vyhledávání (platíc</w:t>
            </w:r>
            <w:r>
              <w:rPr>
                <w:rFonts w:ascii="Cambria" w:eastAsia="Cambria" w:hAnsi="Cambria" w:cs="Cambria"/>
                <w:b/>
                <w:sz w:val="16"/>
                <w:szCs w:val="16"/>
              </w:rPr>
              <w:t>ích) partnerů:</w:t>
            </w:r>
          </w:p>
          <w:p w:rsidR="00F6597A" w:rsidRDefault="001963AF">
            <w:pPr>
              <w:numPr>
                <w:ilvl w:val="0"/>
                <w:numId w:val="7"/>
              </w:numPr>
              <w:spacing w:before="60" w:after="60"/>
              <w:ind w:left="247" w:hanging="135"/>
              <w:contextualSpacing/>
              <w:rPr>
                <w:rFonts w:ascii="Cambria" w:eastAsia="Cambria" w:hAnsi="Cambria" w:cs="Cambria"/>
                <w:sz w:val="16"/>
                <w:szCs w:val="16"/>
              </w:rPr>
            </w:pPr>
            <w:r>
              <w:rPr>
                <w:rFonts w:ascii="Cambria" w:eastAsia="Cambria" w:hAnsi="Cambria" w:cs="Cambria"/>
                <w:sz w:val="16"/>
                <w:szCs w:val="16"/>
              </w:rPr>
              <w:t>účast na veletrzích,</w:t>
            </w:r>
          </w:p>
          <w:p w:rsidR="00F6597A" w:rsidRDefault="001963AF">
            <w:pPr>
              <w:numPr>
                <w:ilvl w:val="0"/>
                <w:numId w:val="7"/>
              </w:numPr>
              <w:spacing w:before="60" w:after="60"/>
              <w:ind w:left="247" w:hanging="135"/>
              <w:contextualSpacing/>
              <w:rPr>
                <w:rFonts w:ascii="Cambria" w:eastAsia="Cambria" w:hAnsi="Cambria" w:cs="Cambria"/>
                <w:sz w:val="16"/>
                <w:szCs w:val="16"/>
              </w:rPr>
            </w:pPr>
            <w:r>
              <w:rPr>
                <w:rFonts w:ascii="Cambria" w:eastAsia="Cambria" w:hAnsi="Cambria" w:cs="Cambria"/>
                <w:sz w:val="16"/>
                <w:szCs w:val="16"/>
              </w:rPr>
              <w:t>kancelářemi po celém světě (včetně Bruselu, zaměřeno ale spíše na EU instituce),</w:t>
            </w:r>
          </w:p>
          <w:p w:rsidR="00F6597A" w:rsidRDefault="001963AF">
            <w:pPr>
              <w:numPr>
                <w:ilvl w:val="0"/>
                <w:numId w:val="7"/>
              </w:numPr>
              <w:spacing w:before="60" w:after="60"/>
              <w:ind w:left="247" w:hanging="135"/>
              <w:contextualSpacing/>
              <w:rPr>
                <w:rFonts w:ascii="Cambria" w:eastAsia="Cambria" w:hAnsi="Cambria" w:cs="Cambria"/>
                <w:sz w:val="16"/>
                <w:szCs w:val="16"/>
              </w:rPr>
            </w:pPr>
            <w:r>
              <w:rPr>
                <w:rFonts w:ascii="Cambria" w:eastAsia="Cambria" w:hAnsi="Cambria" w:cs="Cambria"/>
                <w:sz w:val="16"/>
                <w:szCs w:val="16"/>
              </w:rPr>
              <w:t xml:space="preserve">tvorbou ad hoc konsorcií v centrále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k otázkám vztahu s partnery z komerční sféry, </w:t>
            </w:r>
          </w:p>
          <w:p w:rsidR="00F6597A" w:rsidRDefault="001963AF">
            <w:pPr>
              <w:numPr>
                <w:ilvl w:val="0"/>
                <w:numId w:val="7"/>
              </w:numPr>
              <w:spacing w:before="60" w:after="60"/>
              <w:ind w:left="247" w:hanging="135"/>
              <w:contextualSpacing/>
              <w:rPr>
                <w:rFonts w:ascii="Cambria" w:eastAsia="Cambria" w:hAnsi="Cambria" w:cs="Cambria"/>
                <w:sz w:val="16"/>
                <w:szCs w:val="16"/>
              </w:rPr>
            </w:pPr>
            <w:r>
              <w:rPr>
                <w:rFonts w:ascii="Cambria" w:eastAsia="Cambria" w:hAnsi="Cambria" w:cs="Cambria"/>
                <w:sz w:val="16"/>
                <w:szCs w:val="16"/>
              </w:rPr>
              <w:t xml:space="preserve">pořádání “Technology </w:t>
            </w:r>
            <w:proofErr w:type="spellStart"/>
            <w:r>
              <w:rPr>
                <w:rFonts w:ascii="Cambria" w:eastAsia="Cambria" w:hAnsi="Cambria" w:cs="Cambria"/>
                <w:sz w:val="16"/>
                <w:szCs w:val="16"/>
              </w:rPr>
              <w:t>days</w:t>
            </w:r>
            <w:proofErr w:type="spellEnd"/>
            <w:r>
              <w:rPr>
                <w:rFonts w:ascii="Cambria" w:eastAsia="Cambria" w:hAnsi="Cambria" w:cs="Cambria"/>
                <w:sz w:val="16"/>
                <w:szCs w:val="16"/>
              </w:rPr>
              <w:t>”</w:t>
            </w:r>
          </w:p>
          <w:p w:rsidR="00F6597A" w:rsidRDefault="00F6597A">
            <w:pPr>
              <w:spacing w:before="60" w:after="60"/>
            </w:pPr>
          </w:p>
          <w:p w:rsidR="00F6597A" w:rsidRDefault="001963AF">
            <w:pPr>
              <w:spacing w:before="60" w:after="60"/>
            </w:pPr>
            <w:r>
              <w:rPr>
                <w:rFonts w:ascii="Cambria" w:eastAsia="Cambria" w:hAnsi="Cambria" w:cs="Cambria"/>
                <w:sz w:val="16"/>
                <w:szCs w:val="16"/>
              </w:rPr>
              <w:t xml:space="preserve"> </w:t>
            </w:r>
            <w:proofErr w:type="gramStart"/>
            <w:r>
              <w:rPr>
                <w:rFonts w:ascii="Cambria" w:eastAsia="Cambria" w:hAnsi="Cambria" w:cs="Cambria"/>
                <w:b/>
                <w:sz w:val="16"/>
                <w:szCs w:val="16"/>
              </w:rPr>
              <w:t>Transfer  technologií</w:t>
            </w:r>
            <w:proofErr w:type="gramEnd"/>
            <w:r>
              <w:rPr>
                <w:rFonts w:ascii="Cambria" w:eastAsia="Cambria" w:hAnsi="Cambria" w:cs="Cambria"/>
                <w:b/>
                <w:sz w:val="16"/>
                <w:szCs w:val="16"/>
              </w:rPr>
              <w:t>:</w:t>
            </w:r>
          </w:p>
          <w:p w:rsidR="00F6597A" w:rsidRDefault="001963AF">
            <w:pPr>
              <w:numPr>
                <w:ilvl w:val="0"/>
                <w:numId w:val="3"/>
              </w:numPr>
              <w:spacing w:before="60" w:after="60"/>
              <w:ind w:left="247" w:hanging="135"/>
              <w:contextualSpacing/>
              <w:rPr>
                <w:rFonts w:ascii="Cambria" w:eastAsia="Cambria" w:hAnsi="Cambria" w:cs="Cambria"/>
                <w:sz w:val="16"/>
                <w:szCs w:val="16"/>
              </w:rPr>
            </w:pPr>
            <w:r>
              <w:rPr>
                <w:rFonts w:ascii="Cambria" w:eastAsia="Cambria" w:hAnsi="Cambria" w:cs="Cambria"/>
                <w:sz w:val="16"/>
                <w:szCs w:val="16"/>
                <w:u w:val="single"/>
              </w:rPr>
              <w:t>smluvní výzkum</w:t>
            </w:r>
            <w:r>
              <w:rPr>
                <w:rFonts w:ascii="Cambria" w:eastAsia="Cambria" w:hAnsi="Cambria" w:cs="Cambria"/>
                <w:sz w:val="16"/>
                <w:szCs w:val="16"/>
              </w:rPr>
              <w:t xml:space="preserve"> = nabídka výzkumných služeb výzkumu podnikům a řádné vyúčtování těchto služeb. Oblast PR je kritická, na jedné straně musí být umožněno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využívat vygenerované znalosti pro další aplikaci, na straně druhé nesmí dojít k poškození situace pů</w:t>
            </w:r>
            <w:r>
              <w:rPr>
                <w:rFonts w:ascii="Cambria" w:eastAsia="Cambria" w:hAnsi="Cambria" w:cs="Cambria"/>
                <w:sz w:val="16"/>
                <w:szCs w:val="16"/>
              </w:rPr>
              <w:t xml:space="preserve">vodního klienta.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se nesoustředí na úzkou </w:t>
            </w:r>
            <w:r>
              <w:rPr>
                <w:rFonts w:ascii="Cambria" w:eastAsia="Cambria" w:hAnsi="Cambria" w:cs="Cambria"/>
                <w:sz w:val="16"/>
                <w:szCs w:val="16"/>
              </w:rPr>
              <w:lastRenderedPageBreak/>
              <w:t>skupinu dobře platících klientů, ale své portfolio diverzifikuje.</w:t>
            </w:r>
          </w:p>
          <w:p w:rsidR="00F6597A" w:rsidRDefault="001963AF">
            <w:pPr>
              <w:numPr>
                <w:ilvl w:val="0"/>
                <w:numId w:val="3"/>
              </w:numPr>
              <w:spacing w:before="60" w:after="60"/>
              <w:ind w:left="247" w:hanging="135"/>
              <w:contextualSpacing/>
              <w:rPr>
                <w:rFonts w:ascii="Cambria" w:eastAsia="Cambria" w:hAnsi="Cambria" w:cs="Cambria"/>
                <w:sz w:val="16"/>
                <w:szCs w:val="16"/>
              </w:rPr>
            </w:pPr>
            <w:r>
              <w:rPr>
                <w:rFonts w:ascii="Cambria" w:eastAsia="Cambria" w:hAnsi="Cambria" w:cs="Cambria"/>
                <w:sz w:val="16"/>
                <w:szCs w:val="16"/>
                <w:u w:val="single"/>
              </w:rPr>
              <w:t>spin-</w:t>
            </w:r>
            <w:proofErr w:type="spellStart"/>
            <w:r>
              <w:rPr>
                <w:rFonts w:ascii="Cambria" w:eastAsia="Cambria" w:hAnsi="Cambria" w:cs="Cambria"/>
                <w:sz w:val="16"/>
                <w:szCs w:val="16"/>
                <w:u w:val="single"/>
              </w:rPr>
              <w:t>offs</w:t>
            </w:r>
            <w:proofErr w:type="spellEnd"/>
            <w:r>
              <w:rPr>
                <w:rFonts w:ascii="Cambria" w:eastAsia="Cambria" w:hAnsi="Cambria" w:cs="Cambria"/>
                <w:sz w:val="16"/>
                <w:szCs w:val="16"/>
              </w:rPr>
              <w:t xml:space="preserve"> = společnosti založené bývalými členy výzkumných týmů institucí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Zůstávají blízko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neboť bývá </w:t>
            </w:r>
            <w:proofErr w:type="spellStart"/>
            <w:r>
              <w:rPr>
                <w:rFonts w:ascii="Cambria" w:eastAsia="Cambria" w:hAnsi="Cambria" w:cs="Cambria"/>
                <w:sz w:val="16"/>
                <w:szCs w:val="16"/>
              </w:rPr>
              <w:t>jeich</w:t>
            </w:r>
            <w:proofErr w:type="spellEnd"/>
            <w:r>
              <w:rPr>
                <w:rFonts w:ascii="Cambria" w:eastAsia="Cambria" w:hAnsi="Cambria" w:cs="Cambria"/>
                <w:sz w:val="16"/>
                <w:szCs w:val="16"/>
              </w:rPr>
              <w:t xml:space="preserve"> podnik založen na patentech</w:t>
            </w:r>
            <w:r>
              <w:rPr>
                <w:rFonts w:ascii="Cambria" w:eastAsia="Cambria" w:hAnsi="Cambria" w:cs="Cambria"/>
                <w:sz w:val="16"/>
                <w:szCs w:val="16"/>
              </w:rPr>
              <w:t xml:space="preserve">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V jednotlivých případech může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hrát roli minoritního </w:t>
            </w:r>
            <w:proofErr w:type="spellStart"/>
            <w:r>
              <w:rPr>
                <w:rFonts w:ascii="Cambria" w:eastAsia="Cambria" w:hAnsi="Cambria" w:cs="Cambria"/>
                <w:sz w:val="16"/>
                <w:szCs w:val="16"/>
              </w:rPr>
              <w:t>shareholdera</w:t>
            </w:r>
            <w:proofErr w:type="spellEnd"/>
            <w:r>
              <w:rPr>
                <w:rFonts w:ascii="Cambria" w:eastAsia="Cambria" w:hAnsi="Cambria" w:cs="Cambria"/>
                <w:sz w:val="16"/>
                <w:szCs w:val="16"/>
              </w:rPr>
              <w:t xml:space="preserve"> (5%) s tím, že tento podíl bude po osmi letech odprodán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netvoří zisk)</w:t>
            </w:r>
          </w:p>
          <w:p w:rsidR="00F6597A" w:rsidRDefault="001963AF">
            <w:pPr>
              <w:numPr>
                <w:ilvl w:val="0"/>
                <w:numId w:val="3"/>
              </w:numPr>
              <w:spacing w:before="60" w:after="60"/>
              <w:ind w:left="247" w:hanging="135"/>
              <w:contextualSpacing/>
              <w:rPr>
                <w:rFonts w:ascii="Cambria" w:eastAsia="Cambria" w:hAnsi="Cambria" w:cs="Cambria"/>
                <w:sz w:val="16"/>
                <w:szCs w:val="16"/>
              </w:rPr>
            </w:pPr>
            <w:r>
              <w:rPr>
                <w:rFonts w:ascii="Cambria" w:eastAsia="Cambria" w:hAnsi="Cambria" w:cs="Cambria"/>
                <w:sz w:val="16"/>
                <w:szCs w:val="16"/>
                <w:u w:val="single"/>
              </w:rPr>
              <w:t>licence</w:t>
            </w:r>
            <w:r>
              <w:rPr>
                <w:rFonts w:ascii="Cambria" w:eastAsia="Cambria" w:hAnsi="Cambria" w:cs="Cambria"/>
                <w:sz w:val="16"/>
                <w:szCs w:val="16"/>
              </w:rPr>
              <w:t xml:space="preserve"> = některé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technologie jsou dalším zákazníkům licencovány (bez nutnosti smluvního výzkumu)</w:t>
            </w:r>
          </w:p>
          <w:p w:rsidR="00F6597A" w:rsidRDefault="001963AF">
            <w:pPr>
              <w:numPr>
                <w:ilvl w:val="0"/>
                <w:numId w:val="3"/>
              </w:numPr>
              <w:spacing w:before="60" w:after="60"/>
              <w:ind w:left="247" w:hanging="135"/>
              <w:contextualSpacing/>
              <w:rPr>
                <w:rFonts w:ascii="Cambria" w:eastAsia="Cambria" w:hAnsi="Cambria" w:cs="Cambria"/>
                <w:sz w:val="16"/>
                <w:szCs w:val="16"/>
              </w:rPr>
            </w:pPr>
            <w:r>
              <w:rPr>
                <w:rFonts w:ascii="Cambria" w:eastAsia="Cambria" w:hAnsi="Cambria" w:cs="Cambria"/>
                <w:sz w:val="16"/>
                <w:szCs w:val="16"/>
                <w:u w:val="single"/>
              </w:rPr>
              <w:t>tran</w:t>
            </w:r>
            <w:r>
              <w:rPr>
                <w:rFonts w:ascii="Cambria" w:eastAsia="Cambria" w:hAnsi="Cambria" w:cs="Cambria"/>
                <w:sz w:val="16"/>
                <w:szCs w:val="16"/>
                <w:u w:val="single"/>
              </w:rPr>
              <w:t>sfer nadaných hlav</w:t>
            </w:r>
            <w:r>
              <w:rPr>
                <w:rFonts w:ascii="Cambria" w:eastAsia="Cambria" w:hAnsi="Cambria" w:cs="Cambria"/>
                <w:sz w:val="16"/>
                <w:szCs w:val="16"/>
              </w:rPr>
              <w:t xml:space="preserve"> = každý rok přijme 400 zaměstnanců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pozici v průmyslu</w:t>
            </w:r>
          </w:p>
          <w:p w:rsidR="00F6597A" w:rsidRDefault="001963AF">
            <w:pPr>
              <w:numPr>
                <w:ilvl w:val="0"/>
                <w:numId w:val="3"/>
              </w:numPr>
              <w:spacing w:before="60" w:after="60"/>
              <w:ind w:left="247" w:hanging="135"/>
              <w:contextualSpacing/>
              <w:rPr>
                <w:rFonts w:ascii="Cambria" w:eastAsia="Cambria" w:hAnsi="Cambria" w:cs="Cambria"/>
                <w:sz w:val="16"/>
                <w:szCs w:val="16"/>
              </w:rPr>
            </w:pPr>
            <w:r>
              <w:rPr>
                <w:rFonts w:ascii="Cambria" w:eastAsia="Cambria" w:hAnsi="Cambria" w:cs="Cambria"/>
                <w:sz w:val="16"/>
                <w:szCs w:val="16"/>
                <w:u w:val="single"/>
              </w:rPr>
              <w:t>strategická spolupráce s podniky</w:t>
            </w:r>
            <w:r>
              <w:rPr>
                <w:rFonts w:ascii="Cambria" w:eastAsia="Cambria" w:hAnsi="Cambria" w:cs="Cambria"/>
                <w:sz w:val="16"/>
                <w:szCs w:val="16"/>
              </w:rPr>
              <w:t xml:space="preserve"> = v prostorách podniků nebo v laboratořích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vznikají skupiny výzkumníků z řad podniků a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 Alternativou je pronájem laboratoří včetně konzult</w:t>
            </w:r>
            <w:r>
              <w:rPr>
                <w:rFonts w:ascii="Cambria" w:eastAsia="Cambria" w:hAnsi="Cambria" w:cs="Cambria"/>
                <w:sz w:val="16"/>
                <w:szCs w:val="16"/>
              </w:rPr>
              <w:t xml:space="preserve">ací s odborníky </w:t>
            </w:r>
            <w:proofErr w:type="spellStart"/>
            <w:r>
              <w:rPr>
                <w:rFonts w:ascii="Cambria" w:eastAsia="Cambria" w:hAnsi="Cambria" w:cs="Cambria"/>
                <w:sz w:val="16"/>
                <w:szCs w:val="16"/>
              </w:rPr>
              <w:t>FhG</w:t>
            </w:r>
            <w:proofErr w:type="spellEnd"/>
          </w:p>
          <w:p w:rsidR="00F6597A" w:rsidRDefault="001963AF">
            <w:pPr>
              <w:numPr>
                <w:ilvl w:val="0"/>
                <w:numId w:val="3"/>
              </w:numPr>
              <w:spacing w:before="60" w:after="60"/>
              <w:ind w:left="247" w:hanging="135"/>
              <w:contextualSpacing/>
              <w:rPr>
                <w:rFonts w:ascii="Cambria" w:eastAsia="Cambria" w:hAnsi="Cambria" w:cs="Cambria"/>
                <w:sz w:val="16"/>
                <w:szCs w:val="16"/>
              </w:rPr>
            </w:pPr>
            <w:r>
              <w:rPr>
                <w:rFonts w:ascii="Cambria" w:eastAsia="Cambria" w:hAnsi="Cambria" w:cs="Cambria"/>
                <w:sz w:val="16"/>
                <w:szCs w:val="16"/>
                <w:u w:val="single"/>
              </w:rPr>
              <w:t>inovační klastry</w:t>
            </w:r>
            <w:r>
              <w:rPr>
                <w:rFonts w:ascii="Cambria" w:eastAsia="Cambria" w:hAnsi="Cambria" w:cs="Cambria"/>
                <w:sz w:val="16"/>
                <w:szCs w:val="16"/>
              </w:rPr>
              <w:t xml:space="preserve"> = vznikly na základě nutnosti přivést dohromady odborníky z různých oblastí jako reakce na vzrůstající </w:t>
            </w:r>
            <w:proofErr w:type="spellStart"/>
            <w:r>
              <w:rPr>
                <w:rFonts w:ascii="Cambria" w:eastAsia="Cambria" w:hAnsi="Cambria" w:cs="Cambria"/>
                <w:sz w:val="16"/>
                <w:szCs w:val="16"/>
              </w:rPr>
              <w:t>kompelxitu</w:t>
            </w:r>
            <w:proofErr w:type="spellEnd"/>
            <w:r>
              <w:rPr>
                <w:rFonts w:ascii="Cambria" w:eastAsia="Cambria" w:hAnsi="Cambria" w:cs="Cambria"/>
                <w:sz w:val="16"/>
                <w:szCs w:val="16"/>
              </w:rPr>
              <w:t xml:space="preserve"> inovací. </w:t>
            </w:r>
            <w:proofErr w:type="gramStart"/>
            <w:r>
              <w:rPr>
                <w:rFonts w:ascii="Cambria" w:eastAsia="Cambria" w:hAnsi="Cambria" w:cs="Cambria"/>
                <w:sz w:val="16"/>
                <w:szCs w:val="16"/>
              </w:rPr>
              <w:t>členy</w:t>
            </w:r>
            <w:proofErr w:type="gramEnd"/>
            <w:r>
              <w:rPr>
                <w:rFonts w:ascii="Cambria" w:eastAsia="Cambria" w:hAnsi="Cambria" w:cs="Cambria"/>
                <w:sz w:val="16"/>
                <w:szCs w:val="16"/>
              </w:rPr>
              <w:t xml:space="preserve"> jsou reprezentanti všech článků řetězce přidané hodnoty, aby společně vyvinuly nové standa</w:t>
            </w:r>
            <w:r>
              <w:rPr>
                <w:rFonts w:ascii="Cambria" w:eastAsia="Cambria" w:hAnsi="Cambria" w:cs="Cambria"/>
                <w:sz w:val="16"/>
                <w:szCs w:val="16"/>
              </w:rPr>
              <w:t xml:space="preserve">rdy, systémy řešení (např. konsorcium 18 partnerů pro vývoj “inteligentního domova”).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je koordinátorem nebo hlavním partnerem.</w:t>
            </w:r>
          </w:p>
          <w:p w:rsidR="00F6597A" w:rsidRDefault="001963AF">
            <w:pPr>
              <w:numPr>
                <w:ilvl w:val="0"/>
                <w:numId w:val="3"/>
              </w:numPr>
              <w:spacing w:before="60" w:after="60"/>
              <w:ind w:left="247" w:hanging="135"/>
              <w:contextualSpacing/>
              <w:rPr>
                <w:rFonts w:ascii="Cambria" w:eastAsia="Cambria" w:hAnsi="Cambria" w:cs="Cambria"/>
                <w:sz w:val="16"/>
                <w:szCs w:val="16"/>
              </w:rPr>
            </w:pPr>
            <w:proofErr w:type="spellStart"/>
            <w:r>
              <w:rPr>
                <w:rFonts w:ascii="Cambria" w:eastAsia="Cambria" w:hAnsi="Cambria" w:cs="Cambria"/>
                <w:sz w:val="16"/>
                <w:szCs w:val="16"/>
              </w:rPr>
              <w:t>Fraunhoferova</w:t>
            </w:r>
            <w:proofErr w:type="spellEnd"/>
            <w:r>
              <w:rPr>
                <w:rFonts w:ascii="Cambria" w:eastAsia="Cambria" w:hAnsi="Cambria" w:cs="Cambria"/>
                <w:sz w:val="16"/>
                <w:szCs w:val="16"/>
              </w:rPr>
              <w:t xml:space="preserve"> Akademie = separátní obchodní jednotka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pro celoživotní učení manažerů z oblasti podnikání a průmyslu. Znalo</w:t>
            </w:r>
            <w:r>
              <w:rPr>
                <w:rFonts w:ascii="Cambria" w:eastAsia="Cambria" w:hAnsi="Cambria" w:cs="Cambria"/>
                <w:sz w:val="16"/>
                <w:szCs w:val="16"/>
              </w:rPr>
              <w:t>sti z prováděného výzkumu jsou předávány podnikům v seminářích a kurzech ve spolupráci s univerzitami.</w:t>
            </w:r>
          </w:p>
          <w:p w:rsidR="00F6597A" w:rsidRDefault="001963AF">
            <w:pPr>
              <w:numPr>
                <w:ilvl w:val="0"/>
                <w:numId w:val="3"/>
              </w:numPr>
              <w:spacing w:before="60" w:after="60"/>
              <w:ind w:left="247" w:hanging="135"/>
              <w:contextualSpacing/>
              <w:rPr>
                <w:rFonts w:ascii="Cambria" w:eastAsia="Cambria" w:hAnsi="Cambria" w:cs="Cambria"/>
                <w:sz w:val="16"/>
                <w:szCs w:val="16"/>
              </w:rPr>
            </w:pPr>
            <w:r>
              <w:rPr>
                <w:rFonts w:ascii="Cambria" w:eastAsia="Cambria" w:hAnsi="Cambria" w:cs="Cambria"/>
                <w:sz w:val="16"/>
                <w:szCs w:val="16"/>
              </w:rPr>
              <w:t xml:space="preserve">marketing výstupů </w:t>
            </w:r>
            <w:proofErr w:type="gramStart"/>
            <w:r>
              <w:rPr>
                <w:rFonts w:ascii="Cambria" w:eastAsia="Cambria" w:hAnsi="Cambria" w:cs="Cambria"/>
                <w:sz w:val="16"/>
                <w:szCs w:val="16"/>
              </w:rPr>
              <w:t>výzkumu  = je</w:t>
            </w:r>
            <w:proofErr w:type="gramEnd"/>
            <w:r>
              <w:rPr>
                <w:rFonts w:ascii="Cambria" w:eastAsia="Cambria" w:hAnsi="Cambria" w:cs="Cambria"/>
                <w:sz w:val="16"/>
                <w:szCs w:val="16"/>
              </w:rPr>
              <w:t xml:space="preserve"> odpovědností jednotlivých institutů, ne centrály. Vzhledem k tomu, že ca ⅔ budgetu institutu musí být opatřeno z třetích </w:t>
            </w:r>
            <w:r>
              <w:rPr>
                <w:rFonts w:ascii="Cambria" w:eastAsia="Cambria" w:hAnsi="Cambria" w:cs="Cambria"/>
                <w:sz w:val="16"/>
                <w:szCs w:val="16"/>
              </w:rPr>
              <w:t xml:space="preserve">zdrojů, je marketing stěžejní oblast aktivit. </w:t>
            </w:r>
            <w:proofErr w:type="gramStart"/>
            <w:r>
              <w:rPr>
                <w:rFonts w:ascii="Cambria" w:eastAsia="Cambria" w:hAnsi="Cambria" w:cs="Cambria"/>
                <w:sz w:val="16"/>
                <w:szCs w:val="16"/>
              </w:rPr>
              <w:t>každá</w:t>
            </w:r>
            <w:proofErr w:type="gramEnd"/>
            <w:r>
              <w:rPr>
                <w:rFonts w:ascii="Cambria" w:eastAsia="Cambria" w:hAnsi="Cambria" w:cs="Cambria"/>
                <w:sz w:val="16"/>
                <w:szCs w:val="16"/>
              </w:rPr>
              <w:t xml:space="preserve"> instituce </w:t>
            </w:r>
            <w:proofErr w:type="spellStart"/>
            <w:r>
              <w:rPr>
                <w:rFonts w:ascii="Cambria" w:eastAsia="Cambria" w:hAnsi="Cambria" w:cs="Cambria"/>
                <w:sz w:val="16"/>
                <w:szCs w:val="16"/>
              </w:rPr>
              <w:t>FhG</w:t>
            </w:r>
            <w:proofErr w:type="spellEnd"/>
            <w:r>
              <w:rPr>
                <w:rFonts w:ascii="Cambria" w:eastAsia="Cambria" w:hAnsi="Cambria" w:cs="Cambria"/>
                <w:sz w:val="16"/>
                <w:szCs w:val="16"/>
              </w:rPr>
              <w:t xml:space="preserve"> nabízí své služby širokému spektru zákazníků z různých průmyslových oblastí. </w:t>
            </w:r>
          </w:p>
        </w:tc>
        <w:tc>
          <w:tcPr>
            <w:tcW w:w="2835" w:type="dxa"/>
          </w:tcPr>
          <w:p w:rsidR="00F6597A" w:rsidRDefault="00F6597A">
            <w:pPr>
              <w:spacing w:before="60" w:after="60"/>
            </w:pPr>
          </w:p>
        </w:tc>
      </w:tr>
      <w:tr w:rsidR="00F6597A">
        <w:tc>
          <w:tcPr>
            <w:tcW w:w="1242" w:type="dxa"/>
          </w:tcPr>
          <w:p w:rsidR="00F6597A" w:rsidRDefault="001963AF">
            <w:pPr>
              <w:spacing w:before="60" w:after="60"/>
            </w:pPr>
            <w:r>
              <w:rPr>
                <w:rFonts w:ascii="Cambria" w:eastAsia="Cambria" w:hAnsi="Cambria" w:cs="Cambria"/>
                <w:sz w:val="16"/>
                <w:szCs w:val="16"/>
              </w:rPr>
              <w:lastRenderedPageBreak/>
              <w:t>Forma podpory</w:t>
            </w:r>
          </w:p>
        </w:tc>
        <w:tc>
          <w:tcPr>
            <w:tcW w:w="3402" w:type="dxa"/>
          </w:tcPr>
          <w:p w:rsidR="00F6597A" w:rsidRDefault="00F6597A">
            <w:pPr>
              <w:spacing w:before="60" w:after="60"/>
            </w:pPr>
          </w:p>
        </w:tc>
        <w:tc>
          <w:tcPr>
            <w:tcW w:w="3595" w:type="dxa"/>
          </w:tcPr>
          <w:p w:rsidR="00F6597A" w:rsidRDefault="001963AF">
            <w:pPr>
              <w:spacing w:before="60" w:after="60"/>
            </w:pPr>
            <w:r>
              <w:rPr>
                <w:rFonts w:ascii="Cambria" w:eastAsia="Cambria" w:hAnsi="Cambria" w:cs="Cambria"/>
                <w:b/>
                <w:sz w:val="16"/>
                <w:szCs w:val="16"/>
              </w:rPr>
              <w:t>1. Podporu formou vytváření laboratoří Christiana Dopplera</w:t>
            </w:r>
            <w:r>
              <w:rPr>
                <w:rFonts w:ascii="Cambria" w:eastAsia="Cambria" w:hAnsi="Cambria" w:cs="Cambria"/>
                <w:sz w:val="16"/>
                <w:szCs w:val="16"/>
              </w:rPr>
              <w:t xml:space="preserve"> (CD laboratoře), které jsou na jednotlivých univerzitách nebo neuniverzitních veřejných výzkumných zařízeních (5 až 15 osob) a které společně s podnikatelskou sférou provádějí aplikovaný (spíše orientovaný) výzkum založený na potřebách podnikatelských sub</w:t>
            </w:r>
            <w:r>
              <w:rPr>
                <w:rFonts w:ascii="Cambria" w:eastAsia="Cambria" w:hAnsi="Cambria" w:cs="Cambria"/>
                <w:sz w:val="16"/>
                <w:szCs w:val="16"/>
              </w:rPr>
              <w:t>jektů.</w:t>
            </w:r>
          </w:p>
          <w:p w:rsidR="00F6597A" w:rsidRDefault="001963AF">
            <w:pPr>
              <w:spacing w:before="60" w:after="60"/>
            </w:pPr>
            <w:r>
              <w:rPr>
                <w:rFonts w:ascii="Cambria" w:eastAsia="Cambria" w:hAnsi="Cambria" w:cs="Cambria"/>
                <w:b/>
                <w:sz w:val="16"/>
                <w:szCs w:val="16"/>
              </w:rPr>
              <w:t>2. Podporu formou vytváření center Josefa Ressela</w:t>
            </w:r>
            <w:r>
              <w:rPr>
                <w:rFonts w:ascii="Cambria" w:eastAsia="Cambria" w:hAnsi="Cambria" w:cs="Cambria"/>
                <w:sz w:val="16"/>
                <w:szCs w:val="16"/>
              </w:rPr>
              <w:t xml:space="preserve"> (JR centra, což jsou laboratoře / pracoviště na technických vysokých školách (</w:t>
            </w:r>
            <w:proofErr w:type="spellStart"/>
            <w:r>
              <w:rPr>
                <w:rFonts w:ascii="Cambria" w:eastAsia="Cambria" w:hAnsi="Cambria" w:cs="Cambria"/>
                <w:sz w:val="16"/>
                <w:szCs w:val="16"/>
              </w:rPr>
              <w:t>Fachhochschulen</w:t>
            </w:r>
            <w:proofErr w:type="spellEnd"/>
            <w:r>
              <w:rPr>
                <w:rFonts w:ascii="Cambria" w:eastAsia="Cambria" w:hAnsi="Cambria" w:cs="Cambria"/>
                <w:sz w:val="16"/>
                <w:szCs w:val="16"/>
              </w:rPr>
              <w:t>) provádějící aplikovaný výzkum.</w:t>
            </w:r>
          </w:p>
        </w:tc>
        <w:tc>
          <w:tcPr>
            <w:tcW w:w="3068" w:type="dxa"/>
          </w:tcPr>
          <w:p w:rsidR="00F6597A" w:rsidRDefault="001963AF">
            <w:pPr>
              <w:spacing w:before="60" w:after="60"/>
            </w:pPr>
            <w:r>
              <w:rPr>
                <w:rFonts w:ascii="Cambria" w:eastAsia="Cambria" w:hAnsi="Cambria" w:cs="Cambria"/>
                <w:sz w:val="16"/>
                <w:szCs w:val="16"/>
              </w:rPr>
              <w:t>kombinace institucionální / účelová (vázaná na soukromé zdroje)</w:t>
            </w:r>
          </w:p>
        </w:tc>
        <w:tc>
          <w:tcPr>
            <w:tcW w:w="2835" w:type="dxa"/>
          </w:tcPr>
          <w:p w:rsidR="00F6597A" w:rsidRDefault="00F6597A">
            <w:pPr>
              <w:spacing w:before="60" w:after="60"/>
            </w:pPr>
          </w:p>
        </w:tc>
      </w:tr>
      <w:tr w:rsidR="00F6597A">
        <w:tc>
          <w:tcPr>
            <w:tcW w:w="1242" w:type="dxa"/>
          </w:tcPr>
          <w:p w:rsidR="00F6597A" w:rsidRDefault="00F6597A">
            <w:pPr>
              <w:spacing w:before="60" w:after="60"/>
            </w:pPr>
          </w:p>
        </w:tc>
        <w:tc>
          <w:tcPr>
            <w:tcW w:w="3402" w:type="dxa"/>
          </w:tcPr>
          <w:p w:rsidR="00F6597A" w:rsidRDefault="00F6597A">
            <w:pPr>
              <w:spacing w:before="60" w:after="60"/>
            </w:pPr>
          </w:p>
        </w:tc>
        <w:tc>
          <w:tcPr>
            <w:tcW w:w="3595" w:type="dxa"/>
          </w:tcPr>
          <w:p w:rsidR="00F6597A" w:rsidRDefault="00F6597A">
            <w:pPr>
              <w:spacing w:before="60" w:after="60"/>
            </w:pPr>
          </w:p>
        </w:tc>
        <w:tc>
          <w:tcPr>
            <w:tcW w:w="3068" w:type="dxa"/>
          </w:tcPr>
          <w:p w:rsidR="00F6597A" w:rsidRDefault="00F6597A">
            <w:pPr>
              <w:spacing w:before="60" w:after="60"/>
            </w:pPr>
          </w:p>
        </w:tc>
        <w:tc>
          <w:tcPr>
            <w:tcW w:w="2835" w:type="dxa"/>
          </w:tcPr>
          <w:p w:rsidR="00F6597A" w:rsidRDefault="00F6597A">
            <w:pPr>
              <w:spacing w:before="60" w:after="60"/>
            </w:pPr>
          </w:p>
        </w:tc>
      </w:tr>
      <w:tr w:rsidR="00F6597A">
        <w:tc>
          <w:tcPr>
            <w:tcW w:w="1242" w:type="dxa"/>
          </w:tcPr>
          <w:p w:rsidR="00F6597A" w:rsidRDefault="001963AF">
            <w:pPr>
              <w:spacing w:before="60" w:after="60"/>
            </w:pPr>
            <w:r>
              <w:rPr>
                <w:rFonts w:ascii="Cambria" w:eastAsia="Cambria" w:hAnsi="Cambria" w:cs="Cambria"/>
                <w:sz w:val="16"/>
                <w:szCs w:val="16"/>
              </w:rPr>
              <w:t>M</w:t>
            </w:r>
            <w:r>
              <w:rPr>
                <w:rFonts w:ascii="Cambria" w:eastAsia="Cambria" w:hAnsi="Cambria" w:cs="Cambria"/>
                <w:sz w:val="16"/>
                <w:szCs w:val="16"/>
              </w:rPr>
              <w:t>ožnost implementace</w:t>
            </w:r>
          </w:p>
        </w:tc>
        <w:tc>
          <w:tcPr>
            <w:tcW w:w="3402" w:type="dxa"/>
          </w:tcPr>
          <w:p w:rsidR="00F6597A" w:rsidRDefault="001963AF">
            <w:pPr>
              <w:spacing w:before="60" w:after="60"/>
            </w:pPr>
            <w:r>
              <w:rPr>
                <w:rFonts w:ascii="Cambria" w:eastAsia="Cambria" w:hAnsi="Cambria" w:cs="Cambria"/>
                <w:sz w:val="16"/>
                <w:szCs w:val="16"/>
              </w:rPr>
              <w:t>Nový program</w:t>
            </w:r>
          </w:p>
        </w:tc>
        <w:tc>
          <w:tcPr>
            <w:tcW w:w="3595" w:type="dxa"/>
          </w:tcPr>
          <w:p w:rsidR="00F6597A" w:rsidRDefault="001963AF">
            <w:pPr>
              <w:spacing w:before="60" w:after="60"/>
            </w:pPr>
            <w:r>
              <w:rPr>
                <w:rFonts w:ascii="Cambria" w:eastAsia="Cambria" w:hAnsi="Cambria" w:cs="Cambria"/>
                <w:sz w:val="16"/>
                <w:szCs w:val="16"/>
              </w:rPr>
              <w:t>GAMA, EPSILON, nový program?</w:t>
            </w:r>
          </w:p>
        </w:tc>
        <w:tc>
          <w:tcPr>
            <w:tcW w:w="3068" w:type="dxa"/>
            <w:shd w:val="clear" w:color="auto" w:fill="FFFFFF"/>
          </w:tcPr>
          <w:p w:rsidR="00F6597A" w:rsidRDefault="001963AF">
            <w:pPr>
              <w:spacing w:before="60" w:after="60"/>
            </w:pPr>
            <w:r>
              <w:rPr>
                <w:rFonts w:ascii="Cambria" w:eastAsia="Cambria" w:hAnsi="Cambria" w:cs="Cambria"/>
                <w:sz w:val="16"/>
                <w:szCs w:val="16"/>
              </w:rPr>
              <w:t xml:space="preserve">GAMA, EPSILON, </w:t>
            </w:r>
            <w:r>
              <w:rPr>
                <w:rFonts w:ascii="Cambria" w:eastAsia="Cambria" w:hAnsi="Cambria" w:cs="Cambria"/>
                <w:sz w:val="16"/>
                <w:szCs w:val="16"/>
                <w:highlight w:val="yellow"/>
              </w:rPr>
              <w:t>nový program?</w:t>
            </w:r>
          </w:p>
        </w:tc>
        <w:tc>
          <w:tcPr>
            <w:tcW w:w="2835" w:type="dxa"/>
          </w:tcPr>
          <w:p w:rsidR="00F6597A" w:rsidRDefault="00F6597A">
            <w:pPr>
              <w:spacing w:before="60" w:after="60"/>
            </w:pPr>
          </w:p>
        </w:tc>
      </w:tr>
    </w:tbl>
    <w:p w:rsidR="00F6597A" w:rsidRDefault="00F6597A">
      <w:bookmarkStart w:id="5" w:name="_GoBack"/>
      <w:bookmarkEnd w:id="5"/>
    </w:p>
    <w:sectPr w:rsidR="00F6597A">
      <w:pgSz w:w="16838" w:h="11906"/>
      <w:pgMar w:top="993" w:right="1417" w:bottom="993"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D5FE9"/>
    <w:multiLevelType w:val="multilevel"/>
    <w:tmpl w:val="715654E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23DF6B6A"/>
    <w:multiLevelType w:val="multilevel"/>
    <w:tmpl w:val="3AF4317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3AD77A89"/>
    <w:multiLevelType w:val="multilevel"/>
    <w:tmpl w:val="3F5AD41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3B0F7959"/>
    <w:multiLevelType w:val="multilevel"/>
    <w:tmpl w:val="572468B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47DE61BF"/>
    <w:multiLevelType w:val="multilevel"/>
    <w:tmpl w:val="4B50C34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62425A08"/>
    <w:multiLevelType w:val="multilevel"/>
    <w:tmpl w:val="56709CF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6A0871A5"/>
    <w:multiLevelType w:val="multilevel"/>
    <w:tmpl w:val="2C0C57B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6D6C29BD"/>
    <w:multiLevelType w:val="multilevel"/>
    <w:tmpl w:val="09A4263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72975E36"/>
    <w:multiLevelType w:val="multilevel"/>
    <w:tmpl w:val="0DC0CAE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5"/>
  </w:num>
  <w:num w:numId="2">
    <w:abstractNumId w:val="0"/>
  </w:num>
  <w:num w:numId="3">
    <w:abstractNumId w:val="6"/>
  </w:num>
  <w:num w:numId="4">
    <w:abstractNumId w:val="8"/>
  </w:num>
  <w:num w:numId="5">
    <w:abstractNumId w:val="1"/>
  </w:num>
  <w:num w:numId="6">
    <w:abstractNumId w:val="2"/>
  </w:num>
  <w:num w:numId="7">
    <w:abstractNumId w:val="7"/>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compat>
    <w:compatSetting w:name="compatibilityMode" w:uri="http://schemas.microsoft.com/office/word" w:val="14"/>
  </w:compat>
  <w:rsids>
    <w:rsidRoot w:val="00F6597A"/>
    <w:rsid w:val="000211BE"/>
    <w:rsid w:val="001963AF"/>
    <w:rsid w:val="00F659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szCs w:val="48"/>
    </w:rPr>
  </w:style>
  <w:style w:type="paragraph" w:styleId="Nadpis2">
    <w:name w:val="heading 2"/>
    <w:basedOn w:val="Normln"/>
    <w:next w:val="Normln"/>
    <w:pPr>
      <w:keepNext/>
      <w:keepLines/>
      <w:spacing w:before="360" w:after="80"/>
      <w:contextualSpacing/>
      <w:outlineLvl w:val="1"/>
    </w:pPr>
    <w:rPr>
      <w:b/>
      <w:sz w:val="36"/>
      <w:szCs w:val="36"/>
    </w:rPr>
  </w:style>
  <w:style w:type="paragraph" w:styleId="Nadpis3">
    <w:name w:val="heading 3"/>
    <w:basedOn w:val="Normln"/>
    <w:next w:val="Normln"/>
    <w:pPr>
      <w:keepNext/>
      <w:keepLines/>
      <w:spacing w:before="280" w:after="80"/>
      <w:contextualSpacing/>
      <w:outlineLvl w:val="2"/>
    </w:pPr>
    <w:rPr>
      <w:b/>
      <w:sz w:val="28"/>
      <w:szCs w:val="28"/>
    </w:rPr>
  </w:style>
  <w:style w:type="paragraph" w:styleId="Nadpis4">
    <w:name w:val="heading 4"/>
    <w:basedOn w:val="Normln"/>
    <w:next w:val="Normln"/>
    <w:pPr>
      <w:keepNext/>
      <w:keepLines/>
      <w:spacing w:before="240" w:after="40"/>
      <w:contextualSpacing/>
      <w:outlineLvl w:val="3"/>
    </w:pPr>
    <w:rPr>
      <w:b/>
      <w:sz w:val="24"/>
      <w:szCs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szCs w:val="72"/>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15" w:type="dxa"/>
        <w:bottom w:w="0"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szCs w:val="48"/>
    </w:rPr>
  </w:style>
  <w:style w:type="paragraph" w:styleId="Nadpis2">
    <w:name w:val="heading 2"/>
    <w:basedOn w:val="Normln"/>
    <w:next w:val="Normln"/>
    <w:pPr>
      <w:keepNext/>
      <w:keepLines/>
      <w:spacing w:before="360" w:after="80"/>
      <w:contextualSpacing/>
      <w:outlineLvl w:val="1"/>
    </w:pPr>
    <w:rPr>
      <w:b/>
      <w:sz w:val="36"/>
      <w:szCs w:val="36"/>
    </w:rPr>
  </w:style>
  <w:style w:type="paragraph" w:styleId="Nadpis3">
    <w:name w:val="heading 3"/>
    <w:basedOn w:val="Normln"/>
    <w:next w:val="Normln"/>
    <w:pPr>
      <w:keepNext/>
      <w:keepLines/>
      <w:spacing w:before="280" w:after="80"/>
      <w:contextualSpacing/>
      <w:outlineLvl w:val="2"/>
    </w:pPr>
    <w:rPr>
      <w:b/>
      <w:sz w:val="28"/>
      <w:szCs w:val="28"/>
    </w:rPr>
  </w:style>
  <w:style w:type="paragraph" w:styleId="Nadpis4">
    <w:name w:val="heading 4"/>
    <w:basedOn w:val="Normln"/>
    <w:next w:val="Normln"/>
    <w:pPr>
      <w:keepNext/>
      <w:keepLines/>
      <w:spacing w:before="240" w:after="40"/>
      <w:contextualSpacing/>
      <w:outlineLvl w:val="3"/>
    </w:pPr>
    <w:rPr>
      <w:b/>
      <w:sz w:val="24"/>
      <w:szCs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szCs w:val="72"/>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2746</Words>
  <Characters>16202</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18911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Očko</dc:creator>
  <cp:lastModifiedBy>Petr Očko</cp:lastModifiedBy>
  <cp:revision>2</cp:revision>
  <dcterms:created xsi:type="dcterms:W3CDTF">2017-01-13T08:32:00Z</dcterms:created>
  <dcterms:modified xsi:type="dcterms:W3CDTF">2017-01-13T08:32:00Z</dcterms:modified>
</cp:coreProperties>
</file>